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FD665" w14:textId="77777777" w:rsidR="0054211F" w:rsidRPr="00666FA7" w:rsidRDefault="0075404F" w:rsidP="0075404F">
      <w:pPr>
        <w:spacing w:line="240" w:lineRule="auto"/>
        <w:rPr>
          <w:sz w:val="2"/>
        </w:rPr>
      </w:pPr>
      <w:commentRangeStart w:id="0"/>
      <w:commentRangeEnd w:id="0"/>
      <w:r w:rsidRPr="00666FA7">
        <w:rPr>
          <w:rStyle w:val="CommentReference"/>
          <w:sz w:val="2"/>
        </w:rPr>
        <w:commentReference w:id="0"/>
      </w:r>
    </w:p>
    <w:p w14:paraId="08B7A7CC" w14:textId="77777777" w:rsidR="0075404F" w:rsidRPr="00666FA7" w:rsidRDefault="0075404F" w:rsidP="0075404F">
      <w:pPr>
        <w:spacing w:line="240" w:lineRule="auto"/>
        <w:rPr>
          <w:sz w:val="2"/>
        </w:rPr>
        <w:sectPr w:rsidR="0075404F" w:rsidRPr="00666FA7" w:rsidSect="00F12071">
          <w:headerReference w:type="even" r:id="rId14"/>
          <w:headerReference w:type="default" r:id="rId15"/>
          <w:footerReference w:type="even" r:id="rId16"/>
          <w:footerReference w:type="default" r:id="rId17"/>
          <w:headerReference w:type="first" r:id="rId18"/>
          <w:footerReference w:type="first" r:id="rId19"/>
          <w:endnotePr>
            <w:numFmt w:val="decimal"/>
          </w:endnotePr>
          <w:pgSz w:w="11909" w:h="16834"/>
          <w:pgMar w:top="1440" w:right="1032" w:bottom="1757" w:left="1032" w:header="432" w:footer="504" w:gutter="0"/>
          <w:cols w:space="720"/>
          <w:titlePg/>
          <w:docGrid w:linePitch="360"/>
        </w:sectPr>
      </w:pPr>
    </w:p>
    <w:tbl>
      <w:tblPr>
        <w:tblW w:w="9841" w:type="dxa"/>
        <w:tblLayout w:type="fixed"/>
        <w:tblLook w:val="0000" w:firstRow="0" w:lastRow="0" w:firstColumn="0" w:lastColumn="0" w:noHBand="0" w:noVBand="0"/>
      </w:tblPr>
      <w:tblGrid>
        <w:gridCol w:w="4893"/>
        <w:gridCol w:w="288"/>
        <w:gridCol w:w="4660"/>
      </w:tblGrid>
      <w:tr w:rsidR="00863282" w:rsidRPr="00666FA7" w14:paraId="6DD5EF78" w14:textId="77777777" w:rsidTr="00863282">
        <w:tc>
          <w:tcPr>
            <w:tcW w:w="4893" w:type="dxa"/>
          </w:tcPr>
          <w:p w14:paraId="2D68A4CE" w14:textId="17BE9D56" w:rsidR="006B0522" w:rsidRPr="00666FA7" w:rsidRDefault="006B0522" w:rsidP="006B0522">
            <w:pPr>
              <w:pStyle w:val="H23"/>
              <w:ind w:left="0" w:right="-175" w:firstLine="0"/>
              <w:rPr>
                <w:sz w:val="24"/>
                <w:szCs w:val="24"/>
              </w:rPr>
            </w:pPr>
            <w:r w:rsidRPr="00666FA7">
              <w:rPr>
                <w:sz w:val="24"/>
                <w:szCs w:val="24"/>
              </w:rPr>
              <w:t>United Nations Commission</w:t>
            </w:r>
            <w:r w:rsidRPr="00666FA7">
              <w:rPr>
                <w:sz w:val="24"/>
                <w:szCs w:val="24"/>
              </w:rPr>
              <w:br/>
              <w:t>on International Trade Law</w:t>
            </w:r>
          </w:p>
          <w:p w14:paraId="22874FE6" w14:textId="77777777" w:rsidR="006B0522" w:rsidRPr="00666FA7" w:rsidRDefault="006B0522" w:rsidP="006B0522">
            <w:pPr>
              <w:pStyle w:val="H23"/>
            </w:pPr>
            <w:r w:rsidRPr="00666FA7">
              <w:t>Fifty-ninth session</w:t>
            </w:r>
          </w:p>
          <w:p w14:paraId="555141A3" w14:textId="0D49081A" w:rsidR="00863282" w:rsidRPr="00666FA7" w:rsidRDefault="006B0522" w:rsidP="006B0522">
            <w:pPr>
              <w:pStyle w:val="SingleTxt"/>
              <w:spacing w:after="0"/>
              <w:ind w:left="0"/>
            </w:pPr>
            <w:r w:rsidRPr="00666FA7">
              <w:t>New York, 29 June–10 July 2026</w:t>
            </w:r>
          </w:p>
        </w:tc>
        <w:tc>
          <w:tcPr>
            <w:tcW w:w="288" w:type="dxa"/>
          </w:tcPr>
          <w:p w14:paraId="294FF8E3" w14:textId="77777777" w:rsidR="00863282" w:rsidRPr="00666FA7" w:rsidRDefault="00863282" w:rsidP="00863282">
            <w:pPr>
              <w:pStyle w:val="SingleTxt"/>
              <w:spacing w:after="0"/>
              <w:ind w:left="0"/>
            </w:pPr>
          </w:p>
        </w:tc>
        <w:tc>
          <w:tcPr>
            <w:tcW w:w="4660" w:type="dxa"/>
          </w:tcPr>
          <w:p w14:paraId="7C0BDACD" w14:textId="77777777" w:rsidR="00863282" w:rsidRPr="00666FA7" w:rsidRDefault="00863282" w:rsidP="00863282">
            <w:pPr>
              <w:pStyle w:val="SingleTxt"/>
              <w:spacing w:after="0"/>
              <w:ind w:left="0"/>
            </w:pPr>
          </w:p>
        </w:tc>
      </w:tr>
      <w:tr w:rsidR="00863282" w:rsidRPr="00666FA7" w14:paraId="5B4D12A5" w14:textId="77777777" w:rsidTr="00863282">
        <w:tc>
          <w:tcPr>
            <w:tcW w:w="4893" w:type="dxa"/>
          </w:tcPr>
          <w:p w14:paraId="4350B851" w14:textId="77777777" w:rsidR="00863282" w:rsidRPr="00666FA7" w:rsidRDefault="00863282" w:rsidP="00863282">
            <w:pPr>
              <w:pStyle w:val="SingleTxt"/>
              <w:spacing w:after="0"/>
              <w:ind w:left="0"/>
            </w:pPr>
          </w:p>
        </w:tc>
        <w:tc>
          <w:tcPr>
            <w:tcW w:w="288" w:type="dxa"/>
          </w:tcPr>
          <w:p w14:paraId="0ABBE0A8" w14:textId="77777777" w:rsidR="00863282" w:rsidRPr="00666FA7" w:rsidRDefault="00863282" w:rsidP="00863282">
            <w:pPr>
              <w:pStyle w:val="SingleTxt"/>
              <w:spacing w:after="0"/>
              <w:ind w:left="0"/>
            </w:pPr>
          </w:p>
        </w:tc>
        <w:tc>
          <w:tcPr>
            <w:tcW w:w="4660" w:type="dxa"/>
          </w:tcPr>
          <w:p w14:paraId="64A64FB7" w14:textId="77777777" w:rsidR="00863282" w:rsidRPr="00666FA7" w:rsidRDefault="00863282" w:rsidP="00863282">
            <w:pPr>
              <w:pStyle w:val="SingleTxt"/>
              <w:spacing w:after="0"/>
              <w:ind w:left="0"/>
            </w:pPr>
          </w:p>
        </w:tc>
      </w:tr>
    </w:tbl>
    <w:p w14:paraId="22E1F075" w14:textId="77777777" w:rsidR="00666FA7" w:rsidRPr="00666FA7" w:rsidRDefault="00666FA7" w:rsidP="00666FA7">
      <w:pPr>
        <w:pStyle w:val="SingleTxt"/>
        <w:spacing w:after="0" w:line="120" w:lineRule="atLeast"/>
        <w:rPr>
          <w:b/>
          <w:sz w:val="10"/>
        </w:rPr>
      </w:pPr>
    </w:p>
    <w:p w14:paraId="137A97EC" w14:textId="2F475BA4" w:rsidR="00D46DD0" w:rsidRPr="00666FA7" w:rsidRDefault="00666FA7" w:rsidP="00666FA7">
      <w:pPr>
        <w:pStyle w:val="HCh"/>
        <w:keepNext/>
        <w:keepLines/>
        <w:tabs>
          <w:tab w:val="clear" w:pos="1022"/>
          <w:tab w:val="clear" w:pos="1267"/>
          <w:tab w:val="clear" w:pos="1742"/>
          <w:tab w:val="clear" w:pos="2218"/>
          <w:tab w:val="clear" w:pos="3182"/>
          <w:tab w:val="clear" w:pos="3658"/>
          <w:tab w:val="clear" w:pos="4622"/>
          <w:tab w:val="clear" w:pos="5098"/>
          <w:tab w:val="clear" w:pos="6048"/>
          <w:tab w:val="right" w:pos="1020"/>
          <w:tab w:val="left" w:pos="1264"/>
          <w:tab w:val="left" w:pos="1740"/>
          <w:tab w:val="left" w:pos="2217"/>
          <w:tab w:val="left" w:pos="3180"/>
          <w:tab w:val="left" w:pos="3657"/>
          <w:tab w:val="left" w:pos="4620"/>
          <w:tab w:val="left" w:pos="5097"/>
          <w:tab w:val="left" w:pos="6049"/>
        </w:tabs>
        <w:ind w:left="1264" w:right="1264" w:hanging="1264"/>
      </w:pPr>
      <w:r w:rsidRPr="00666FA7">
        <w:tab/>
      </w:r>
      <w:r w:rsidRPr="00666FA7">
        <w:tab/>
      </w:r>
      <w:r w:rsidR="00D46DD0" w:rsidRPr="00666FA7">
        <w:t xml:space="preserve">Draft report </w:t>
      </w:r>
    </w:p>
    <w:p w14:paraId="61230130" w14:textId="77777777" w:rsidR="00D46DD0" w:rsidRPr="00666FA7" w:rsidRDefault="00D46DD0" w:rsidP="00666FA7">
      <w:pPr>
        <w:pStyle w:val="SingleTxt"/>
        <w:spacing w:after="0" w:line="120" w:lineRule="atLeast"/>
        <w:rPr>
          <w:sz w:val="10"/>
        </w:rPr>
      </w:pPr>
    </w:p>
    <w:p w14:paraId="38A2E056" w14:textId="77777777" w:rsidR="00666FA7" w:rsidRPr="00666FA7" w:rsidRDefault="00666FA7" w:rsidP="00666FA7">
      <w:pPr>
        <w:pStyle w:val="SingleTxt"/>
        <w:spacing w:after="0" w:line="120" w:lineRule="atLeast"/>
        <w:rPr>
          <w:sz w:val="10"/>
        </w:rPr>
      </w:pPr>
    </w:p>
    <w:p w14:paraId="16F18115" w14:textId="1FDED392" w:rsidR="00D46DD0" w:rsidRPr="00666FA7" w:rsidRDefault="00666FA7" w:rsidP="00666FA7">
      <w:pPr>
        <w:pStyle w:val="H23"/>
      </w:pPr>
      <w:r w:rsidRPr="00666FA7">
        <w:tab/>
      </w:r>
      <w:r w:rsidRPr="00666FA7">
        <w:tab/>
      </w:r>
      <w:r w:rsidR="00D46DD0" w:rsidRPr="00666FA7">
        <w:t>Addendum</w:t>
      </w:r>
    </w:p>
    <w:p w14:paraId="49F1B2A8" w14:textId="77777777" w:rsidR="00D46DD0" w:rsidRPr="00666FA7" w:rsidRDefault="00D46DD0" w:rsidP="00666FA7">
      <w:pPr>
        <w:pStyle w:val="SingleTxt"/>
        <w:spacing w:after="0" w:line="120" w:lineRule="atLeast"/>
        <w:rPr>
          <w:sz w:val="10"/>
        </w:rPr>
      </w:pPr>
    </w:p>
    <w:p w14:paraId="0E575DA3" w14:textId="77777777" w:rsidR="00666FA7" w:rsidRPr="00666FA7" w:rsidRDefault="00666FA7" w:rsidP="00666FA7">
      <w:pPr>
        <w:pStyle w:val="SingleTxt"/>
        <w:spacing w:after="0" w:line="120" w:lineRule="atLeast"/>
        <w:rPr>
          <w:sz w:val="10"/>
        </w:rPr>
      </w:pPr>
    </w:p>
    <w:p w14:paraId="585FC16E" w14:textId="1641D225" w:rsidR="00D46DD0" w:rsidRPr="00666FA7" w:rsidRDefault="00666FA7" w:rsidP="00666FA7">
      <w:pPr>
        <w:pStyle w:val="HCh"/>
        <w:keepNext/>
        <w:keepLines/>
        <w:tabs>
          <w:tab w:val="clear" w:pos="1022"/>
          <w:tab w:val="clear" w:pos="1267"/>
          <w:tab w:val="clear" w:pos="1742"/>
          <w:tab w:val="clear" w:pos="2218"/>
          <w:tab w:val="clear" w:pos="3182"/>
          <w:tab w:val="clear" w:pos="3658"/>
          <w:tab w:val="clear" w:pos="4622"/>
          <w:tab w:val="clear" w:pos="5098"/>
          <w:tab w:val="clear" w:pos="6048"/>
          <w:tab w:val="right" w:pos="1020"/>
          <w:tab w:val="left" w:pos="1264"/>
          <w:tab w:val="left" w:pos="1740"/>
          <w:tab w:val="left" w:pos="2217"/>
          <w:tab w:val="left" w:pos="3180"/>
          <w:tab w:val="left" w:pos="3657"/>
          <w:tab w:val="left" w:pos="4620"/>
          <w:tab w:val="left" w:pos="5097"/>
          <w:tab w:val="left" w:pos="6049"/>
        </w:tabs>
        <w:ind w:left="1264" w:right="1264" w:hanging="1264"/>
      </w:pPr>
      <w:r w:rsidRPr="00666FA7">
        <w:tab/>
      </w:r>
      <w:r w:rsidR="00D46DD0" w:rsidRPr="00666FA7">
        <w:t>IV.</w:t>
      </w:r>
      <w:r w:rsidRPr="00666FA7">
        <w:tab/>
      </w:r>
      <w:r w:rsidR="00D46DD0" w:rsidRPr="00666FA7">
        <w:t>Finalization of the draft statute of the advisory centre on international investment dispute resolution</w:t>
      </w:r>
    </w:p>
    <w:p w14:paraId="6C8C701A" w14:textId="77777777" w:rsidR="00D46DD0" w:rsidRPr="00666FA7" w:rsidRDefault="00D46DD0" w:rsidP="00666FA7">
      <w:pPr>
        <w:pStyle w:val="SingleTxt"/>
        <w:spacing w:after="0" w:line="120" w:lineRule="atLeast"/>
        <w:rPr>
          <w:sz w:val="10"/>
        </w:rPr>
      </w:pPr>
    </w:p>
    <w:p w14:paraId="693D48B1" w14:textId="77777777" w:rsidR="00666FA7" w:rsidRPr="00666FA7" w:rsidRDefault="00666FA7" w:rsidP="00666FA7">
      <w:pPr>
        <w:pStyle w:val="SingleTxt"/>
        <w:spacing w:after="0" w:line="120" w:lineRule="atLeast"/>
        <w:rPr>
          <w:sz w:val="10"/>
        </w:rPr>
      </w:pPr>
    </w:p>
    <w:p w14:paraId="62B578CC" w14:textId="6C7055A0" w:rsidR="00D46DD0" w:rsidRPr="00666FA7" w:rsidRDefault="00666FA7" w:rsidP="00666FA7">
      <w:pPr>
        <w:pStyle w:val="H1"/>
        <w:tabs>
          <w:tab w:val="clear" w:pos="1022"/>
          <w:tab w:val="clear" w:pos="1267"/>
          <w:tab w:val="clear" w:pos="1742"/>
          <w:tab w:val="clear" w:pos="2218"/>
          <w:tab w:val="clear" w:pos="3182"/>
          <w:tab w:val="clear" w:pos="3658"/>
          <w:tab w:val="clear" w:pos="4622"/>
          <w:tab w:val="clear" w:pos="5098"/>
          <w:tab w:val="clear" w:pos="6048"/>
          <w:tab w:val="right" w:pos="1020"/>
          <w:tab w:val="left" w:pos="1264"/>
          <w:tab w:val="left" w:pos="1740"/>
          <w:tab w:val="left" w:pos="2217"/>
          <w:tab w:val="left" w:pos="3180"/>
          <w:tab w:val="left" w:pos="3657"/>
          <w:tab w:val="left" w:pos="4620"/>
          <w:tab w:val="left" w:pos="5097"/>
          <w:tab w:val="left" w:pos="6049"/>
        </w:tabs>
        <w:ind w:left="1259"/>
      </w:pPr>
      <w:r w:rsidRPr="00666FA7">
        <w:tab/>
      </w:r>
      <w:r w:rsidR="00D46DD0" w:rsidRPr="00666FA7">
        <w:t>A.</w:t>
      </w:r>
      <w:r w:rsidR="00D46DD0" w:rsidRPr="00666FA7">
        <w:tab/>
        <w:t>Background</w:t>
      </w:r>
    </w:p>
    <w:p w14:paraId="72027DFC" w14:textId="77777777" w:rsidR="00666FA7" w:rsidRPr="00666FA7" w:rsidRDefault="00666FA7" w:rsidP="00666FA7">
      <w:pPr>
        <w:pStyle w:val="SingleTxt"/>
        <w:spacing w:after="0" w:line="120" w:lineRule="atLeast"/>
        <w:rPr>
          <w:sz w:val="10"/>
        </w:rPr>
      </w:pPr>
    </w:p>
    <w:p w14:paraId="216243BD" w14:textId="77777777" w:rsidR="00666FA7" w:rsidRPr="00666FA7" w:rsidRDefault="00666FA7" w:rsidP="00666FA7">
      <w:pPr>
        <w:pStyle w:val="SingleTxt"/>
        <w:spacing w:after="0" w:line="120" w:lineRule="atLeast"/>
        <w:rPr>
          <w:sz w:val="10"/>
        </w:rPr>
      </w:pPr>
    </w:p>
    <w:p w14:paraId="66E824EA" w14:textId="145CC238" w:rsidR="00D46DD0" w:rsidRPr="00666FA7" w:rsidRDefault="00D46DD0" w:rsidP="00666FA7">
      <w:pPr>
        <w:pStyle w:val="SingleTxt"/>
        <w:numPr>
          <w:ilvl w:val="0"/>
          <w:numId w:val="37"/>
        </w:numPr>
        <w:ind w:left="1267" w:right="1267"/>
      </w:pPr>
      <w:r w:rsidRPr="00666FA7">
        <w:t>The Commission recalled that, in 2024, it had adopted in principle the statute of the Advisory Centre on International Investment Dispute Resolution and had further agreed that, in order to facilitate the preparatory work, an informal process involving all States and regional economic integration organizations (REIOs) would be utilized.</w:t>
      </w:r>
      <w:r w:rsidRPr="00666FA7">
        <w:rPr>
          <w:vertAlign w:val="superscript"/>
        </w:rPr>
        <w:footnoteReference w:id="1"/>
      </w:r>
      <w:r w:rsidR="00C52DED">
        <w:t xml:space="preserve"> </w:t>
      </w:r>
      <w:r w:rsidRPr="00666FA7">
        <w:t>The Commission recalled that it had agreed that, based on the outcome of those meetings, it would finalize the draft statute and present it to the General Assembly.</w:t>
      </w:r>
      <w:r w:rsidRPr="00666FA7">
        <w:rPr>
          <w:vertAlign w:val="superscript"/>
        </w:rPr>
        <w:footnoteReference w:id="2"/>
      </w:r>
    </w:p>
    <w:p w14:paraId="72DD1A0B" w14:textId="37EBEA85" w:rsidR="00D46DD0" w:rsidRPr="00666FA7" w:rsidRDefault="00D46DD0" w:rsidP="00666FA7">
      <w:pPr>
        <w:pStyle w:val="SingleTxt"/>
        <w:numPr>
          <w:ilvl w:val="0"/>
          <w:numId w:val="37"/>
        </w:numPr>
        <w:ind w:left="1267" w:right="1267"/>
      </w:pPr>
      <w:r w:rsidRPr="00666FA7">
        <w:t xml:space="preserve">The Commission also recalled that the location of the Centre should be determined through a holistic assessment of relevant factors listed in paragraph 201 of </w:t>
      </w:r>
      <w:hyperlink r:id="rId20" w:history="1">
        <w:r w:rsidRPr="00666FA7">
          <w:rPr>
            <w:rStyle w:val="Hyperlink"/>
          </w:rPr>
          <w:t>A/80/17</w:t>
        </w:r>
      </w:hyperlink>
      <w:r w:rsidRPr="00666FA7">
        <w:t>. In that context, the Commission was informed that eight Governments interested in hosting the Advisory Centre had submitted their proposals.</w:t>
      </w:r>
      <w:r w:rsidRPr="00666FA7">
        <w:rPr>
          <w:vertAlign w:val="superscript"/>
        </w:rPr>
        <w:footnoteReference w:id="3"/>
      </w:r>
      <w:r w:rsidRPr="00666FA7">
        <w:t xml:space="preserve"> </w:t>
      </w:r>
    </w:p>
    <w:p w14:paraId="273D0D8F" w14:textId="1BC4A716" w:rsidR="00D46DD0" w:rsidRPr="00666FA7" w:rsidRDefault="00D46DD0" w:rsidP="00666FA7">
      <w:pPr>
        <w:pStyle w:val="SingleTxt"/>
        <w:numPr>
          <w:ilvl w:val="0"/>
          <w:numId w:val="37"/>
        </w:numPr>
        <w:ind w:left="1267" w:right="1267"/>
      </w:pPr>
      <w:r w:rsidRPr="00666FA7">
        <w:t>The Commission had before it: (i) the draft Statute as adopted in principle by the Commission in 2024 (</w:t>
      </w:r>
      <w:r w:rsidR="00A00846">
        <w:t>a</w:t>
      </w:r>
      <w:r w:rsidRPr="00666FA7">
        <w:t xml:space="preserve">nnex III to </w:t>
      </w:r>
      <w:hyperlink r:id="rId21" w:history="1">
        <w:r w:rsidRPr="00666FA7">
          <w:rPr>
            <w:rStyle w:val="Hyperlink"/>
          </w:rPr>
          <w:t>A/79/17</w:t>
        </w:r>
      </w:hyperlink>
      <w:r w:rsidRPr="00666FA7">
        <w:t>); (ii) the summary of the third meeting on the operationalization of the Advisory Centre and updates to the Statute (</w:t>
      </w:r>
      <w:hyperlink r:id="rId22" w:history="1">
        <w:r w:rsidRPr="00666FA7">
          <w:rPr>
            <w:rStyle w:val="Hyperlink"/>
          </w:rPr>
          <w:t>A/CN.9/1265</w:t>
        </w:r>
      </w:hyperlink>
      <w:r w:rsidRPr="00666FA7">
        <w:t>); (iii) a note on the interim secretariat (</w:t>
      </w:r>
      <w:hyperlink r:id="rId23" w:history="1">
        <w:r w:rsidRPr="00666FA7">
          <w:rPr>
            <w:rStyle w:val="Hyperlink"/>
          </w:rPr>
          <w:t>A/CN.9/1266</w:t>
        </w:r>
      </w:hyperlink>
      <w:r w:rsidRPr="00666FA7">
        <w:t>); and (iv) a note on article 9 of the Statute and a draft decision by the Commission (</w:t>
      </w:r>
      <w:hyperlink r:id="rId24" w:history="1">
        <w:r w:rsidRPr="00666FA7">
          <w:rPr>
            <w:rStyle w:val="Hyperlink"/>
          </w:rPr>
          <w:t>A/CN.9/1268</w:t>
        </w:r>
      </w:hyperlink>
      <w:r w:rsidRPr="00666FA7">
        <w:t xml:space="preserve">). </w:t>
      </w:r>
    </w:p>
    <w:p w14:paraId="6C3E00A3" w14:textId="77777777" w:rsidR="00D46DD0" w:rsidRPr="00666FA7" w:rsidRDefault="00D46DD0" w:rsidP="00666FA7">
      <w:pPr>
        <w:pStyle w:val="SingleTxt"/>
        <w:spacing w:after="0" w:line="120" w:lineRule="atLeast"/>
        <w:ind w:left="1267"/>
        <w:rPr>
          <w:sz w:val="10"/>
        </w:rPr>
      </w:pPr>
    </w:p>
    <w:p w14:paraId="33AADAD4" w14:textId="77777777" w:rsidR="00666FA7" w:rsidRPr="00666FA7" w:rsidRDefault="00666FA7" w:rsidP="00666FA7">
      <w:pPr>
        <w:pStyle w:val="SingleTxt"/>
        <w:spacing w:after="0" w:line="120" w:lineRule="atLeast"/>
        <w:ind w:left="1267"/>
        <w:rPr>
          <w:sz w:val="10"/>
        </w:rPr>
      </w:pPr>
    </w:p>
    <w:p w14:paraId="21AB5751" w14:textId="48A154C2" w:rsidR="00D46DD0" w:rsidRPr="00666FA7" w:rsidRDefault="00666FA7" w:rsidP="00666FA7">
      <w:pPr>
        <w:pStyle w:val="H1"/>
        <w:keepNext/>
        <w:tabs>
          <w:tab w:val="clear" w:pos="1022"/>
          <w:tab w:val="clear" w:pos="1267"/>
          <w:tab w:val="clear" w:pos="1742"/>
          <w:tab w:val="clear" w:pos="2218"/>
          <w:tab w:val="clear" w:pos="3182"/>
          <w:tab w:val="clear" w:pos="3658"/>
          <w:tab w:val="clear" w:pos="4622"/>
          <w:tab w:val="clear" w:pos="5098"/>
          <w:tab w:val="clear" w:pos="6048"/>
          <w:tab w:val="right" w:pos="1020"/>
          <w:tab w:val="left" w:pos="1264"/>
          <w:tab w:val="left" w:pos="1740"/>
          <w:tab w:val="left" w:pos="2217"/>
          <w:tab w:val="left" w:pos="3180"/>
          <w:tab w:val="left" w:pos="3657"/>
          <w:tab w:val="left" w:pos="4620"/>
          <w:tab w:val="left" w:pos="5097"/>
          <w:tab w:val="left" w:pos="6049"/>
        </w:tabs>
        <w:ind w:left="1259"/>
      </w:pPr>
      <w:r>
        <w:lastRenderedPageBreak/>
        <w:tab/>
      </w:r>
      <w:r w:rsidR="00D46DD0" w:rsidRPr="00666FA7">
        <w:t>B.</w:t>
      </w:r>
      <w:r w:rsidR="00D46DD0" w:rsidRPr="00666FA7">
        <w:tab/>
        <w:t xml:space="preserve">Location(s) of the Advisory Centre </w:t>
      </w:r>
    </w:p>
    <w:p w14:paraId="454179B2" w14:textId="77777777" w:rsidR="00D46DD0" w:rsidRPr="00666FA7" w:rsidRDefault="00D46DD0" w:rsidP="00666FA7">
      <w:pPr>
        <w:pStyle w:val="SingleTxt"/>
        <w:keepNext/>
        <w:spacing w:after="0" w:line="120" w:lineRule="atLeast"/>
        <w:rPr>
          <w:sz w:val="10"/>
        </w:rPr>
      </w:pPr>
    </w:p>
    <w:p w14:paraId="00C85C91" w14:textId="77777777" w:rsidR="00666FA7" w:rsidRPr="00666FA7" w:rsidRDefault="00666FA7" w:rsidP="00666FA7">
      <w:pPr>
        <w:pStyle w:val="SingleTxt"/>
        <w:keepNext/>
        <w:spacing w:after="0" w:line="120" w:lineRule="atLeast"/>
        <w:rPr>
          <w:sz w:val="10"/>
        </w:rPr>
      </w:pPr>
    </w:p>
    <w:p w14:paraId="7BE66F23" w14:textId="39A92923" w:rsidR="00D46DD0" w:rsidRPr="00666FA7" w:rsidRDefault="00D46DD0" w:rsidP="00666FA7">
      <w:pPr>
        <w:pStyle w:val="SingleTxt"/>
        <w:keepNext/>
        <w:numPr>
          <w:ilvl w:val="0"/>
          <w:numId w:val="37"/>
        </w:numPr>
        <w:ind w:left="1267" w:right="1267"/>
      </w:pPr>
      <w:r w:rsidRPr="00666FA7">
        <w:t xml:space="preserve">The Commission considered the location of the headquarters and regional offices of the Centre. The candidate countries were invited to briefly present their proposals, including whether they wished to host the headquarters or a regional office and the support they would provide. </w:t>
      </w:r>
    </w:p>
    <w:p w14:paraId="52428AE0" w14:textId="05046B4E" w:rsidR="00D46DD0" w:rsidRPr="00666FA7" w:rsidRDefault="00D46DD0" w:rsidP="00666FA7">
      <w:pPr>
        <w:pStyle w:val="SingleTxt"/>
        <w:numPr>
          <w:ilvl w:val="0"/>
          <w:numId w:val="37"/>
        </w:numPr>
        <w:ind w:left="1267" w:right="1267"/>
      </w:pPr>
      <w:r w:rsidRPr="00666FA7">
        <w:t xml:space="preserve">The Governments of Morocco and Thailand indicated their wish to host the headquarters and their readiness to support the establishment of the Centre. The Governments of Armenia, France and Ghana expressed their interest in hosting a regional office. The Governments of Côte d’Ivoire and the Democratic Republic of the Congo expressed their interest in hosting either the headquarters or a regional office. </w:t>
      </w:r>
    </w:p>
    <w:p w14:paraId="5DD68246" w14:textId="1FE739D5" w:rsidR="00D46DD0" w:rsidRPr="00666FA7" w:rsidRDefault="00D46DD0" w:rsidP="00666FA7">
      <w:pPr>
        <w:pStyle w:val="SingleTxt"/>
        <w:numPr>
          <w:ilvl w:val="0"/>
          <w:numId w:val="37"/>
        </w:numPr>
        <w:ind w:left="1267" w:right="1267"/>
      </w:pPr>
      <w:r w:rsidRPr="00666FA7">
        <w:t xml:space="preserve">With regard to article </w:t>
      </w:r>
      <w:r w:rsidRPr="00016301">
        <w:t>9(3</w:t>
      </w:r>
      <w:r w:rsidRPr="00666FA7">
        <w:t xml:space="preserve">), support was expressed for retaining the paragraph as adopted in principle as it would preserve the flexibility of the Governing Committee to determine whether regional offices should be established and how, taking into account various factors. On the other hand, support was expressed for the proposed revision to article </w:t>
      </w:r>
      <w:r w:rsidRPr="005C66E0">
        <w:t>9(3</w:t>
      </w:r>
      <w:r w:rsidRPr="00666FA7">
        <w:t xml:space="preserve">) (see paras. 4 and 7 of </w:t>
      </w:r>
      <w:hyperlink r:id="rId25" w:history="1">
        <w:r w:rsidRPr="00666FA7">
          <w:rPr>
            <w:rStyle w:val="Hyperlink"/>
          </w:rPr>
          <w:t>A/CN.9/1268</w:t>
        </w:r>
      </w:hyperlink>
      <w:r w:rsidRPr="00666FA7">
        <w:t xml:space="preserve">), which would require the establishment of regional offices and provide guidance to the Governing Committee on their establishment. Yet another view was that such guidance should be less prescriptive. </w:t>
      </w:r>
    </w:p>
    <w:p w14:paraId="09509B8A" w14:textId="3B7C5CF5" w:rsidR="00D46DD0" w:rsidRPr="00666FA7" w:rsidRDefault="00D46DD0" w:rsidP="00666FA7">
      <w:pPr>
        <w:pStyle w:val="SingleTxt"/>
        <w:numPr>
          <w:ilvl w:val="0"/>
          <w:numId w:val="37"/>
        </w:numPr>
        <w:ind w:left="1267" w:right="1267"/>
      </w:pPr>
      <w:r w:rsidRPr="00666FA7">
        <w:t>It was suggested that such guidance could instead be reflected in the decision by the Commission, particularly if it were to refer to proposals submitted to the Commission. It was noted that flexibility should</w:t>
      </w:r>
      <w:r w:rsidR="00A50F6B">
        <w:t xml:space="preserve"> be</w:t>
      </w:r>
      <w:r w:rsidRPr="00666FA7">
        <w:t xml:space="preserve"> preserved, given that the membership of the Centre was not known and as not all United Nations regional groups were represented among the candidate countries.</w:t>
      </w:r>
    </w:p>
    <w:p w14:paraId="746BA405" w14:textId="4073E674" w:rsidR="00D46DD0" w:rsidRPr="00666FA7" w:rsidRDefault="00D46DD0" w:rsidP="00666FA7">
      <w:pPr>
        <w:pStyle w:val="SingleTxt"/>
        <w:numPr>
          <w:ilvl w:val="0"/>
          <w:numId w:val="37"/>
        </w:numPr>
        <w:ind w:left="1267" w:right="1267"/>
      </w:pPr>
      <w:bookmarkStart w:id="1" w:name="_Ref233678013"/>
      <w:r w:rsidRPr="00666FA7">
        <w:t xml:space="preserve">After discussion, the Commission agreed to revise article </w:t>
      </w:r>
      <w:r w:rsidRPr="007A7B50">
        <w:t>9(3</w:t>
      </w:r>
      <w:r w:rsidRPr="00666FA7">
        <w:t>) as follows: “The Governing Committee shall consider establishing regional offices of the Advisory Centre in the five (5) regional groups of the United Nations, as necessary. In the event that the Governing Committee establishes regional offices, it shall take into account the objectives and general principles set forth respectively in articles 2 and 3 of the Statute and ensure equitable geographical representation. Any regional office shall be located in the territory of a Member. The Advisory Centre shall conclude a host country agreement with the host State of the regional office.”</w:t>
      </w:r>
      <w:bookmarkEnd w:id="1"/>
    </w:p>
    <w:p w14:paraId="60803812" w14:textId="76A52087" w:rsidR="00D46DD0" w:rsidRPr="00666FA7" w:rsidRDefault="00D46DD0" w:rsidP="00666FA7">
      <w:pPr>
        <w:pStyle w:val="SingleTxt"/>
        <w:numPr>
          <w:ilvl w:val="0"/>
          <w:numId w:val="37"/>
        </w:numPr>
        <w:ind w:left="1267" w:right="1267"/>
      </w:pPr>
      <w:r w:rsidRPr="00666FA7">
        <w:t xml:space="preserve">It was clarified that the text would not preclude the establishment of several regional offices within one regional group. </w:t>
      </w:r>
    </w:p>
    <w:p w14:paraId="31F3E5E1" w14:textId="43A2DA1B" w:rsidR="00D46DD0" w:rsidRPr="00666FA7" w:rsidRDefault="00D46DD0" w:rsidP="00666FA7">
      <w:pPr>
        <w:pStyle w:val="SingleTxt"/>
        <w:numPr>
          <w:ilvl w:val="0"/>
          <w:numId w:val="37"/>
        </w:numPr>
        <w:ind w:left="1267" w:right="1267"/>
      </w:pPr>
      <w:bookmarkStart w:id="2" w:name="_Ref233678481"/>
      <w:r w:rsidRPr="00666FA7">
        <w:t xml:space="preserve">In addition, the Commission agreed that operative paragraph 5 in the draft decision in </w:t>
      </w:r>
      <w:hyperlink r:id="rId26" w:history="1">
        <w:r w:rsidRPr="00666FA7">
          <w:rPr>
            <w:rStyle w:val="Hyperlink"/>
          </w:rPr>
          <w:t>A/CN.9/1268</w:t>
        </w:r>
      </w:hyperlink>
      <w:r w:rsidRPr="00666FA7">
        <w:t xml:space="preserve"> would be revised as follows: “Recommends that the General Assembly urge the Governing Committee, when establishing regional offices, to take into account the proposals submitted to the United Nations Commission on International Trade Law in 2025 with regard to establishment of the headquarters and regional offices of the Advisory Centre.”</w:t>
      </w:r>
      <w:bookmarkEnd w:id="2"/>
    </w:p>
    <w:p w14:paraId="74C6AC52" w14:textId="616004B3" w:rsidR="00D46DD0" w:rsidRPr="00666FA7" w:rsidRDefault="00D46DD0" w:rsidP="00666FA7">
      <w:pPr>
        <w:pStyle w:val="SingleTxt"/>
        <w:numPr>
          <w:ilvl w:val="0"/>
          <w:numId w:val="37"/>
        </w:numPr>
        <w:ind w:left="1267" w:right="1267"/>
      </w:pPr>
      <w:r w:rsidRPr="00666FA7">
        <w:t xml:space="preserve">It was clarified that this would not bind the Governing Committee to proposals received by the Commission in 2025 when it took the decision to establish regional offices and that it would be able to take into account any additional proposals and the relevant circumstances. </w:t>
      </w:r>
    </w:p>
    <w:p w14:paraId="3267D470" w14:textId="77777777" w:rsidR="00666FA7" w:rsidRPr="00666FA7" w:rsidRDefault="00666FA7" w:rsidP="00666FA7">
      <w:pPr>
        <w:pStyle w:val="SingleTxt"/>
        <w:spacing w:after="0" w:line="120" w:lineRule="atLeast"/>
        <w:rPr>
          <w:b/>
          <w:bCs/>
          <w:sz w:val="10"/>
        </w:rPr>
      </w:pPr>
    </w:p>
    <w:p w14:paraId="41146510" w14:textId="77777777" w:rsidR="00666FA7" w:rsidRPr="00666FA7" w:rsidRDefault="00666FA7" w:rsidP="00666FA7">
      <w:pPr>
        <w:pStyle w:val="SingleTxt"/>
        <w:spacing w:after="0" w:line="120" w:lineRule="atLeast"/>
        <w:rPr>
          <w:b/>
          <w:bCs/>
          <w:sz w:val="10"/>
        </w:rPr>
      </w:pPr>
    </w:p>
    <w:p w14:paraId="04CDBFDA" w14:textId="40819334" w:rsidR="00D46DD0" w:rsidRPr="00666FA7" w:rsidRDefault="00666FA7" w:rsidP="00666FA7">
      <w:pPr>
        <w:pStyle w:val="H1"/>
        <w:tabs>
          <w:tab w:val="clear" w:pos="1022"/>
          <w:tab w:val="clear" w:pos="1267"/>
          <w:tab w:val="clear" w:pos="1742"/>
          <w:tab w:val="clear" w:pos="2218"/>
          <w:tab w:val="clear" w:pos="3182"/>
          <w:tab w:val="clear" w:pos="3658"/>
          <w:tab w:val="clear" w:pos="4622"/>
          <w:tab w:val="clear" w:pos="5098"/>
          <w:tab w:val="clear" w:pos="6048"/>
          <w:tab w:val="right" w:pos="1020"/>
          <w:tab w:val="left" w:pos="1264"/>
          <w:tab w:val="left" w:pos="1740"/>
          <w:tab w:val="left" w:pos="2217"/>
          <w:tab w:val="left" w:pos="3180"/>
          <w:tab w:val="left" w:pos="3657"/>
          <w:tab w:val="left" w:pos="4620"/>
          <w:tab w:val="left" w:pos="5097"/>
          <w:tab w:val="left" w:pos="6049"/>
        </w:tabs>
        <w:ind w:left="1259"/>
      </w:pPr>
      <w:r>
        <w:tab/>
      </w:r>
      <w:r w:rsidR="00D46DD0" w:rsidRPr="00666FA7">
        <w:t>C.</w:t>
      </w:r>
      <w:r w:rsidR="00D46DD0" w:rsidRPr="00666FA7">
        <w:tab/>
        <w:t xml:space="preserve">Updated Statute (Chapter IX in </w:t>
      </w:r>
      <w:hyperlink r:id="rId27" w:history="1">
        <w:r w:rsidR="00D46DD0" w:rsidRPr="00666FA7">
          <w:rPr>
            <w:rStyle w:val="Hyperlink"/>
            <w:bCs/>
          </w:rPr>
          <w:t>A/CN.9/1265</w:t>
        </w:r>
      </w:hyperlink>
      <w:r w:rsidR="00D46DD0" w:rsidRPr="00666FA7">
        <w:t>)</w:t>
      </w:r>
    </w:p>
    <w:p w14:paraId="6445BD9F" w14:textId="77777777" w:rsidR="00D46DD0" w:rsidRPr="00666FA7" w:rsidRDefault="00D46DD0" w:rsidP="00666FA7">
      <w:pPr>
        <w:pStyle w:val="SingleTxt"/>
        <w:spacing w:after="0" w:line="120" w:lineRule="atLeast"/>
        <w:rPr>
          <w:sz w:val="10"/>
        </w:rPr>
      </w:pPr>
    </w:p>
    <w:p w14:paraId="7DCDFBE8" w14:textId="77777777" w:rsidR="00666FA7" w:rsidRPr="00666FA7" w:rsidRDefault="00666FA7" w:rsidP="00666FA7">
      <w:pPr>
        <w:pStyle w:val="SingleTxt"/>
        <w:spacing w:after="0" w:line="120" w:lineRule="atLeast"/>
        <w:rPr>
          <w:sz w:val="10"/>
        </w:rPr>
      </w:pPr>
    </w:p>
    <w:p w14:paraId="62887C23" w14:textId="63B31F51" w:rsidR="00D46DD0" w:rsidRPr="00666FA7" w:rsidRDefault="00D46DD0" w:rsidP="00666FA7">
      <w:pPr>
        <w:pStyle w:val="SingleTxt"/>
        <w:numPr>
          <w:ilvl w:val="0"/>
          <w:numId w:val="37"/>
        </w:numPr>
        <w:ind w:left="1267" w:right="1267"/>
      </w:pPr>
      <w:r w:rsidRPr="00666FA7">
        <w:t>The Commission confirmed that reference to “Protocol” should be replaced with “Statute</w:t>
      </w:r>
      <w:r w:rsidRPr="00666FA7" w:rsidDel="00B9047F">
        <w:t>”</w:t>
      </w:r>
      <w:r w:rsidRPr="00666FA7">
        <w:t xml:space="preserve">, while it was still envisaged that the Statute could eventually become a protocol to the multilateral instrument on ISDS reform. </w:t>
      </w:r>
    </w:p>
    <w:p w14:paraId="52BA5A48" w14:textId="77777777" w:rsidR="00666FA7" w:rsidRPr="00666FA7" w:rsidRDefault="00666FA7" w:rsidP="00666FA7">
      <w:pPr>
        <w:pStyle w:val="SingleTxt"/>
        <w:spacing w:after="0" w:line="120" w:lineRule="atLeast"/>
        <w:rPr>
          <w:b/>
          <w:bCs/>
          <w:i/>
          <w:iCs/>
          <w:sz w:val="10"/>
        </w:rPr>
      </w:pPr>
    </w:p>
    <w:p w14:paraId="290F42D4" w14:textId="26DA26E8" w:rsidR="00D46DD0" w:rsidRPr="00AB5378" w:rsidRDefault="00666FA7" w:rsidP="00593489">
      <w:pPr>
        <w:pStyle w:val="H23"/>
        <w:keepNext/>
      </w:pPr>
      <w:r w:rsidRPr="00AB5378">
        <w:lastRenderedPageBreak/>
        <w:tab/>
      </w:r>
      <w:r w:rsidRPr="00AB5378">
        <w:tab/>
      </w:r>
      <w:r w:rsidR="00D46DD0" w:rsidRPr="00AB5378">
        <w:t xml:space="preserve">Composition of the Executive Committee </w:t>
      </w:r>
      <w:r w:rsidR="00AB5378">
        <w:t>–</w:t>
      </w:r>
      <w:r w:rsidR="00D46DD0" w:rsidRPr="00AB5378">
        <w:t xml:space="preserve"> articles </w:t>
      </w:r>
      <w:r w:rsidR="00D46DD0" w:rsidRPr="00AB5378">
        <w:rPr>
          <w:bCs/>
        </w:rPr>
        <w:t>5(3</w:t>
      </w:r>
      <w:r w:rsidR="00D46DD0" w:rsidRPr="00AB5378">
        <w:t xml:space="preserve">)(b), </w:t>
      </w:r>
      <w:r w:rsidR="00D46DD0" w:rsidRPr="00AB5378">
        <w:rPr>
          <w:bCs/>
        </w:rPr>
        <w:t>5(3</w:t>
      </w:r>
      <w:r w:rsidR="00D46DD0" w:rsidRPr="00AB5378">
        <w:t xml:space="preserve">)(c) and </w:t>
      </w:r>
      <w:r w:rsidR="00D46DD0" w:rsidRPr="00AB5378">
        <w:rPr>
          <w:bCs/>
        </w:rPr>
        <w:t>5(5</w:t>
      </w:r>
      <w:r w:rsidR="00D46DD0" w:rsidRPr="00AB5378">
        <w:t xml:space="preserve">) </w:t>
      </w:r>
    </w:p>
    <w:p w14:paraId="495CCC30" w14:textId="77777777" w:rsidR="00593489" w:rsidRPr="00593489" w:rsidRDefault="00593489" w:rsidP="00593489">
      <w:pPr>
        <w:pStyle w:val="SingleTxt"/>
        <w:keepNext/>
        <w:spacing w:after="0" w:line="120" w:lineRule="atLeast"/>
        <w:rPr>
          <w:sz w:val="10"/>
        </w:rPr>
      </w:pPr>
    </w:p>
    <w:p w14:paraId="49837903" w14:textId="19473840" w:rsidR="00D46DD0" w:rsidRPr="00666FA7" w:rsidRDefault="00D46DD0" w:rsidP="00593489">
      <w:pPr>
        <w:pStyle w:val="SingleTxt"/>
        <w:keepNext/>
        <w:numPr>
          <w:ilvl w:val="0"/>
          <w:numId w:val="37"/>
        </w:numPr>
        <w:ind w:left="1267" w:right="1267"/>
      </w:pPr>
      <w:r w:rsidRPr="00666FA7">
        <w:t xml:space="preserve">The Commission recalled that article </w:t>
      </w:r>
      <w:r w:rsidRPr="00AB5378">
        <w:t>5(5</w:t>
      </w:r>
      <w:r w:rsidRPr="00666FA7">
        <w:t xml:space="preserve">) of the Statute adopted in principle provided for the Executive Committee to be composed of members nominated </w:t>
      </w:r>
      <w:r w:rsidR="00AB5378">
        <w:br/>
      </w:r>
      <w:r w:rsidRPr="00666FA7">
        <w:t>from different groups of Members. Having considered the recommendation in paragraphs 49</w:t>
      </w:r>
      <w:r w:rsidR="00AB5378">
        <w:t>–</w:t>
      </w:r>
      <w:r w:rsidRPr="00666FA7">
        <w:t xml:space="preserve">50 of </w:t>
      </w:r>
      <w:hyperlink r:id="rId28" w:history="1">
        <w:r w:rsidRPr="00666FA7">
          <w:rPr>
            <w:rStyle w:val="Hyperlink"/>
          </w:rPr>
          <w:t>A/CN.9/1265</w:t>
        </w:r>
      </w:hyperlink>
      <w:r w:rsidRPr="00666FA7">
        <w:t xml:space="preserve">, the Commission approved the revised text of article </w:t>
      </w:r>
      <w:r w:rsidRPr="00AB5378">
        <w:t>5(5</w:t>
      </w:r>
      <w:r w:rsidRPr="00666FA7">
        <w:t xml:space="preserve">). </w:t>
      </w:r>
    </w:p>
    <w:p w14:paraId="53C63231" w14:textId="7007B4F4" w:rsidR="00D46DD0" w:rsidRPr="00666FA7" w:rsidRDefault="00D46DD0" w:rsidP="00666FA7">
      <w:pPr>
        <w:pStyle w:val="SingleTxt"/>
        <w:numPr>
          <w:ilvl w:val="0"/>
          <w:numId w:val="37"/>
        </w:numPr>
        <w:ind w:left="1267" w:right="1267"/>
      </w:pPr>
      <w:r w:rsidRPr="00666FA7">
        <w:t xml:space="preserve">It was further agreed that the second sentence in article </w:t>
      </w:r>
      <w:r w:rsidRPr="0058440A">
        <w:t>5(5</w:t>
      </w:r>
      <w:r w:rsidRPr="00666FA7">
        <w:t xml:space="preserve">) should be placed after the third sentence. </w:t>
      </w:r>
    </w:p>
    <w:p w14:paraId="7580744A" w14:textId="461C7B81" w:rsidR="00D46DD0" w:rsidRPr="00666FA7" w:rsidRDefault="00D46DD0" w:rsidP="00666FA7">
      <w:pPr>
        <w:pStyle w:val="SingleTxt"/>
        <w:numPr>
          <w:ilvl w:val="0"/>
          <w:numId w:val="37"/>
        </w:numPr>
        <w:ind w:left="1267" w:right="1267"/>
      </w:pPr>
      <w:r w:rsidRPr="00666FA7">
        <w:t xml:space="preserve">The Commission further approved the revised text of: (i) article </w:t>
      </w:r>
      <w:r w:rsidRPr="0058440A">
        <w:t>5(3</w:t>
      </w:r>
      <w:r w:rsidRPr="00666FA7">
        <w:t xml:space="preserve">)(b), which entrusted the Governing Committee to adopt regulations, including those governing the nomination and appointment process for the members of the Executive Committee and the Executive Director; and (ii) article </w:t>
      </w:r>
      <w:r w:rsidRPr="0058440A">
        <w:t>5(3</w:t>
      </w:r>
      <w:r w:rsidRPr="00666FA7">
        <w:t>)(c), which provided the criteria for appointing the members of the Executive Committee.</w:t>
      </w:r>
    </w:p>
    <w:p w14:paraId="651F346E" w14:textId="77777777" w:rsidR="00593489" w:rsidRPr="00593489" w:rsidRDefault="00593489" w:rsidP="00593489">
      <w:pPr>
        <w:pStyle w:val="SingleTxt"/>
        <w:spacing w:after="0" w:line="120" w:lineRule="atLeast"/>
        <w:rPr>
          <w:b/>
          <w:bCs/>
          <w:i/>
          <w:iCs/>
          <w:sz w:val="10"/>
        </w:rPr>
      </w:pPr>
    </w:p>
    <w:p w14:paraId="5BFA29B3" w14:textId="7DBEE8A9" w:rsidR="00D46DD0" w:rsidRPr="004C6B12" w:rsidRDefault="00593489" w:rsidP="00593489">
      <w:pPr>
        <w:pStyle w:val="H23"/>
      </w:pPr>
      <w:r w:rsidRPr="004C6B12">
        <w:tab/>
      </w:r>
      <w:r w:rsidRPr="004C6B12">
        <w:tab/>
      </w:r>
      <w:r w:rsidR="00D46DD0" w:rsidRPr="004C6B12">
        <w:t xml:space="preserve">Classification for determining priority in accessing services </w:t>
      </w:r>
      <w:r w:rsidR="0058440A" w:rsidRPr="004C6B12">
        <w:t>–</w:t>
      </w:r>
      <w:r w:rsidR="00D46DD0" w:rsidRPr="004C6B12">
        <w:t xml:space="preserve"> article </w:t>
      </w:r>
      <w:r w:rsidR="00D46DD0" w:rsidRPr="004C6B12">
        <w:rPr>
          <w:bCs/>
        </w:rPr>
        <w:t>7(3</w:t>
      </w:r>
      <w:r w:rsidR="00D46DD0" w:rsidRPr="004C6B12">
        <w:t xml:space="preserve">) </w:t>
      </w:r>
    </w:p>
    <w:p w14:paraId="5D744877" w14:textId="77777777" w:rsidR="00593489" w:rsidRPr="00593489" w:rsidRDefault="00593489" w:rsidP="00593489">
      <w:pPr>
        <w:pStyle w:val="SingleTxt"/>
        <w:spacing w:after="0" w:line="120" w:lineRule="atLeast"/>
        <w:rPr>
          <w:sz w:val="10"/>
        </w:rPr>
      </w:pPr>
    </w:p>
    <w:p w14:paraId="271EAABF" w14:textId="7CE82AC2" w:rsidR="00D46DD0" w:rsidRPr="00666FA7" w:rsidRDefault="00D46DD0" w:rsidP="00666FA7">
      <w:pPr>
        <w:pStyle w:val="SingleTxt"/>
        <w:numPr>
          <w:ilvl w:val="0"/>
          <w:numId w:val="37"/>
        </w:numPr>
        <w:ind w:left="1267" w:right="1267"/>
      </w:pPr>
      <w:r w:rsidRPr="00666FA7">
        <w:t xml:space="preserve">The Commission considered the classification for determining priority in accessing services under article </w:t>
      </w:r>
      <w:r w:rsidRPr="004C6B12">
        <w:t>7(1</w:t>
      </w:r>
      <w:r w:rsidRPr="00666FA7">
        <w:t xml:space="preserve">). Having considered the recommendation in paragraph 21 of </w:t>
      </w:r>
      <w:hyperlink r:id="rId29" w:history="1">
        <w:r w:rsidRPr="00666FA7">
          <w:rPr>
            <w:rStyle w:val="Hyperlink"/>
          </w:rPr>
          <w:t>A/CN.9/1265</w:t>
        </w:r>
      </w:hyperlink>
      <w:r w:rsidRPr="00666FA7">
        <w:t xml:space="preserve">, the Commission agreed that priority should be given to least developed countries (LDCs) as reflected in the list maintained by the United Nations, followed by other Members. It was considered that such a classification would be simple to manage. Accordingly, the Commission approved the revised text of article </w:t>
      </w:r>
      <w:r w:rsidRPr="0065486E">
        <w:t>5(3</w:t>
      </w:r>
      <w:r w:rsidRPr="00666FA7">
        <w:t>).</w:t>
      </w:r>
      <w:r w:rsidR="00666FA7" w:rsidRPr="00666FA7">
        <w:t xml:space="preserve"> </w:t>
      </w:r>
    </w:p>
    <w:p w14:paraId="3DFA1777" w14:textId="77777777" w:rsidR="00593489" w:rsidRPr="00593489" w:rsidRDefault="00593489" w:rsidP="00593489">
      <w:pPr>
        <w:pStyle w:val="SingleTxt"/>
        <w:spacing w:after="0" w:line="120" w:lineRule="atLeast"/>
        <w:rPr>
          <w:b/>
          <w:bCs/>
          <w:i/>
          <w:iCs/>
          <w:sz w:val="10"/>
        </w:rPr>
      </w:pPr>
    </w:p>
    <w:p w14:paraId="5E891862" w14:textId="7DC9C78F" w:rsidR="00D46DD0" w:rsidRPr="0065486E" w:rsidRDefault="00593489" w:rsidP="00593489">
      <w:pPr>
        <w:pStyle w:val="H23"/>
      </w:pPr>
      <w:r w:rsidRPr="0065486E">
        <w:tab/>
      </w:r>
      <w:r w:rsidRPr="0065486E">
        <w:tab/>
      </w:r>
      <w:r w:rsidR="00D46DD0" w:rsidRPr="0065486E">
        <w:t xml:space="preserve">Classification for budget allocation – articles </w:t>
      </w:r>
      <w:r w:rsidR="00D46DD0" w:rsidRPr="0065486E">
        <w:rPr>
          <w:bCs/>
        </w:rPr>
        <w:t>5(3</w:t>
      </w:r>
      <w:r w:rsidR="00D46DD0" w:rsidRPr="0065486E">
        <w:t xml:space="preserve">)(h), </w:t>
      </w:r>
      <w:r w:rsidR="00D46DD0" w:rsidRPr="0065486E">
        <w:rPr>
          <w:bCs/>
        </w:rPr>
        <w:t>5(3</w:t>
      </w:r>
      <w:r w:rsidR="00D46DD0" w:rsidRPr="0065486E">
        <w:t xml:space="preserve">)(i), </w:t>
      </w:r>
      <w:r w:rsidR="00D46DD0" w:rsidRPr="0065486E">
        <w:rPr>
          <w:bCs/>
        </w:rPr>
        <w:t>8(2</w:t>
      </w:r>
      <w:r w:rsidR="00D46DD0" w:rsidRPr="0065486E">
        <w:t xml:space="preserve">) and the </w:t>
      </w:r>
      <w:r w:rsidR="0065486E">
        <w:t>a</w:t>
      </w:r>
      <w:r w:rsidR="00D46DD0" w:rsidRPr="0065486E">
        <w:t xml:space="preserve">nnex </w:t>
      </w:r>
    </w:p>
    <w:p w14:paraId="0CD8159B" w14:textId="77777777" w:rsidR="00593489" w:rsidRPr="00593489" w:rsidRDefault="00593489" w:rsidP="00593489">
      <w:pPr>
        <w:pStyle w:val="SingleTxt"/>
        <w:spacing w:after="0" w:line="120" w:lineRule="atLeast"/>
        <w:rPr>
          <w:sz w:val="10"/>
        </w:rPr>
      </w:pPr>
    </w:p>
    <w:p w14:paraId="4C794DE1" w14:textId="40F9A898" w:rsidR="00D46DD0" w:rsidRPr="00666FA7" w:rsidRDefault="00D46DD0" w:rsidP="00666FA7">
      <w:pPr>
        <w:pStyle w:val="SingleTxt"/>
        <w:numPr>
          <w:ilvl w:val="0"/>
          <w:numId w:val="37"/>
        </w:numPr>
        <w:ind w:left="1267" w:right="1267"/>
      </w:pPr>
      <w:r w:rsidRPr="00666FA7">
        <w:t xml:space="preserve">The Commission considered article </w:t>
      </w:r>
      <w:r w:rsidRPr="0065486E">
        <w:t>8(2</w:t>
      </w:r>
      <w:r w:rsidRPr="00666FA7">
        <w:t xml:space="preserve">) and the </w:t>
      </w:r>
      <w:r w:rsidR="0065486E">
        <w:t>a</w:t>
      </w:r>
      <w:r w:rsidRPr="00666FA7">
        <w:t xml:space="preserve">nnex to the Statute, the latter providing detailed rules on how the financial contributions by Members would be determined. The Commission considered the recommendations in paragraph 23 of </w:t>
      </w:r>
      <w:hyperlink r:id="rId30" w:history="1">
        <w:r w:rsidRPr="00666FA7">
          <w:rPr>
            <w:rStyle w:val="Hyperlink"/>
          </w:rPr>
          <w:t>A/CN.9/1265</w:t>
        </w:r>
      </w:hyperlink>
      <w:r w:rsidRPr="00666FA7">
        <w:t xml:space="preserve"> and agreed that (i) Members’ contributions should cover the entirety of the Centre’s budget; (ii) contributions should be based on the scale of assessments for the apportionment of the “regular budget” of the United Nations (instead of the word “expenses” in paragraph 1 of the </w:t>
      </w:r>
      <w:r w:rsidR="0086216F">
        <w:t>a</w:t>
      </w:r>
      <w:r w:rsidRPr="00666FA7">
        <w:t>nnex); (iii) Members should be classified into five groups based on their assessment rates; (iv) contribution caps should apply to each group; (v) contributions should decrease as membership expands; (vi) the contribution of REIOs should be calculated based on the average assessment rates of their member States; and (vii) the budget cycle and payment modalities should be set out in regulations to be adopted by the Governing Committee.</w:t>
      </w:r>
    </w:p>
    <w:p w14:paraId="64AD8841" w14:textId="4F35A3F9" w:rsidR="00D46DD0" w:rsidRPr="00666FA7" w:rsidRDefault="00D46DD0" w:rsidP="00666FA7">
      <w:pPr>
        <w:pStyle w:val="SingleTxt"/>
        <w:numPr>
          <w:ilvl w:val="0"/>
          <w:numId w:val="37"/>
        </w:numPr>
        <w:ind w:left="1267" w:right="1267"/>
      </w:pPr>
      <w:r w:rsidRPr="00666FA7">
        <w:t xml:space="preserve">In considering article </w:t>
      </w:r>
      <w:r w:rsidRPr="0086216F">
        <w:t>5(3</w:t>
      </w:r>
      <w:r w:rsidRPr="00666FA7">
        <w:t xml:space="preserve">)(h) and (i), the Commission confirmed that the assessed contributions of Members, as calculated in accordance with the </w:t>
      </w:r>
      <w:r w:rsidR="0086216F">
        <w:t>a</w:t>
      </w:r>
      <w:r w:rsidRPr="00666FA7">
        <w:t>nnex, would also be adopted by the Governing Committee together with the budget itself.</w:t>
      </w:r>
    </w:p>
    <w:p w14:paraId="70510572" w14:textId="57E06126" w:rsidR="00D46DD0" w:rsidRPr="00666FA7" w:rsidRDefault="00D46DD0" w:rsidP="00666FA7">
      <w:pPr>
        <w:pStyle w:val="SingleTxt"/>
        <w:numPr>
          <w:ilvl w:val="0"/>
          <w:numId w:val="37"/>
        </w:numPr>
        <w:ind w:left="1267" w:right="1267"/>
      </w:pPr>
      <w:r w:rsidRPr="00666FA7">
        <w:t xml:space="preserve">Subject to the above-mentioned change, the Commission approved the revised text of article </w:t>
      </w:r>
      <w:r w:rsidRPr="0086216F">
        <w:t>5(3</w:t>
      </w:r>
      <w:r w:rsidRPr="00666FA7">
        <w:t xml:space="preserve">)(h) and (i), article </w:t>
      </w:r>
      <w:r w:rsidRPr="0086216F">
        <w:t>8(2</w:t>
      </w:r>
      <w:r w:rsidRPr="00666FA7">
        <w:t xml:space="preserve">) as well as the </w:t>
      </w:r>
      <w:r w:rsidR="0086216F">
        <w:t>a</w:t>
      </w:r>
      <w:r w:rsidRPr="00666FA7">
        <w:t>nnex (see para. 23 below).</w:t>
      </w:r>
      <w:r w:rsidR="00666FA7" w:rsidRPr="00666FA7">
        <w:t xml:space="preserve"> </w:t>
      </w:r>
    </w:p>
    <w:p w14:paraId="5A61DC36" w14:textId="77777777" w:rsidR="0085647D" w:rsidRPr="0085647D" w:rsidRDefault="0085647D" w:rsidP="0085647D">
      <w:pPr>
        <w:pStyle w:val="SingleTxt"/>
        <w:spacing w:after="0" w:line="120" w:lineRule="atLeast"/>
        <w:rPr>
          <w:b/>
          <w:bCs/>
          <w:i/>
          <w:iCs/>
          <w:sz w:val="10"/>
        </w:rPr>
      </w:pPr>
    </w:p>
    <w:p w14:paraId="6F4ACC77" w14:textId="1EBE40BC" w:rsidR="00D46DD0" w:rsidRPr="0086216F" w:rsidRDefault="0085647D" w:rsidP="0085647D">
      <w:pPr>
        <w:pStyle w:val="H23"/>
      </w:pPr>
      <w:r w:rsidRPr="0086216F">
        <w:tab/>
      </w:r>
      <w:r w:rsidRPr="0086216F">
        <w:tab/>
      </w:r>
      <w:r w:rsidR="00D46DD0" w:rsidRPr="0086216F">
        <w:t xml:space="preserve">Classification for fees for services </w:t>
      </w:r>
      <w:r w:rsidR="0086216F" w:rsidRPr="0086216F">
        <w:t>–</w:t>
      </w:r>
      <w:r w:rsidR="00D46DD0" w:rsidRPr="0086216F">
        <w:t xml:space="preserve"> article </w:t>
      </w:r>
      <w:r w:rsidR="00D46DD0" w:rsidRPr="0086216F">
        <w:rPr>
          <w:bCs/>
        </w:rPr>
        <w:t>8(3</w:t>
      </w:r>
      <w:r w:rsidR="00D46DD0" w:rsidRPr="0086216F">
        <w:t>)</w:t>
      </w:r>
    </w:p>
    <w:p w14:paraId="001F90CE" w14:textId="77777777" w:rsidR="0085647D" w:rsidRPr="0085647D" w:rsidRDefault="0085647D" w:rsidP="0085647D">
      <w:pPr>
        <w:pStyle w:val="SingleTxt"/>
        <w:spacing w:after="0" w:line="120" w:lineRule="atLeast"/>
        <w:rPr>
          <w:sz w:val="10"/>
        </w:rPr>
      </w:pPr>
    </w:p>
    <w:p w14:paraId="2392DA5B" w14:textId="2AC8A53A" w:rsidR="00D46DD0" w:rsidRPr="00666FA7" w:rsidRDefault="00D46DD0" w:rsidP="00666FA7">
      <w:pPr>
        <w:pStyle w:val="SingleTxt"/>
        <w:numPr>
          <w:ilvl w:val="0"/>
          <w:numId w:val="37"/>
        </w:numPr>
        <w:ind w:left="1267" w:right="1267"/>
      </w:pPr>
      <w:r w:rsidRPr="00666FA7">
        <w:t xml:space="preserve">The Commission considered the recommendation in paragraph 50 of </w:t>
      </w:r>
      <w:hyperlink r:id="rId31" w:history="1">
        <w:r w:rsidRPr="00666FA7">
          <w:rPr>
            <w:rStyle w:val="Hyperlink"/>
          </w:rPr>
          <w:t>A/CN.9/1265</w:t>
        </w:r>
      </w:hyperlink>
      <w:r w:rsidRPr="00666FA7">
        <w:t xml:space="preserve"> regarding the classification for fees for services under article </w:t>
      </w:r>
      <w:r w:rsidRPr="00EB588F">
        <w:t>7(1</w:t>
      </w:r>
      <w:r w:rsidRPr="00666FA7">
        <w:t xml:space="preserve">). It was noted that the classification for budget allocation of the Centre as set forth in the </w:t>
      </w:r>
      <w:r w:rsidR="00EB588F">
        <w:t>a</w:t>
      </w:r>
      <w:r w:rsidRPr="00666FA7">
        <w:t xml:space="preserve">nnex would be the basis for determining the fees, with the amount of fees progressively increasing from Groups I to V. It was further noted that the fees for </w:t>
      </w:r>
      <w:r w:rsidR="00EB588F">
        <w:br/>
      </w:r>
      <w:r w:rsidRPr="00666FA7">
        <w:t xml:space="preserve">non-Members would be equal to or higher than those charged to Group V, unless determined otherwise by the Governing Committee. After discussion, the Commission approved the revised text of article </w:t>
      </w:r>
      <w:r w:rsidRPr="00EB588F">
        <w:t>8(3</w:t>
      </w:r>
      <w:r w:rsidRPr="00666FA7">
        <w:t>)(b).</w:t>
      </w:r>
    </w:p>
    <w:p w14:paraId="7A08725C" w14:textId="77777777" w:rsidR="0085647D" w:rsidRPr="0085647D" w:rsidRDefault="0085647D" w:rsidP="0085647D">
      <w:pPr>
        <w:pStyle w:val="SingleTxt"/>
        <w:spacing w:after="0" w:line="120" w:lineRule="atLeast"/>
        <w:rPr>
          <w:b/>
          <w:bCs/>
          <w:i/>
          <w:iCs/>
          <w:sz w:val="10"/>
        </w:rPr>
      </w:pPr>
    </w:p>
    <w:p w14:paraId="53CFA8E7" w14:textId="15F5B09D" w:rsidR="00D46DD0" w:rsidRPr="00EB588F" w:rsidRDefault="0085647D" w:rsidP="0085647D">
      <w:pPr>
        <w:pStyle w:val="H23"/>
        <w:keepNext/>
      </w:pPr>
      <w:r w:rsidRPr="00EB588F">
        <w:lastRenderedPageBreak/>
        <w:tab/>
      </w:r>
      <w:r w:rsidRPr="00EB588F">
        <w:tab/>
      </w:r>
      <w:r w:rsidR="00D46DD0" w:rsidRPr="00EB588F">
        <w:t xml:space="preserve">Classifications of Members – article </w:t>
      </w:r>
      <w:r w:rsidR="00D46DD0" w:rsidRPr="00EB588F">
        <w:rPr>
          <w:bCs/>
        </w:rPr>
        <w:t>4(3</w:t>
      </w:r>
      <w:r w:rsidR="00D46DD0" w:rsidRPr="00EB588F">
        <w:t xml:space="preserve">) </w:t>
      </w:r>
    </w:p>
    <w:p w14:paraId="21EBFC16" w14:textId="77777777" w:rsidR="0085647D" w:rsidRPr="0085647D" w:rsidRDefault="0085647D" w:rsidP="0085647D">
      <w:pPr>
        <w:pStyle w:val="SingleTxt"/>
        <w:keepNext/>
        <w:spacing w:after="0" w:line="120" w:lineRule="atLeast"/>
        <w:rPr>
          <w:sz w:val="10"/>
        </w:rPr>
      </w:pPr>
    </w:p>
    <w:p w14:paraId="608F8992" w14:textId="49DDDCE1" w:rsidR="00D46DD0" w:rsidRPr="00666FA7" w:rsidRDefault="00D46DD0" w:rsidP="0085647D">
      <w:pPr>
        <w:pStyle w:val="SingleTxt"/>
        <w:keepNext/>
        <w:numPr>
          <w:ilvl w:val="0"/>
          <w:numId w:val="37"/>
        </w:numPr>
        <w:ind w:left="1267" w:right="1267"/>
      </w:pPr>
      <w:r w:rsidRPr="00666FA7">
        <w:t xml:space="preserve">In light of </w:t>
      </w:r>
      <w:r w:rsidR="00EB588F">
        <w:t xml:space="preserve">the </w:t>
      </w:r>
      <w:r w:rsidRPr="00666FA7">
        <w:t xml:space="preserve">fact that the updated Statute classified Members differently for different purposes, the Commission agreed to delete article </w:t>
      </w:r>
      <w:r w:rsidRPr="00613DB2">
        <w:t>4(3</w:t>
      </w:r>
      <w:r w:rsidRPr="00666FA7">
        <w:t xml:space="preserve">), which had provided only one means of classification for the purposes of the Statute. </w:t>
      </w:r>
    </w:p>
    <w:p w14:paraId="735708F5" w14:textId="77777777" w:rsidR="0085647D" w:rsidRPr="0085647D" w:rsidRDefault="0085647D" w:rsidP="0085647D">
      <w:pPr>
        <w:pStyle w:val="SingleTxt"/>
        <w:spacing w:after="0" w:line="120" w:lineRule="atLeast"/>
        <w:rPr>
          <w:b/>
          <w:bCs/>
          <w:sz w:val="10"/>
        </w:rPr>
      </w:pPr>
    </w:p>
    <w:p w14:paraId="7D9D9634" w14:textId="1097F447" w:rsidR="00D46DD0" w:rsidRDefault="0085647D" w:rsidP="0085647D">
      <w:pPr>
        <w:pStyle w:val="H23"/>
      </w:pPr>
      <w:r>
        <w:tab/>
      </w:r>
      <w:r>
        <w:tab/>
      </w:r>
      <w:r w:rsidR="00D46DD0" w:rsidRPr="00666FA7">
        <w:t xml:space="preserve">Depositary, entry into force and amendments </w:t>
      </w:r>
      <w:r w:rsidR="00613DB2">
        <w:t>–</w:t>
      </w:r>
      <w:r w:rsidR="00D46DD0" w:rsidRPr="00666FA7">
        <w:t xml:space="preserve"> articles 11, 13, 15 and 16</w:t>
      </w:r>
    </w:p>
    <w:p w14:paraId="666240AA" w14:textId="77777777" w:rsidR="0085647D" w:rsidRPr="0085647D" w:rsidRDefault="0085647D" w:rsidP="0085647D">
      <w:pPr>
        <w:pStyle w:val="SingleTxt"/>
        <w:spacing w:after="0" w:line="120" w:lineRule="atLeast"/>
        <w:rPr>
          <w:sz w:val="10"/>
        </w:rPr>
      </w:pPr>
    </w:p>
    <w:p w14:paraId="219845E0" w14:textId="4F43FC69" w:rsidR="00D46DD0" w:rsidRPr="00666FA7" w:rsidRDefault="00D46DD0" w:rsidP="00666FA7">
      <w:pPr>
        <w:pStyle w:val="SingleTxt"/>
        <w:numPr>
          <w:ilvl w:val="0"/>
          <w:numId w:val="37"/>
        </w:numPr>
        <w:ind w:left="1267" w:right="1267"/>
      </w:pPr>
      <w:r w:rsidRPr="00666FA7">
        <w:t xml:space="preserve">With regard to article 11, it was agreed that the Secretary-General of the United Nations should serve as the depositary of the Statute. </w:t>
      </w:r>
    </w:p>
    <w:p w14:paraId="69BD54F3" w14:textId="3608A677" w:rsidR="00D46DD0" w:rsidRPr="00666FA7" w:rsidRDefault="00D46DD0" w:rsidP="00666FA7">
      <w:pPr>
        <w:pStyle w:val="SingleTxt"/>
        <w:numPr>
          <w:ilvl w:val="0"/>
          <w:numId w:val="37"/>
        </w:numPr>
        <w:ind w:left="1267" w:right="1267"/>
      </w:pPr>
      <w:r w:rsidRPr="00666FA7">
        <w:t xml:space="preserve">Taking note of the practical difficulties that the depositary might face if the Statute referred to a dynamic list of LDCs maintained by the United Nations in </w:t>
      </w:r>
      <w:r w:rsidR="00613DB2">
        <w:br/>
      </w:r>
      <w:r w:rsidRPr="00666FA7">
        <w:t xml:space="preserve">article </w:t>
      </w:r>
      <w:r w:rsidRPr="00613DB2">
        <w:t>13(1</w:t>
      </w:r>
      <w:r w:rsidRPr="00666FA7">
        <w:t xml:space="preserve">)(b) (see footnote 25 of </w:t>
      </w:r>
      <w:hyperlink r:id="rId32" w:history="1">
        <w:r w:rsidRPr="00666FA7">
          <w:rPr>
            <w:rStyle w:val="Hyperlink"/>
          </w:rPr>
          <w:t>A/CN.9/1265</w:t>
        </w:r>
      </w:hyperlink>
      <w:r w:rsidRPr="00666FA7">
        <w:t xml:space="preserve">), the Commission agreed to include the list of LDCs as at 1 January 2027 as a static list in </w:t>
      </w:r>
      <w:r w:rsidR="00613DB2">
        <w:t>a</w:t>
      </w:r>
      <w:r w:rsidRPr="00666FA7">
        <w:t xml:space="preserve">nnex II to the Statute. Consequently, it was agreed that the </w:t>
      </w:r>
      <w:r w:rsidR="0013667D">
        <w:t>a</w:t>
      </w:r>
      <w:r w:rsidRPr="00666FA7">
        <w:t xml:space="preserve">nnex for budget allocation would become </w:t>
      </w:r>
      <w:r w:rsidR="0013667D">
        <w:t>a</w:t>
      </w:r>
      <w:r w:rsidRPr="00666FA7">
        <w:t xml:space="preserve">nnex I. </w:t>
      </w:r>
    </w:p>
    <w:p w14:paraId="1F70DF6C" w14:textId="2736C42B" w:rsidR="00D46DD0" w:rsidRPr="00666FA7" w:rsidRDefault="00D46DD0" w:rsidP="00666FA7">
      <w:pPr>
        <w:pStyle w:val="SingleTxt"/>
        <w:numPr>
          <w:ilvl w:val="0"/>
          <w:numId w:val="37"/>
        </w:numPr>
        <w:ind w:left="1267" w:right="1267"/>
      </w:pPr>
      <w:r w:rsidRPr="00666FA7">
        <w:t xml:space="preserve">It was clarified that, as the list in </w:t>
      </w:r>
      <w:r w:rsidR="0013667D">
        <w:t>a</w:t>
      </w:r>
      <w:r w:rsidRPr="00666FA7">
        <w:t xml:space="preserve">nnex II would be used solely for the purpose of determining the entry into force of the Statute, article </w:t>
      </w:r>
      <w:r w:rsidRPr="0013667D">
        <w:t>15(3)</w:t>
      </w:r>
      <w:r w:rsidR="0013667D">
        <w:t>–</w:t>
      </w:r>
      <w:r w:rsidRPr="0013667D">
        <w:t>(5</w:t>
      </w:r>
      <w:r w:rsidRPr="00666FA7">
        <w:t xml:space="preserve">) should be revised to apply only to </w:t>
      </w:r>
      <w:r w:rsidR="0013667D">
        <w:t>a</w:t>
      </w:r>
      <w:r w:rsidRPr="00666FA7">
        <w:t xml:space="preserve">nnex I. It was further agreed that there was no need to include provisions on amending </w:t>
      </w:r>
      <w:r w:rsidR="0013667D">
        <w:t>a</w:t>
      </w:r>
      <w:r w:rsidRPr="00666FA7">
        <w:t>nnex II.</w:t>
      </w:r>
      <w:r w:rsidR="00666FA7" w:rsidRPr="00666FA7">
        <w:t xml:space="preserve"> </w:t>
      </w:r>
    </w:p>
    <w:p w14:paraId="4837F05A" w14:textId="63C12B95" w:rsidR="00D46DD0" w:rsidRPr="00666FA7" w:rsidRDefault="00D46DD0" w:rsidP="00666FA7">
      <w:pPr>
        <w:pStyle w:val="SingleTxt"/>
        <w:numPr>
          <w:ilvl w:val="0"/>
          <w:numId w:val="37"/>
        </w:numPr>
        <w:ind w:left="1267" w:right="1267"/>
      </w:pPr>
      <w:r w:rsidRPr="00666FA7">
        <w:t xml:space="preserve">Considering the recommendation in paragraph 57 of </w:t>
      </w:r>
      <w:hyperlink r:id="rId33" w:history="1">
        <w:r w:rsidRPr="00666FA7">
          <w:rPr>
            <w:rStyle w:val="Hyperlink"/>
          </w:rPr>
          <w:t>A/CN.9/1265</w:t>
        </w:r>
      </w:hyperlink>
      <w:r w:rsidRPr="00666FA7">
        <w:t xml:space="preserve">, the Commission approved article </w:t>
      </w:r>
      <w:r w:rsidRPr="0013667D">
        <w:t>13(1</w:t>
      </w:r>
      <w:r w:rsidRPr="00666FA7">
        <w:t xml:space="preserve">)(b), as it would ensure that the Centre would be financially sustainable and operate based on the contributions received from Members. However, to clarify the meaning of the text, it was agreed that the text should read: “The sum of the maximum percentage that each State or regional economic integration organization that is a Party to the Statute is required to contribute to the budget of the Advisory Centre in accordance with paragraph 4 of the </w:t>
      </w:r>
      <w:r w:rsidR="0013667D">
        <w:t>a</w:t>
      </w:r>
      <w:r w:rsidRPr="00666FA7">
        <w:t>nnex I is equal to or exceeds 100.”</w:t>
      </w:r>
    </w:p>
    <w:p w14:paraId="250C766D" w14:textId="70969716" w:rsidR="00D46DD0" w:rsidRPr="00666FA7" w:rsidRDefault="00D46DD0" w:rsidP="00666FA7">
      <w:pPr>
        <w:pStyle w:val="SingleTxt"/>
        <w:numPr>
          <w:ilvl w:val="0"/>
          <w:numId w:val="37"/>
        </w:numPr>
        <w:ind w:left="1267" w:right="1267"/>
      </w:pPr>
      <w:r w:rsidRPr="00666FA7">
        <w:t xml:space="preserve">With regard to article 16, it was agreed that the word </w:t>
      </w:r>
      <w:r w:rsidR="0013667D">
        <w:t>“</w:t>
      </w:r>
      <w:r w:rsidRPr="00666FA7">
        <w:t>remaining</w:t>
      </w:r>
      <w:r w:rsidR="0013667D">
        <w:t>”</w:t>
      </w:r>
      <w:r w:rsidRPr="00666FA7">
        <w:t xml:space="preserve"> in the fourth sentence be replaced with </w:t>
      </w:r>
      <w:r w:rsidR="0013667D">
        <w:t>“</w:t>
      </w:r>
      <w:r w:rsidRPr="00666FA7">
        <w:t>outstanding</w:t>
      </w:r>
      <w:r w:rsidR="0013667D">
        <w:t>”</w:t>
      </w:r>
      <w:r w:rsidRPr="00666FA7">
        <w:t xml:space="preserve">. </w:t>
      </w:r>
    </w:p>
    <w:p w14:paraId="4C8474D4" w14:textId="77777777" w:rsidR="0085647D" w:rsidRPr="0085647D" w:rsidRDefault="0085647D" w:rsidP="0085647D">
      <w:pPr>
        <w:pStyle w:val="SingleTxt"/>
        <w:spacing w:after="0" w:line="120" w:lineRule="atLeast"/>
        <w:rPr>
          <w:b/>
          <w:bCs/>
          <w:sz w:val="10"/>
        </w:rPr>
      </w:pPr>
    </w:p>
    <w:p w14:paraId="6A28033F" w14:textId="0229CC5E" w:rsidR="00D46DD0" w:rsidRDefault="0085647D" w:rsidP="0085647D">
      <w:pPr>
        <w:pStyle w:val="H23"/>
      </w:pPr>
      <w:r>
        <w:tab/>
      </w:r>
      <w:r>
        <w:tab/>
      </w:r>
      <w:r w:rsidR="00D46DD0" w:rsidRPr="00666FA7">
        <w:t xml:space="preserve">Interim secretariat </w:t>
      </w:r>
    </w:p>
    <w:p w14:paraId="2D967A28" w14:textId="77777777" w:rsidR="0085647D" w:rsidRPr="0085647D" w:rsidRDefault="0085647D" w:rsidP="0085647D">
      <w:pPr>
        <w:pStyle w:val="SingleTxt"/>
        <w:spacing w:after="0" w:line="120" w:lineRule="atLeast"/>
        <w:rPr>
          <w:sz w:val="10"/>
        </w:rPr>
      </w:pPr>
    </w:p>
    <w:p w14:paraId="1C1164F3" w14:textId="38380291" w:rsidR="00D46DD0" w:rsidRPr="00666FA7" w:rsidRDefault="00D46DD0" w:rsidP="00666FA7">
      <w:pPr>
        <w:pStyle w:val="SingleTxt"/>
        <w:numPr>
          <w:ilvl w:val="0"/>
          <w:numId w:val="37"/>
        </w:numPr>
        <w:ind w:left="1267" w:right="1267"/>
      </w:pPr>
      <w:r w:rsidRPr="00666FA7">
        <w:t>The Commission recalled its request to the secretariat to explore possible means for it to function as an interim secretariat to the Advisory Centre, without any budget implications for the United Nations and without detriment to the provision by the secretariat of services to the Commission as a whole.</w:t>
      </w:r>
      <w:r w:rsidRPr="00666FA7">
        <w:rPr>
          <w:vertAlign w:val="superscript"/>
        </w:rPr>
        <w:footnoteReference w:id="4"/>
      </w:r>
      <w:r w:rsidRPr="00666FA7">
        <w:t xml:space="preserve"> In that regard, the Commission considered issues relating to the interim secretariat based on </w:t>
      </w:r>
      <w:hyperlink r:id="rId34" w:history="1">
        <w:r w:rsidRPr="00666FA7">
          <w:rPr>
            <w:rStyle w:val="Hyperlink"/>
          </w:rPr>
          <w:t>A/CN.9/1266</w:t>
        </w:r>
      </w:hyperlink>
      <w:r w:rsidRPr="00666FA7">
        <w:t xml:space="preserve">. </w:t>
      </w:r>
    </w:p>
    <w:p w14:paraId="625A88AE" w14:textId="7C5E54A9" w:rsidR="00D46DD0" w:rsidRPr="00666FA7" w:rsidRDefault="00D46DD0" w:rsidP="00666FA7">
      <w:pPr>
        <w:pStyle w:val="SingleTxt"/>
        <w:numPr>
          <w:ilvl w:val="0"/>
          <w:numId w:val="37"/>
        </w:numPr>
        <w:ind w:left="1267" w:right="1267"/>
      </w:pPr>
      <w:r w:rsidRPr="00666FA7">
        <w:t xml:space="preserve">With regard to the functions to be carried, it was agreed that the interim secretariat would be expected to carry out the functions listed in paragraph 4 of </w:t>
      </w:r>
      <w:hyperlink r:id="rId35" w:history="1">
        <w:r w:rsidRPr="00666FA7">
          <w:rPr>
            <w:rStyle w:val="Hyperlink"/>
          </w:rPr>
          <w:t>A/CN.9/1266</w:t>
        </w:r>
      </w:hyperlink>
      <w:r w:rsidRPr="00666FA7">
        <w:t xml:space="preserve">. Reference was made to the preparation of an instrument on the privileges and immunities of the Centre and its staff members, which could treat that matter in greater detail than article 9 (see para. 30 of </w:t>
      </w:r>
      <w:hyperlink r:id="rId36" w:history="1">
        <w:r w:rsidRPr="00666FA7">
          <w:rPr>
            <w:rStyle w:val="Hyperlink"/>
          </w:rPr>
          <w:t>A/CN.9/1265</w:t>
        </w:r>
      </w:hyperlink>
      <w:r w:rsidRPr="00666FA7">
        <w:t>).</w:t>
      </w:r>
    </w:p>
    <w:p w14:paraId="463A6336" w14:textId="59DCDC1E" w:rsidR="00D46DD0" w:rsidRPr="00666FA7" w:rsidRDefault="00D46DD0" w:rsidP="00666FA7">
      <w:pPr>
        <w:pStyle w:val="SingleTxt"/>
        <w:numPr>
          <w:ilvl w:val="0"/>
          <w:numId w:val="37"/>
        </w:numPr>
        <w:ind w:left="1267" w:right="1267"/>
      </w:pPr>
      <w:r w:rsidRPr="00666FA7">
        <w:t xml:space="preserve">It was widely felt that the interim secretariat could begin its functions upon the adoption of the Statute by the General Assembly and continue until the permanent secretariat became fully operational. The Commission agreed to request the Secretary-General of the United Nations to carry out the interim secretariat functions of the Centre through the International Trade Law Division of the Office of Legal Affairs. </w:t>
      </w:r>
    </w:p>
    <w:p w14:paraId="48FCECF4" w14:textId="63216D68" w:rsidR="00D46DD0" w:rsidRPr="00666FA7" w:rsidRDefault="00D46DD0" w:rsidP="00666FA7">
      <w:pPr>
        <w:pStyle w:val="SingleTxt"/>
        <w:numPr>
          <w:ilvl w:val="0"/>
          <w:numId w:val="37"/>
        </w:numPr>
        <w:ind w:left="1267" w:right="1267"/>
      </w:pPr>
      <w:r w:rsidRPr="00666FA7">
        <w:t>The Commission also took note of the possible structure of the interim secretariat and the resource implications (see paras. 8</w:t>
      </w:r>
      <w:r w:rsidR="00B34B5B">
        <w:t>–</w:t>
      </w:r>
      <w:r w:rsidRPr="00666FA7">
        <w:t xml:space="preserve">19 of </w:t>
      </w:r>
      <w:hyperlink r:id="rId37" w:history="1">
        <w:r w:rsidRPr="00666FA7">
          <w:rPr>
            <w:rStyle w:val="Hyperlink"/>
          </w:rPr>
          <w:t>A/CN.9/1266</w:t>
        </w:r>
      </w:hyperlink>
      <w:r w:rsidRPr="00666FA7">
        <w:t xml:space="preserve">). It was noted that there might be additional resource implications to OLA and other departments of the United Nations, which might not be fully recoverable with the </w:t>
      </w:r>
      <w:r w:rsidRPr="00666FA7">
        <w:lastRenderedPageBreak/>
        <w:t xml:space="preserve">programme support costs. The need to provide for a contingency budget was also mentioned. </w:t>
      </w:r>
    </w:p>
    <w:p w14:paraId="2A1B1A6B" w14:textId="5205E3E5" w:rsidR="00D46DD0" w:rsidRPr="00666FA7" w:rsidRDefault="00D46DD0" w:rsidP="00666FA7">
      <w:pPr>
        <w:pStyle w:val="SingleTxt"/>
        <w:numPr>
          <w:ilvl w:val="0"/>
          <w:numId w:val="37"/>
        </w:numPr>
        <w:ind w:left="1267" w:right="1267"/>
      </w:pPr>
      <w:r w:rsidRPr="00666FA7">
        <w:t>It was agreed that the interim secretariat functions would be subject to extrabudgetary resources being made available to the Secretary-General of the United Nations. In addition, it was agreed that the interim secretariat should report on its activities to the Commission until the first meeting of the Governing Committee of the Centre.</w:t>
      </w:r>
      <w:r w:rsidR="00666FA7" w:rsidRPr="00666FA7">
        <w:t xml:space="preserve"> </w:t>
      </w:r>
    </w:p>
    <w:p w14:paraId="6CD1432D" w14:textId="27137088" w:rsidR="00D46DD0" w:rsidRPr="00666FA7" w:rsidRDefault="00D46DD0" w:rsidP="00666FA7">
      <w:pPr>
        <w:pStyle w:val="SingleTxt"/>
        <w:numPr>
          <w:ilvl w:val="0"/>
          <w:numId w:val="37"/>
        </w:numPr>
        <w:ind w:left="1267" w:right="1267"/>
      </w:pPr>
      <w:r w:rsidRPr="00666FA7">
        <w:t>With regard to the establishment and management of trust funds, the Commission was informed that: (i) the existing trust funds managed by ITLD could be utilized to finance the operation of the interim secretariat</w:t>
      </w:r>
      <w:r w:rsidR="00226E6C">
        <w:t>;</w:t>
      </w:r>
      <w:r w:rsidRPr="00666FA7">
        <w:t xml:space="preserve"> and (ii) ITLD, as the interim secretariat, could use them to receive voluntary contributions for the future operation of the Centre. In that context, the Commission requested its secretariat to examine how to establish new trust funds or manage existing ones and assess the terms and conditions thereof, with a view to informing the General Assembly. </w:t>
      </w:r>
    </w:p>
    <w:p w14:paraId="330AFA0D" w14:textId="6E46B9E3" w:rsidR="00D46DD0" w:rsidRPr="00666FA7" w:rsidRDefault="00D46DD0" w:rsidP="00666FA7">
      <w:pPr>
        <w:pStyle w:val="SingleTxt"/>
        <w:numPr>
          <w:ilvl w:val="0"/>
          <w:numId w:val="37"/>
        </w:numPr>
        <w:ind w:left="1267" w:right="1267"/>
      </w:pPr>
      <w:r w:rsidRPr="00666FA7">
        <w:t xml:space="preserve">After discussion, the Commission approved operative paragraphs 6 to 8 in the draft decision in </w:t>
      </w:r>
      <w:hyperlink r:id="rId38" w:history="1">
        <w:r w:rsidRPr="00666FA7">
          <w:rPr>
            <w:rStyle w:val="Hyperlink"/>
          </w:rPr>
          <w:t>A/CN.9/1268</w:t>
        </w:r>
      </w:hyperlink>
      <w:r w:rsidRPr="00666FA7">
        <w:t>, subject to adding the words “or manage” after the word “establish” in operative paragraph 7.</w:t>
      </w:r>
      <w:r w:rsidR="00666FA7" w:rsidRPr="00666FA7">
        <w:t xml:space="preserve"> </w:t>
      </w:r>
    </w:p>
    <w:p w14:paraId="06F26889" w14:textId="71F85ACE" w:rsidR="0075404F" w:rsidRPr="00666FA7" w:rsidRDefault="00D46DD0" w:rsidP="0075404F">
      <w:pPr>
        <w:pStyle w:val="SingleTxt"/>
      </w:pPr>
      <w:r w:rsidRPr="00666FA7">
        <w:rPr>
          <w:noProof/>
          <w:w w:val="100"/>
        </w:rPr>
        <mc:AlternateContent>
          <mc:Choice Requires="wps">
            <w:drawing>
              <wp:anchor distT="0" distB="0" distL="114300" distR="114300" simplePos="0" relativeHeight="251659264" behindDoc="0" locked="0" layoutInCell="1" allowOverlap="1" wp14:anchorId="5FC09861" wp14:editId="77931BD7">
                <wp:simplePos x="0" y="0"/>
                <wp:positionH relativeFrom="column">
                  <wp:posOffset>2669540</wp:posOffset>
                </wp:positionH>
                <wp:positionV relativeFrom="paragraph">
                  <wp:posOffset>304800</wp:posOffset>
                </wp:positionV>
                <wp:extent cx="914400" cy="0"/>
                <wp:effectExtent l="0" t="0" r="0" b="0"/>
                <wp:wrapNone/>
                <wp:docPr id="736150947" name="Straight Connector 3"/>
                <wp:cNvGraphicFramePr/>
                <a:graphic xmlns:a="http://schemas.openxmlformats.org/drawingml/2006/main">
                  <a:graphicData uri="http://schemas.microsoft.com/office/word/2010/wordprocessingShape">
                    <wps:wsp>
                      <wps:cNvCnPr/>
                      <wps:spPr>
                        <a:xfrm>
                          <a:off x="0" y="0"/>
                          <a:ext cx="914400" cy="0"/>
                        </a:xfrm>
                        <a:prstGeom prst="line">
                          <a:avLst/>
                        </a:prstGeom>
                        <a:ln w="3175">
                          <a:solidFill>
                            <a:srgbClr val="01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3163A77"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10.2pt,24pt" to="282.2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" strokecolor="#010000" strokeweight=".25pt">
                <v:stroke joinstyle="miter"/>
              </v:line>
            </w:pict>
          </mc:Fallback>
        </mc:AlternateContent>
      </w:r>
    </w:p>
    <w:sectPr w:rsidR="0075404F" w:rsidRPr="00666FA7" w:rsidSect="00F12071">
      <w:endnotePr>
        <w:numFmt w:val="decimal"/>
      </w:endnotePr>
      <w:type w:val="continuous"/>
      <w:pgSz w:w="11909" w:h="16834"/>
      <w:pgMar w:top="1440" w:right="1032" w:bottom="1151" w:left="1032" w:header="432" w:footer="504" w:gutter="0"/>
      <w:cols w:space="720"/>
      <w:noEndnote/>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tart" w:date="2026-06-30T08:51:00Z" w:initials="Start">
    <w:p w14:paraId="4732D7A7" w14:textId="77777777" w:rsidR="0075404F" w:rsidRDefault="0075404F">
      <w:pPr>
        <w:pStyle w:val="CommentText"/>
      </w:pPr>
      <w:r>
        <w:rPr>
          <w:rStyle w:val="CommentReference"/>
        </w:rPr>
        <w:annotationRef/>
      </w:r>
      <w:r>
        <w:t>&lt;&lt;ODS JOB NO&gt;&gt;V2603900E&lt;&lt;ODS JOB NO&gt;&gt;</w:t>
      </w:r>
    </w:p>
    <w:p w14:paraId="6F69ABA1" w14:textId="77777777" w:rsidR="0075404F" w:rsidRDefault="0075404F">
      <w:pPr>
        <w:pStyle w:val="CommentText"/>
      </w:pPr>
      <w:r>
        <w:t>&lt;&lt;ODS DOC SYMBOL1&gt;&gt;A/CN.9/LIX/CRP.1/Add.1&lt;&lt;ODS DOC SYMBOL1&gt;&gt;</w:t>
      </w:r>
    </w:p>
    <w:p w14:paraId="5772D37D" w14:textId="43EA25C4" w:rsidR="0075404F" w:rsidRDefault="0075404F">
      <w:pPr>
        <w:pStyle w:val="CommentText"/>
      </w:pPr>
      <w:r>
        <w:t>&lt;&lt;ODS DOC SYMBOL2&gt;&gt;&lt;&lt;ODS DOC SYMBOL2&gt;&gt;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772D37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EE1D52F" w16cex:dateUtc="2026-06-30T06: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772D37D" w16cid:durableId="4EE1D52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1D581" w14:textId="77777777" w:rsidR="006C1F48" w:rsidRDefault="006C1F48" w:rsidP="00331D20">
      <w:r>
        <w:separator/>
      </w:r>
    </w:p>
  </w:endnote>
  <w:endnote w:type="continuationSeparator" w:id="0">
    <w:p w14:paraId="022612F6" w14:textId="77777777" w:rsidR="006C1F48" w:rsidRDefault="006C1F48" w:rsidP="00331D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Barcode 3 of 9 by request">
    <w:altName w:val="Calibri"/>
    <w:panose1 w:val="020B0803050302020204"/>
    <w:charset w:val="00"/>
    <w:family w:val="swiss"/>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0" w:type="auto"/>
      <w:jc w:val="center"/>
      <w:tblLayout w:type="fixed"/>
      <w:tblLook w:val="0000" w:firstRow="0" w:lastRow="0" w:firstColumn="0" w:lastColumn="0" w:noHBand="0" w:noVBand="0"/>
    </w:tblPr>
    <w:tblGrid>
      <w:gridCol w:w="4922"/>
      <w:gridCol w:w="4923"/>
    </w:tblGrid>
    <w:tr w:rsidR="0075404F" w14:paraId="25B7587E" w14:textId="77777777" w:rsidTr="0075404F">
      <w:trPr>
        <w:jc w:val="center"/>
      </w:trPr>
      <w:tc>
        <w:tcPr>
          <w:tcW w:w="4922" w:type="dxa"/>
        </w:tcPr>
        <w:p w14:paraId="6B6FECFF" w14:textId="4F78479C" w:rsidR="0075404F" w:rsidRPr="0075404F" w:rsidRDefault="0075404F" w:rsidP="0075404F">
          <w:pPr>
            <w:pStyle w:val="Footer"/>
            <w:jc w:val="right"/>
            <w:rPr>
              <w:b w:val="0"/>
              <w:w w:val="103"/>
              <w:sz w:val="14"/>
            </w:rPr>
          </w:pPr>
          <w:r>
            <w:rPr>
              <w:b w:val="0"/>
              <w:w w:val="103"/>
              <w:sz w:val="14"/>
            </w:rPr>
            <w:fldChar w:fldCharType="begin"/>
          </w:r>
          <w:r>
            <w:rPr>
              <w:b w:val="0"/>
              <w:w w:val="103"/>
              <w:sz w:val="14"/>
            </w:rPr>
            <w:instrText xml:space="preserve"> DOCVARIABLE "FooterJN" \* MERGEFORMAT </w:instrText>
          </w:r>
          <w:r>
            <w:rPr>
              <w:b w:val="0"/>
              <w:w w:val="103"/>
              <w:sz w:val="14"/>
            </w:rPr>
            <w:fldChar w:fldCharType="separate"/>
          </w:r>
          <w:r>
            <w:rPr>
              <w:b w:val="0"/>
              <w:w w:val="103"/>
              <w:sz w:val="14"/>
            </w:rPr>
            <w:t>V.26-09512</w:t>
          </w:r>
          <w:r>
            <w:rPr>
              <w:b w:val="0"/>
              <w:w w:val="103"/>
              <w:sz w:val="14"/>
            </w:rPr>
            <w:fldChar w:fldCharType="end"/>
          </w:r>
        </w:p>
      </w:tc>
      <w:tc>
        <w:tcPr>
          <w:tcW w:w="4923" w:type="dxa"/>
        </w:tcPr>
        <w:p w14:paraId="3FE3EAE6" w14:textId="1B6B5BFB" w:rsidR="0075404F" w:rsidRPr="0075404F" w:rsidRDefault="0075404F" w:rsidP="0075404F">
          <w:pPr>
            <w:pStyle w:val="Footer"/>
            <w:rPr>
              <w:w w:val="103"/>
            </w:rPr>
          </w:pPr>
          <w:r>
            <w:rPr>
              <w:w w:val="103"/>
            </w:rPr>
            <w:fldChar w:fldCharType="begin"/>
          </w:r>
          <w:r>
            <w:rPr>
              <w:w w:val="103"/>
            </w:rPr>
            <w:instrText xml:space="preserve"> PAGE  \* Arabic  \* MERGEFORMAT </w:instrText>
          </w:r>
          <w:r>
            <w:rPr>
              <w:w w:val="103"/>
            </w:rPr>
            <w:fldChar w:fldCharType="separate"/>
          </w:r>
          <w:r>
            <w:rPr>
              <w:w w:val="103"/>
            </w:rPr>
            <w:t>3</w:t>
          </w:r>
          <w:r>
            <w:rPr>
              <w:w w:val="103"/>
            </w:rPr>
            <w:fldChar w:fldCharType="end"/>
          </w:r>
          <w:r>
            <w:rPr>
              <w:w w:val="103"/>
            </w:rPr>
            <w:t>/</w:t>
          </w:r>
          <w:r>
            <w:rPr>
              <w:w w:val="103"/>
            </w:rPr>
            <w:fldChar w:fldCharType="begin"/>
          </w:r>
          <w:r>
            <w:rPr>
              <w:w w:val="103"/>
            </w:rPr>
            <w:instrText xml:space="preserve"> NUMPAGES  \* Arabic  \* MERGEFORMAT </w:instrText>
          </w:r>
          <w:r>
            <w:rPr>
              <w:w w:val="103"/>
            </w:rPr>
            <w:fldChar w:fldCharType="separate"/>
          </w:r>
          <w:r>
            <w:rPr>
              <w:w w:val="103"/>
            </w:rPr>
            <w:t>5</w:t>
          </w:r>
          <w:r>
            <w:rPr>
              <w:w w:val="103"/>
            </w:rPr>
            <w:fldChar w:fldCharType="end"/>
          </w:r>
        </w:p>
      </w:tc>
    </w:tr>
  </w:tbl>
  <w:p w14:paraId="569A2FF3" w14:textId="77777777" w:rsidR="0075404F" w:rsidRPr="0075404F" w:rsidRDefault="0075404F" w:rsidP="007540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0" w:type="auto"/>
      <w:jc w:val="center"/>
      <w:tblLayout w:type="fixed"/>
      <w:tblLook w:val="0000" w:firstRow="0" w:lastRow="0" w:firstColumn="0" w:lastColumn="0" w:noHBand="0" w:noVBand="0"/>
    </w:tblPr>
    <w:tblGrid>
      <w:gridCol w:w="4922"/>
      <w:gridCol w:w="4923"/>
    </w:tblGrid>
    <w:tr w:rsidR="0075404F" w14:paraId="1F7DC564" w14:textId="77777777" w:rsidTr="0075404F">
      <w:trPr>
        <w:jc w:val="center"/>
      </w:trPr>
      <w:tc>
        <w:tcPr>
          <w:tcW w:w="4922" w:type="dxa"/>
        </w:tcPr>
        <w:p w14:paraId="4DA897A4" w14:textId="5AE4B5D1" w:rsidR="0075404F" w:rsidRPr="0075404F" w:rsidRDefault="0075404F" w:rsidP="0075404F">
          <w:pPr>
            <w:pStyle w:val="Footer"/>
            <w:jc w:val="right"/>
            <w:rPr>
              <w:w w:val="103"/>
            </w:rPr>
          </w:pPr>
          <w:r>
            <w:rPr>
              <w:w w:val="103"/>
            </w:rPr>
            <w:fldChar w:fldCharType="begin"/>
          </w:r>
          <w:r>
            <w:rPr>
              <w:w w:val="103"/>
            </w:rPr>
            <w:instrText xml:space="preserve"> PAGE  \* Arabic  \* MERGEFORMAT </w:instrText>
          </w:r>
          <w:r>
            <w:rPr>
              <w:w w:val="103"/>
            </w:rPr>
            <w:fldChar w:fldCharType="separate"/>
          </w:r>
          <w:r>
            <w:rPr>
              <w:w w:val="103"/>
            </w:rPr>
            <w:t>2</w:t>
          </w:r>
          <w:r>
            <w:rPr>
              <w:w w:val="103"/>
            </w:rPr>
            <w:fldChar w:fldCharType="end"/>
          </w:r>
          <w:r>
            <w:rPr>
              <w:w w:val="103"/>
            </w:rPr>
            <w:t>/</w:t>
          </w:r>
          <w:r>
            <w:rPr>
              <w:w w:val="103"/>
            </w:rPr>
            <w:fldChar w:fldCharType="begin"/>
          </w:r>
          <w:r>
            <w:rPr>
              <w:w w:val="103"/>
            </w:rPr>
            <w:instrText xml:space="preserve"> NUMPAGES  \* Arabic  \* MERGEFORMAT </w:instrText>
          </w:r>
          <w:r>
            <w:rPr>
              <w:w w:val="103"/>
            </w:rPr>
            <w:fldChar w:fldCharType="separate"/>
          </w:r>
          <w:r>
            <w:rPr>
              <w:w w:val="103"/>
            </w:rPr>
            <w:t>4</w:t>
          </w:r>
          <w:r>
            <w:rPr>
              <w:w w:val="103"/>
            </w:rPr>
            <w:fldChar w:fldCharType="end"/>
          </w:r>
        </w:p>
      </w:tc>
      <w:tc>
        <w:tcPr>
          <w:tcW w:w="4923" w:type="dxa"/>
        </w:tcPr>
        <w:p w14:paraId="57CE46C5" w14:textId="4E1EB035" w:rsidR="0075404F" w:rsidRPr="0075404F" w:rsidRDefault="0075404F" w:rsidP="0075404F">
          <w:pPr>
            <w:pStyle w:val="Footer"/>
            <w:rPr>
              <w:b w:val="0"/>
              <w:w w:val="103"/>
              <w:sz w:val="14"/>
            </w:rPr>
          </w:pPr>
          <w:r>
            <w:rPr>
              <w:b w:val="0"/>
              <w:w w:val="103"/>
              <w:sz w:val="14"/>
            </w:rPr>
            <w:fldChar w:fldCharType="begin"/>
          </w:r>
          <w:r>
            <w:rPr>
              <w:b w:val="0"/>
              <w:w w:val="103"/>
              <w:sz w:val="14"/>
            </w:rPr>
            <w:instrText xml:space="preserve"> DOCVARIABLE "FooterJN" \* MERGEFORMAT </w:instrText>
          </w:r>
          <w:r>
            <w:rPr>
              <w:b w:val="0"/>
              <w:w w:val="103"/>
              <w:sz w:val="14"/>
            </w:rPr>
            <w:fldChar w:fldCharType="separate"/>
          </w:r>
          <w:r>
            <w:rPr>
              <w:b w:val="0"/>
              <w:w w:val="103"/>
              <w:sz w:val="14"/>
            </w:rPr>
            <w:t>V.26-09512</w:t>
          </w:r>
          <w:r>
            <w:rPr>
              <w:b w:val="0"/>
              <w:w w:val="103"/>
              <w:sz w:val="14"/>
            </w:rPr>
            <w:fldChar w:fldCharType="end"/>
          </w:r>
        </w:p>
      </w:tc>
    </w:tr>
  </w:tbl>
  <w:p w14:paraId="69209B57" w14:textId="77777777" w:rsidR="0075404F" w:rsidRPr="0075404F" w:rsidRDefault="0075404F" w:rsidP="0075404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3859"/>
      <w:gridCol w:w="4923"/>
    </w:tblGrid>
    <w:tr w:rsidR="0075404F" w14:paraId="343B776D" w14:textId="77777777" w:rsidTr="0075404F">
      <w:tc>
        <w:tcPr>
          <w:tcW w:w="3859" w:type="dxa"/>
        </w:tcPr>
        <w:p w14:paraId="7ECEC7D6" w14:textId="3E364921" w:rsidR="0075404F" w:rsidRDefault="0075404F" w:rsidP="0075404F">
          <w:pPr>
            <w:pStyle w:val="Footer"/>
            <w:rPr>
              <w:b w:val="0"/>
              <w:color w:val="010000"/>
              <w:sz w:val="20"/>
            </w:rPr>
          </w:pPr>
          <w:r>
            <w:rPr>
              <w:b w:val="0"/>
              <w:color w:val="010000"/>
              <w:sz w:val="20"/>
            </w:rPr>
            <w:t>V.26-09512 (E)</w:t>
          </w:r>
        </w:p>
        <w:p w14:paraId="4E9413FC" w14:textId="5DD56689" w:rsidR="0075404F" w:rsidRPr="0075404F" w:rsidRDefault="0075404F" w:rsidP="0075404F">
          <w:pPr>
            <w:pStyle w:val="Footer"/>
            <w:spacing w:before="120" w:line="210" w:lineRule="atLeast"/>
            <w:rPr>
              <w:rFonts w:ascii="Barcode 3 of 9 by request" w:hAnsi="Barcode 3 of 9 by request"/>
              <w:b w:val="0"/>
              <w:color w:val="010000"/>
              <w:sz w:val="24"/>
            </w:rPr>
          </w:pPr>
          <w:r>
            <w:rPr>
              <w:rFonts w:ascii="Barcode 3 of 9 by request" w:hAnsi="Barcode 3 of 9 by request"/>
              <w:color w:val="010000"/>
              <w:sz w:val="24"/>
            </w:rPr>
            <w:t>*2609512*</w:t>
          </w:r>
        </w:p>
      </w:tc>
      <w:tc>
        <w:tcPr>
          <w:tcW w:w="4923" w:type="dxa"/>
        </w:tcPr>
        <w:p w14:paraId="21CF995E" w14:textId="3DBF02C2" w:rsidR="0075404F" w:rsidRDefault="0075404F" w:rsidP="0075404F">
          <w:pPr>
            <w:pStyle w:val="Footer"/>
            <w:jc w:val="right"/>
            <w:rPr>
              <w:b w:val="0"/>
              <w:sz w:val="20"/>
            </w:rPr>
          </w:pPr>
          <w:r>
            <w:rPr>
              <w:b w:val="0"/>
              <w:sz w:val="20"/>
            </w:rPr>
            <w:drawing>
              <wp:inline distT="0" distB="0" distL="0" distR="0" wp14:anchorId="63D9A02B" wp14:editId="25AE128F">
                <wp:extent cx="929642" cy="231648"/>
                <wp:effectExtent l="0" t="0" r="3810" b="0"/>
                <wp:docPr id="1881042342" name="Picture 1"/>
                <wp:cNvGraphicFramePr/>
                <a:graphic xmlns:a="http://schemas.openxmlformats.org/drawingml/2006/main">
                  <a:graphicData uri="http://schemas.openxmlformats.org/drawingml/2006/picture">
                    <pic:pic xmlns:pic="http://schemas.openxmlformats.org/drawingml/2006/picture">
                      <pic:nvPicPr>
                        <pic:cNvPr id="1881042342" name=""/>
                        <pic:cNvPicPr/>
                      </pic:nvPicPr>
                      <pic:blipFill>
                        <a:blip r:embed="rId1">
                          <a:extLst>
                            <a:ext uri="{28A0092B-C50C-407E-A947-70E740481C1C}">
                              <a14:useLocalDpi xmlns:a14="http://schemas.microsoft.com/office/drawing/2010/main" val="0"/>
                            </a:ext>
                          </a:extLst>
                        </a:blip>
                        <a:stretch>
                          <a:fillRect/>
                        </a:stretch>
                      </pic:blipFill>
                      <pic:spPr>
                        <a:xfrm>
                          <a:off x="0" y="0"/>
                          <a:ext cx="929642" cy="231648"/>
                        </a:xfrm>
                        <a:prstGeom prst="rect">
                          <a:avLst/>
                        </a:prstGeom>
                      </pic:spPr>
                    </pic:pic>
                  </a:graphicData>
                </a:graphic>
              </wp:inline>
            </w:drawing>
          </w:r>
        </w:p>
      </w:tc>
    </w:tr>
  </w:tbl>
  <w:p w14:paraId="0A4E4B7C" w14:textId="43A05F83" w:rsidR="0075404F" w:rsidRPr="0075404F" w:rsidRDefault="002971CD" w:rsidP="0075404F">
    <w:pPr>
      <w:pStyle w:val="Footer"/>
      <w:spacing w:line="56" w:lineRule="auto"/>
      <w:rPr>
        <w:b w:val="0"/>
        <w:sz w:val="20"/>
      </w:rPr>
    </w:pPr>
    <w:r>
      <w:rPr>
        <w:b w:val="0"/>
        <w:color w:val="010000"/>
        <w:sz w:val="20"/>
      </w:rPr>
      <w:drawing>
        <wp:anchor distT="0" distB="0" distL="114300" distR="114300" simplePos="0" relativeHeight="251658240" behindDoc="0" locked="0" layoutInCell="1" allowOverlap="1" wp14:anchorId="0F4AFBAB" wp14:editId="443FC22F">
          <wp:simplePos x="0" y="0"/>
          <wp:positionH relativeFrom="column">
            <wp:posOffset>5581968</wp:posOffset>
          </wp:positionH>
          <wp:positionV relativeFrom="paragraph">
            <wp:posOffset>-686435</wp:posOffset>
          </wp:positionV>
          <wp:extent cx="694690" cy="694690"/>
          <wp:effectExtent l="0" t="0" r="0" b="0"/>
          <wp:wrapNone/>
          <wp:docPr id="20817076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94690" cy="694690"/>
                  </a:xfrm>
                  <a:prstGeom prst="rect">
                    <a:avLst/>
                  </a:prstGeom>
                  <a:solidFill>
                    <a:schemeClr val="accent1"/>
                  </a:solidFill>
                  <a:ln w="9525" cap="flat" cmpd="sng" algn="ctr">
                    <a:noFill/>
                    <a:prstDash val="solid"/>
                    <a:round/>
                    <a:headEnd type="none" w="med" len="med"/>
                    <a:tailEnd type="none" w="med" len="med"/>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687E9" w14:textId="77777777" w:rsidR="006C1F48" w:rsidRPr="00D46DD0" w:rsidRDefault="006C1F48" w:rsidP="00D46DD0">
      <w:pPr>
        <w:pStyle w:val="Footer"/>
        <w:spacing w:after="80"/>
        <w:ind w:left="792"/>
        <w:rPr>
          <w:sz w:val="16"/>
        </w:rPr>
      </w:pPr>
      <w:r w:rsidRPr="00D46DD0">
        <w:rPr>
          <w:sz w:val="16"/>
        </w:rPr>
        <w:t>__________________</w:t>
      </w:r>
    </w:p>
  </w:footnote>
  <w:footnote w:type="continuationSeparator" w:id="0">
    <w:p w14:paraId="084F64CA" w14:textId="77777777" w:rsidR="006C1F48" w:rsidRPr="00D46DD0" w:rsidRDefault="006C1F48" w:rsidP="00D46DD0">
      <w:pPr>
        <w:pStyle w:val="Footer"/>
        <w:spacing w:after="80"/>
        <w:ind w:left="792"/>
        <w:rPr>
          <w:sz w:val="16"/>
        </w:rPr>
      </w:pPr>
      <w:r w:rsidRPr="00D46DD0">
        <w:rPr>
          <w:sz w:val="16"/>
        </w:rPr>
        <w:t>__________________</w:t>
      </w:r>
    </w:p>
  </w:footnote>
  <w:footnote w:id="1">
    <w:p w14:paraId="4727A35B" w14:textId="624AC3CB" w:rsidR="00D46DD0" w:rsidRPr="006D5DFB" w:rsidRDefault="00666FA7" w:rsidP="00D46DD0">
      <w:pPr>
        <w:pStyle w:val="FootnoteText"/>
        <w:tabs>
          <w:tab w:val="clear" w:pos="418"/>
          <w:tab w:val="right" w:pos="1195"/>
          <w:tab w:val="left" w:pos="1267"/>
          <w:tab w:val="left" w:pos="1742"/>
          <w:tab w:val="left" w:pos="2218"/>
          <w:tab w:val="left" w:pos="2693"/>
        </w:tabs>
        <w:ind w:left="1267" w:right="1260" w:hanging="432"/>
        <w:rPr>
          <w:lang w:val="en-US"/>
        </w:rPr>
      </w:pPr>
      <w:r>
        <w:tab/>
      </w:r>
      <w:r w:rsidR="00D46DD0">
        <w:rPr>
          <w:rStyle w:val="FootnoteReference"/>
        </w:rPr>
        <w:footnoteRef/>
      </w:r>
      <w:r>
        <w:tab/>
      </w:r>
      <w:r w:rsidR="00D46DD0" w:rsidRPr="00A1502B">
        <w:rPr>
          <w:rFonts w:asciiTheme="majorBidi" w:hAnsiTheme="majorBidi" w:cstheme="majorBidi"/>
          <w:i/>
          <w:iCs/>
        </w:rPr>
        <w:t xml:space="preserve">Official Records of the General Assembly, </w:t>
      </w:r>
      <w:r w:rsidR="00D46DD0" w:rsidRPr="00383FA9">
        <w:rPr>
          <w:rFonts w:asciiTheme="majorBidi" w:hAnsiTheme="majorBidi" w:cstheme="majorBidi"/>
          <w:i/>
          <w:iCs/>
        </w:rPr>
        <w:t>Seventy-</w:t>
      </w:r>
      <w:r w:rsidR="00383FA9">
        <w:rPr>
          <w:rFonts w:asciiTheme="majorBidi" w:hAnsiTheme="majorBidi" w:cstheme="majorBidi"/>
          <w:i/>
          <w:iCs/>
        </w:rPr>
        <w:t>ninth</w:t>
      </w:r>
      <w:r w:rsidR="00D46DD0" w:rsidRPr="00383FA9">
        <w:rPr>
          <w:rFonts w:asciiTheme="majorBidi" w:hAnsiTheme="majorBidi" w:cstheme="majorBidi"/>
          <w:i/>
          <w:iCs/>
        </w:rPr>
        <w:t xml:space="preserve"> Session, Supplement No. 17 </w:t>
      </w:r>
      <w:r w:rsidR="00D46DD0" w:rsidRPr="00383FA9">
        <w:rPr>
          <w:rFonts w:asciiTheme="majorBidi" w:hAnsiTheme="majorBidi" w:cstheme="majorBidi"/>
        </w:rPr>
        <w:t>(</w:t>
      </w:r>
      <w:hyperlink r:id="rId1" w:history="1">
        <w:r w:rsidR="00D46DD0" w:rsidRPr="00383FA9">
          <w:rPr>
            <w:rStyle w:val="Hyperlink"/>
            <w:rFonts w:asciiTheme="majorBidi" w:hAnsiTheme="majorBidi" w:cstheme="majorBidi"/>
          </w:rPr>
          <w:t>A/79/17</w:t>
        </w:r>
      </w:hyperlink>
      <w:r w:rsidR="00D46DD0" w:rsidRPr="00383FA9">
        <w:rPr>
          <w:rFonts w:asciiTheme="majorBidi" w:hAnsiTheme="majorBidi" w:cstheme="majorBidi"/>
        </w:rPr>
        <w:t>),</w:t>
      </w:r>
      <w:r w:rsidR="00D46DD0" w:rsidRPr="00A1502B">
        <w:rPr>
          <w:rFonts w:asciiTheme="majorBidi" w:hAnsiTheme="majorBidi" w:cstheme="majorBidi"/>
        </w:rPr>
        <w:t xml:space="preserve"> para. </w:t>
      </w:r>
      <w:r w:rsidR="00D46DD0">
        <w:rPr>
          <w:rFonts w:asciiTheme="majorBidi" w:hAnsiTheme="majorBidi" w:cstheme="majorBidi"/>
        </w:rPr>
        <w:t>167.</w:t>
      </w:r>
      <w:r w:rsidR="00D46DD0" w:rsidRPr="00C26352">
        <w:rPr>
          <w:rFonts w:eastAsia="Malgun Gothic" w:hint="eastAsia"/>
          <w:lang w:eastAsia="ko-KR"/>
        </w:rPr>
        <w:t xml:space="preserve"> </w:t>
      </w:r>
      <w:r w:rsidR="00D46DD0">
        <w:rPr>
          <w:rFonts w:eastAsia="Malgun Gothic" w:hint="eastAsia"/>
          <w:lang w:eastAsia="ko-KR"/>
        </w:rPr>
        <w:t>Accordingly, t</w:t>
      </w:r>
      <w:r w:rsidR="00D46DD0">
        <w:t xml:space="preserve">hree </w:t>
      </w:r>
      <w:r w:rsidR="00D46DD0">
        <w:rPr>
          <w:rFonts w:eastAsia="Malgun Gothic" w:hint="eastAsia"/>
          <w:lang w:eastAsia="ko-KR"/>
        </w:rPr>
        <w:t xml:space="preserve">informal </w:t>
      </w:r>
      <w:r w:rsidR="00D46DD0">
        <w:t xml:space="preserve">meetings on the operationalization of the Advisory Centre were </w:t>
      </w:r>
      <w:r w:rsidR="00D46DD0">
        <w:rPr>
          <w:rFonts w:eastAsia="Malgun Gothic"/>
          <w:lang w:eastAsia="ko-KR"/>
        </w:rPr>
        <w:t>held</w:t>
      </w:r>
      <w:r w:rsidR="00D46DD0" w:rsidRPr="000701D4" w:rsidDel="0080767C">
        <w:t xml:space="preserve"> </w:t>
      </w:r>
      <w:r w:rsidR="00D46DD0">
        <w:rPr>
          <w:rFonts w:eastAsia="Malgun Gothic" w:hint="eastAsia"/>
          <w:lang w:eastAsia="ko-KR"/>
        </w:rPr>
        <w:t xml:space="preserve">respectively </w:t>
      </w:r>
      <w:r w:rsidR="00D46DD0" w:rsidRPr="000701D4">
        <w:t xml:space="preserve">in Bangkok (2–4 December 2024), Yerevan (6–8 May 2025) and Paris </w:t>
      </w:r>
      <w:r w:rsidR="00581651">
        <w:br/>
      </w:r>
      <w:r w:rsidR="00D46DD0" w:rsidRPr="000701D4">
        <w:t>(1–3 December 2025).</w:t>
      </w:r>
    </w:p>
  </w:footnote>
  <w:footnote w:id="2">
    <w:p w14:paraId="56B2C3B5" w14:textId="2A64D70E" w:rsidR="00D46DD0" w:rsidRPr="00E459E7" w:rsidRDefault="00666FA7" w:rsidP="00D46DD0">
      <w:pPr>
        <w:pStyle w:val="FootnoteText"/>
        <w:tabs>
          <w:tab w:val="clear" w:pos="418"/>
          <w:tab w:val="right" w:pos="1195"/>
          <w:tab w:val="left" w:pos="1267"/>
          <w:tab w:val="left" w:pos="1742"/>
          <w:tab w:val="left" w:pos="2218"/>
          <w:tab w:val="left" w:pos="2693"/>
        </w:tabs>
        <w:ind w:left="1267" w:right="1260" w:hanging="432"/>
        <w:rPr>
          <w:lang w:val="en-US"/>
        </w:rPr>
      </w:pPr>
      <w:r>
        <w:tab/>
      </w:r>
      <w:r w:rsidR="00D46DD0">
        <w:rPr>
          <w:rStyle w:val="FootnoteReference"/>
        </w:rPr>
        <w:footnoteRef/>
      </w:r>
      <w:r>
        <w:tab/>
      </w:r>
      <w:r w:rsidR="00D46DD0" w:rsidRPr="00BE3FCF">
        <w:rPr>
          <w:rFonts w:eastAsia="Malgun Gothic"/>
          <w:lang w:eastAsia="ko-KR"/>
        </w:rPr>
        <w:t>Ibid.</w:t>
      </w:r>
      <w:r w:rsidR="00D46DD0" w:rsidRPr="00BE3FCF">
        <w:t>,</w:t>
      </w:r>
      <w:r w:rsidR="00D46DD0" w:rsidRPr="001770B5">
        <w:rPr>
          <w:i/>
          <w:iCs/>
        </w:rPr>
        <w:t xml:space="preserve"> Eightieth Session</w:t>
      </w:r>
      <w:r w:rsidR="00D46DD0" w:rsidRPr="00BE3FCF">
        <w:rPr>
          <w:i/>
          <w:iCs/>
        </w:rPr>
        <w:t>, Supplement No. 17</w:t>
      </w:r>
      <w:r w:rsidR="00D46DD0">
        <w:t xml:space="preserve"> </w:t>
      </w:r>
      <w:r w:rsidR="00D46DD0" w:rsidRPr="00C43C25">
        <w:t>(</w:t>
      </w:r>
      <w:hyperlink r:id="rId2" w:history="1">
        <w:r w:rsidR="00D46DD0" w:rsidRPr="00D46DD0">
          <w:rPr>
            <w:rStyle w:val="Hyperlink"/>
          </w:rPr>
          <w:t>A/80/17</w:t>
        </w:r>
      </w:hyperlink>
      <w:r w:rsidR="00D46DD0" w:rsidRPr="00C43C25">
        <w:t xml:space="preserve">), para. </w:t>
      </w:r>
      <w:r w:rsidR="00D46DD0">
        <w:t>205</w:t>
      </w:r>
      <w:r w:rsidR="00D46DD0" w:rsidRPr="00C43C25">
        <w:t>.</w:t>
      </w:r>
    </w:p>
  </w:footnote>
  <w:footnote w:id="3">
    <w:p w14:paraId="230AD4F1" w14:textId="2B3A48BD" w:rsidR="00D46DD0" w:rsidRPr="00327C34" w:rsidRDefault="00666FA7" w:rsidP="00D46DD0">
      <w:pPr>
        <w:pStyle w:val="FootnoteText"/>
        <w:tabs>
          <w:tab w:val="clear" w:pos="418"/>
          <w:tab w:val="right" w:pos="1195"/>
          <w:tab w:val="left" w:pos="1267"/>
          <w:tab w:val="left" w:pos="1742"/>
          <w:tab w:val="left" w:pos="2218"/>
          <w:tab w:val="left" w:pos="2693"/>
        </w:tabs>
        <w:ind w:left="1267" w:right="1260" w:hanging="432"/>
      </w:pPr>
      <w:r>
        <w:rPr>
          <w:rFonts w:eastAsia="Malgun Gothic"/>
          <w:lang w:eastAsia="ko-KR"/>
        </w:rPr>
        <w:tab/>
      </w:r>
      <w:r w:rsidR="00D46DD0">
        <w:rPr>
          <w:rStyle w:val="FootnoteReference"/>
        </w:rPr>
        <w:footnoteRef/>
      </w:r>
      <w:r>
        <w:rPr>
          <w:rFonts w:eastAsia="Malgun Gothic"/>
          <w:lang w:eastAsia="ko-KR"/>
        </w:rPr>
        <w:tab/>
      </w:r>
      <w:r w:rsidR="00D46DD0">
        <w:rPr>
          <w:rFonts w:eastAsia="Malgun Gothic" w:hint="eastAsia"/>
          <w:lang w:eastAsia="ko-KR"/>
        </w:rPr>
        <w:t>Available at</w:t>
      </w:r>
      <w:r w:rsidR="00D46DD0" w:rsidRPr="00327C34">
        <w:t xml:space="preserve"> </w:t>
      </w:r>
      <w:hyperlink r:id="rId3" w:history="1">
        <w:r w:rsidR="00D46DD0" w:rsidRPr="00327C34">
          <w:rPr>
            <w:rStyle w:val="Hyperlink"/>
          </w:rPr>
          <w:t>https://uncitral.un.org/en/en/content/final-call-governments-express-their-interest-host-advisory-centre-international-investment</w:t>
        </w:r>
      </w:hyperlink>
      <w:r w:rsidR="00D46DD0" w:rsidRPr="00327C34">
        <w:t>.</w:t>
      </w:r>
    </w:p>
  </w:footnote>
  <w:footnote w:id="4">
    <w:p w14:paraId="7197E163" w14:textId="104DE75F" w:rsidR="00D46DD0" w:rsidRPr="00EF091F" w:rsidRDefault="0085647D" w:rsidP="00D46DD0">
      <w:pPr>
        <w:pStyle w:val="FootnoteText"/>
        <w:tabs>
          <w:tab w:val="clear" w:pos="418"/>
          <w:tab w:val="right" w:pos="1195"/>
          <w:tab w:val="left" w:pos="1267"/>
          <w:tab w:val="left" w:pos="1742"/>
          <w:tab w:val="left" w:pos="2218"/>
          <w:tab w:val="left" w:pos="2693"/>
        </w:tabs>
        <w:ind w:left="1267" w:right="1260" w:hanging="432"/>
        <w:rPr>
          <w:lang w:val="en-US"/>
        </w:rPr>
      </w:pPr>
      <w:r w:rsidRPr="00383FA9">
        <w:rPr>
          <w:lang w:val="en-IE"/>
        </w:rPr>
        <w:tab/>
      </w:r>
      <w:r w:rsidR="00D46DD0">
        <w:rPr>
          <w:rStyle w:val="FootnoteReference"/>
        </w:rPr>
        <w:footnoteRef/>
      </w:r>
      <w:r>
        <w:rPr>
          <w:lang w:val="es-ES"/>
        </w:rPr>
        <w:tab/>
      </w:r>
      <w:hyperlink r:id="rId4" w:history="1">
        <w:r w:rsidR="00D46DD0" w:rsidRPr="00D46DD0">
          <w:rPr>
            <w:rStyle w:val="Hyperlink"/>
            <w:lang w:val="es-ES"/>
          </w:rPr>
          <w:t>A/80/17</w:t>
        </w:r>
      </w:hyperlink>
      <w:r w:rsidR="00D46DD0" w:rsidRPr="007655B5">
        <w:rPr>
          <w:lang w:val="es-ES"/>
        </w:rPr>
        <w:t xml:space="preserve">, para. </w:t>
      </w:r>
      <w:r w:rsidR="00D46DD0">
        <w:t>203.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bottom w:val="single" w:sz="2" w:space="0" w:color="000000"/>
      </w:tblBorders>
      <w:tblLayout w:type="fixed"/>
      <w:tblCellMar>
        <w:left w:w="0" w:type="dxa"/>
        <w:right w:w="0" w:type="dxa"/>
      </w:tblCellMar>
      <w:tblLook w:val="0000" w:firstRow="0" w:lastRow="0" w:firstColumn="0" w:lastColumn="0" w:noHBand="0" w:noVBand="0"/>
    </w:tblPr>
    <w:tblGrid>
      <w:gridCol w:w="4882"/>
      <w:gridCol w:w="4923"/>
    </w:tblGrid>
    <w:tr w:rsidR="0075404F" w14:paraId="0D7EF62F" w14:textId="77777777" w:rsidTr="0075404F">
      <w:trPr>
        <w:trHeight w:hRule="exact" w:val="864"/>
        <w:jc w:val="center"/>
      </w:trPr>
      <w:tc>
        <w:tcPr>
          <w:tcW w:w="4882" w:type="dxa"/>
          <w:vAlign w:val="bottom"/>
        </w:tcPr>
        <w:p w14:paraId="43C42573" w14:textId="597D89C1" w:rsidR="0075404F" w:rsidRPr="0075404F" w:rsidRDefault="0075404F" w:rsidP="0075404F">
          <w:pPr>
            <w:pStyle w:val="Header"/>
            <w:spacing w:after="80"/>
            <w:rPr>
              <w:b/>
            </w:rPr>
          </w:pPr>
          <w:r>
            <w:rPr>
              <w:b/>
            </w:rPr>
            <w:fldChar w:fldCharType="begin"/>
          </w:r>
          <w:r>
            <w:rPr>
              <w:b/>
            </w:rPr>
            <w:instrText xml:space="preserve"> DOCVARIABLE "sss1" \* MERGEFORMAT </w:instrText>
          </w:r>
          <w:r>
            <w:rPr>
              <w:b/>
            </w:rPr>
            <w:fldChar w:fldCharType="separate"/>
          </w:r>
          <w:r>
            <w:rPr>
              <w:b/>
            </w:rPr>
            <w:t>A/CN.9/LIX/CRP.1/Add.1</w:t>
          </w:r>
          <w:r>
            <w:rPr>
              <w:b/>
            </w:rPr>
            <w:fldChar w:fldCharType="end"/>
          </w:r>
        </w:p>
      </w:tc>
      <w:tc>
        <w:tcPr>
          <w:tcW w:w="4923" w:type="dxa"/>
          <w:vAlign w:val="bottom"/>
        </w:tcPr>
        <w:p w14:paraId="56DD93E1" w14:textId="77777777" w:rsidR="0075404F" w:rsidRDefault="0075404F" w:rsidP="0075404F">
          <w:pPr>
            <w:pStyle w:val="Header"/>
          </w:pPr>
        </w:p>
      </w:tc>
    </w:tr>
  </w:tbl>
  <w:p w14:paraId="40925538" w14:textId="77777777" w:rsidR="0075404F" w:rsidRPr="0075404F" w:rsidRDefault="0075404F" w:rsidP="007540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bottom w:val="single" w:sz="2" w:space="0" w:color="000000"/>
      </w:tblBorders>
      <w:tblLayout w:type="fixed"/>
      <w:tblCellMar>
        <w:left w:w="0" w:type="dxa"/>
        <w:right w:w="0" w:type="dxa"/>
      </w:tblCellMar>
      <w:tblLook w:val="0000" w:firstRow="0" w:lastRow="0" w:firstColumn="0" w:lastColumn="0" w:noHBand="0" w:noVBand="0"/>
    </w:tblPr>
    <w:tblGrid>
      <w:gridCol w:w="4882"/>
      <w:gridCol w:w="4923"/>
    </w:tblGrid>
    <w:tr w:rsidR="0075404F" w14:paraId="3B3E8B5D" w14:textId="77777777" w:rsidTr="0075404F">
      <w:trPr>
        <w:trHeight w:hRule="exact" w:val="864"/>
        <w:jc w:val="center"/>
      </w:trPr>
      <w:tc>
        <w:tcPr>
          <w:tcW w:w="4882" w:type="dxa"/>
          <w:vAlign w:val="bottom"/>
        </w:tcPr>
        <w:p w14:paraId="1D24EC61" w14:textId="77777777" w:rsidR="0075404F" w:rsidRDefault="0075404F" w:rsidP="0075404F">
          <w:pPr>
            <w:pStyle w:val="Header"/>
          </w:pPr>
        </w:p>
      </w:tc>
      <w:tc>
        <w:tcPr>
          <w:tcW w:w="4923" w:type="dxa"/>
          <w:vAlign w:val="bottom"/>
        </w:tcPr>
        <w:p w14:paraId="2C8D13D5" w14:textId="239BCA4D" w:rsidR="0075404F" w:rsidRPr="0075404F" w:rsidRDefault="0075404F" w:rsidP="0075404F">
          <w:pPr>
            <w:pStyle w:val="Header"/>
            <w:spacing w:after="80"/>
            <w:jc w:val="right"/>
            <w:rPr>
              <w:b/>
            </w:rPr>
          </w:pPr>
          <w:r>
            <w:rPr>
              <w:b/>
            </w:rPr>
            <w:fldChar w:fldCharType="begin"/>
          </w:r>
          <w:r>
            <w:rPr>
              <w:b/>
            </w:rPr>
            <w:instrText xml:space="preserve"> DOCVARIABLE "sss1" \* MERGEFORMAT </w:instrText>
          </w:r>
          <w:r>
            <w:rPr>
              <w:b/>
            </w:rPr>
            <w:fldChar w:fldCharType="separate"/>
          </w:r>
          <w:r>
            <w:rPr>
              <w:b/>
            </w:rPr>
            <w:t>A/CN.9/LIX/CRP.1/Add.1</w:t>
          </w:r>
          <w:r>
            <w:rPr>
              <w:b/>
            </w:rPr>
            <w:fldChar w:fldCharType="end"/>
          </w:r>
        </w:p>
      </w:tc>
    </w:tr>
  </w:tbl>
  <w:p w14:paraId="2E549B6B" w14:textId="77777777" w:rsidR="0075404F" w:rsidRPr="0075404F" w:rsidRDefault="0075404F" w:rsidP="007540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50" w:type="dxa"/>
      <w:tblLayout w:type="fixed"/>
      <w:tblCellMar>
        <w:left w:w="0" w:type="dxa"/>
        <w:right w:w="0" w:type="dxa"/>
      </w:tblCellMar>
      <w:tblLook w:val="0000" w:firstRow="0" w:lastRow="0" w:firstColumn="0" w:lastColumn="0" w:noHBand="0" w:noVBand="0"/>
    </w:tblPr>
    <w:tblGrid>
      <w:gridCol w:w="1267"/>
      <w:gridCol w:w="1872"/>
      <w:gridCol w:w="245"/>
      <w:gridCol w:w="3110"/>
      <w:gridCol w:w="245"/>
      <w:gridCol w:w="3100"/>
      <w:gridCol w:w="11"/>
    </w:tblGrid>
    <w:tr w:rsidR="0075404F" w14:paraId="2168AA41" w14:textId="77777777" w:rsidTr="0075404F">
      <w:trPr>
        <w:trHeight w:hRule="exact" w:val="864"/>
      </w:trPr>
      <w:tc>
        <w:tcPr>
          <w:tcW w:w="1267" w:type="dxa"/>
          <w:tcBorders>
            <w:bottom w:val="single" w:sz="4" w:space="0" w:color="auto"/>
          </w:tcBorders>
          <w:vAlign w:val="bottom"/>
        </w:tcPr>
        <w:p w14:paraId="0D25326B" w14:textId="77777777" w:rsidR="0075404F" w:rsidRDefault="0075404F" w:rsidP="0075404F">
          <w:pPr>
            <w:pStyle w:val="Header"/>
            <w:spacing w:after="120"/>
          </w:pPr>
        </w:p>
      </w:tc>
      <w:tc>
        <w:tcPr>
          <w:tcW w:w="1872" w:type="dxa"/>
          <w:tcBorders>
            <w:bottom w:val="single" w:sz="4" w:space="0" w:color="auto"/>
          </w:tcBorders>
          <w:vAlign w:val="bottom"/>
        </w:tcPr>
        <w:p w14:paraId="670BEED0" w14:textId="77777777" w:rsidR="0075404F" w:rsidRDefault="0075404F" w:rsidP="0075404F">
          <w:pPr>
            <w:pStyle w:val="Header"/>
            <w:spacing w:after="120"/>
          </w:pPr>
        </w:p>
      </w:tc>
      <w:tc>
        <w:tcPr>
          <w:tcW w:w="245" w:type="dxa"/>
          <w:tcBorders>
            <w:bottom w:val="single" w:sz="4" w:space="0" w:color="auto"/>
          </w:tcBorders>
          <w:vAlign w:val="bottom"/>
        </w:tcPr>
        <w:p w14:paraId="4FD58764" w14:textId="77777777" w:rsidR="0075404F" w:rsidRDefault="0075404F" w:rsidP="0075404F">
          <w:pPr>
            <w:pStyle w:val="Header"/>
            <w:spacing w:after="120"/>
          </w:pPr>
        </w:p>
      </w:tc>
      <w:tc>
        <w:tcPr>
          <w:tcW w:w="6466" w:type="dxa"/>
          <w:gridSpan w:val="4"/>
          <w:tcBorders>
            <w:bottom w:val="single" w:sz="4" w:space="0" w:color="auto"/>
          </w:tcBorders>
          <w:vAlign w:val="bottom"/>
        </w:tcPr>
        <w:p w14:paraId="4DB7DB66" w14:textId="1DAD8A09" w:rsidR="0075404F" w:rsidRPr="0075404F" w:rsidRDefault="0075404F" w:rsidP="0075404F">
          <w:pPr>
            <w:spacing w:after="80" w:line="240" w:lineRule="auto"/>
            <w:jc w:val="right"/>
            <w:rPr>
              <w:position w:val="-4"/>
            </w:rPr>
          </w:pPr>
          <w:r>
            <w:rPr>
              <w:position w:val="-4"/>
              <w:sz w:val="40"/>
            </w:rPr>
            <w:t>A</w:t>
          </w:r>
          <w:r>
            <w:rPr>
              <w:position w:val="-4"/>
            </w:rPr>
            <w:t>/CN.9/LIX/CRP.1/Add.1</w:t>
          </w:r>
        </w:p>
      </w:tc>
    </w:tr>
    <w:tr w:rsidR="0075404F" w:rsidRPr="0075404F" w14:paraId="63D4298D" w14:textId="77777777" w:rsidTr="0075404F">
      <w:trPr>
        <w:gridAfter w:val="1"/>
        <w:wAfter w:w="11" w:type="dxa"/>
        <w:trHeight w:hRule="exact" w:val="2880"/>
      </w:trPr>
      <w:tc>
        <w:tcPr>
          <w:tcW w:w="1267" w:type="dxa"/>
          <w:tcBorders>
            <w:top w:val="single" w:sz="4" w:space="0" w:color="auto"/>
            <w:bottom w:val="single" w:sz="12" w:space="0" w:color="auto"/>
          </w:tcBorders>
        </w:tcPr>
        <w:p w14:paraId="47583D0E" w14:textId="25954E11" w:rsidR="0075404F" w:rsidRPr="0075404F" w:rsidRDefault="0075404F" w:rsidP="0075404F">
          <w:pPr>
            <w:pStyle w:val="Header"/>
            <w:spacing w:before="109"/>
          </w:pPr>
          <w:r>
            <w:t xml:space="preserve"> </w:t>
          </w:r>
        </w:p>
      </w:tc>
      <w:tc>
        <w:tcPr>
          <w:tcW w:w="5227" w:type="dxa"/>
          <w:gridSpan w:val="3"/>
          <w:tcBorders>
            <w:top w:val="single" w:sz="4" w:space="0" w:color="auto"/>
            <w:bottom w:val="single" w:sz="12" w:space="0" w:color="auto"/>
          </w:tcBorders>
        </w:tcPr>
        <w:p w14:paraId="1F2B19D4" w14:textId="77777777" w:rsidR="0075404F" w:rsidRPr="0075404F" w:rsidRDefault="0075404F" w:rsidP="0075404F">
          <w:pPr>
            <w:pStyle w:val="Header"/>
            <w:spacing w:before="109"/>
          </w:pPr>
        </w:p>
      </w:tc>
      <w:tc>
        <w:tcPr>
          <w:tcW w:w="245" w:type="dxa"/>
          <w:tcBorders>
            <w:top w:val="single" w:sz="4" w:space="0" w:color="auto"/>
            <w:bottom w:val="single" w:sz="12" w:space="0" w:color="auto"/>
          </w:tcBorders>
        </w:tcPr>
        <w:p w14:paraId="538AA864" w14:textId="77777777" w:rsidR="0075404F" w:rsidRPr="0075404F" w:rsidRDefault="0075404F" w:rsidP="0075404F">
          <w:pPr>
            <w:pStyle w:val="Header"/>
            <w:spacing w:before="109"/>
          </w:pPr>
        </w:p>
      </w:tc>
      <w:tc>
        <w:tcPr>
          <w:tcW w:w="3100" w:type="dxa"/>
          <w:tcBorders>
            <w:top w:val="single" w:sz="4" w:space="0" w:color="auto"/>
            <w:bottom w:val="single" w:sz="12" w:space="0" w:color="auto"/>
          </w:tcBorders>
        </w:tcPr>
        <w:p w14:paraId="7CA45229" w14:textId="77777777" w:rsidR="0075404F" w:rsidRDefault="0075404F" w:rsidP="0075404F">
          <w:pPr>
            <w:pStyle w:val="Publication"/>
            <w:spacing w:before="480"/>
            <w:rPr>
              <w:color w:val="010000"/>
            </w:rPr>
          </w:pPr>
          <w:r>
            <w:rPr>
              <w:color w:val="010000"/>
            </w:rPr>
            <w:t>29 June 2026</w:t>
          </w:r>
        </w:p>
        <w:p w14:paraId="11994FE0" w14:textId="77777777" w:rsidR="00E1529D" w:rsidRDefault="00E1529D" w:rsidP="0075404F"/>
        <w:p w14:paraId="096ADE05" w14:textId="1E99E956" w:rsidR="0075404F" w:rsidRPr="0075404F" w:rsidRDefault="0075404F" w:rsidP="0075404F">
          <w:r>
            <w:t>Original: English</w:t>
          </w:r>
        </w:p>
      </w:tc>
    </w:tr>
  </w:tbl>
  <w:p w14:paraId="3874F9FB" w14:textId="77777777" w:rsidR="0075404F" w:rsidRPr="00F12071" w:rsidRDefault="0075404F" w:rsidP="0075404F">
    <w:pPr>
      <w:pStyle w:val="Header"/>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AE031B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3B45FD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696AAF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F90FBFC"/>
    <w:lvl w:ilvl="0">
      <w:start w:val="1"/>
      <w:numFmt w:val="decimal"/>
      <w:pStyle w:val="ListNumber2"/>
      <w:lvlText w:val="%1."/>
      <w:lvlJc w:val="left"/>
      <w:pPr>
        <w:tabs>
          <w:tab w:val="num" w:pos="720"/>
        </w:tabs>
        <w:ind w:left="720" w:hanging="360"/>
      </w:pPr>
    </w:lvl>
  </w:abstractNum>
  <w:abstractNum w:abstractNumId="4" w15:restartNumberingAfterBreak="0">
    <w:nsid w:val="FFFFFF88"/>
    <w:multiLevelType w:val="singleLevel"/>
    <w:tmpl w:val="A6660E90"/>
    <w:lvl w:ilvl="0">
      <w:start w:val="1"/>
      <w:numFmt w:val="decimal"/>
      <w:pStyle w:val="ListNumber"/>
      <w:lvlText w:val="%1."/>
      <w:lvlJc w:val="left"/>
      <w:pPr>
        <w:tabs>
          <w:tab w:val="num" w:pos="360"/>
        </w:tabs>
        <w:ind w:left="360" w:hanging="360"/>
      </w:pPr>
    </w:lvl>
  </w:abstractNum>
  <w:abstractNum w:abstractNumId="5" w15:restartNumberingAfterBreak="0">
    <w:nsid w:val="20330AD0"/>
    <w:multiLevelType w:val="hybridMultilevel"/>
    <w:tmpl w:val="076AB328"/>
    <w:lvl w:ilvl="0" w:tplc="7E46B9FA">
      <w:start w:val="1"/>
      <w:numFmt w:val="bullet"/>
      <w:pStyle w:val="Bullet2"/>
      <w:lvlText w:val=""/>
      <w:lvlJc w:val="left"/>
      <w:pPr>
        <w:ind w:left="2807" w:hanging="360"/>
      </w:pPr>
      <w:rPr>
        <w:rFonts w:ascii="Symbol" w:hAnsi="Symbol" w:hint="default"/>
        <w:sz w:val="14"/>
      </w:rPr>
    </w:lvl>
    <w:lvl w:ilvl="1" w:tplc="04090003" w:tentative="1">
      <w:start w:val="1"/>
      <w:numFmt w:val="bullet"/>
      <w:lvlText w:val="o"/>
      <w:lvlJc w:val="left"/>
      <w:pPr>
        <w:ind w:left="3527" w:hanging="360"/>
      </w:pPr>
      <w:rPr>
        <w:rFonts w:ascii="Courier New" w:hAnsi="Courier New" w:cs="Courier New" w:hint="default"/>
      </w:rPr>
    </w:lvl>
    <w:lvl w:ilvl="2" w:tplc="04090005" w:tentative="1">
      <w:start w:val="1"/>
      <w:numFmt w:val="bullet"/>
      <w:lvlText w:val=""/>
      <w:lvlJc w:val="left"/>
      <w:pPr>
        <w:ind w:left="4247" w:hanging="360"/>
      </w:pPr>
      <w:rPr>
        <w:rFonts w:ascii="Wingdings" w:hAnsi="Wingdings" w:hint="default"/>
      </w:rPr>
    </w:lvl>
    <w:lvl w:ilvl="3" w:tplc="04090001" w:tentative="1">
      <w:start w:val="1"/>
      <w:numFmt w:val="bullet"/>
      <w:lvlText w:val=""/>
      <w:lvlJc w:val="left"/>
      <w:pPr>
        <w:ind w:left="4967" w:hanging="360"/>
      </w:pPr>
      <w:rPr>
        <w:rFonts w:ascii="Symbol" w:hAnsi="Symbol" w:hint="default"/>
      </w:rPr>
    </w:lvl>
    <w:lvl w:ilvl="4" w:tplc="04090003" w:tentative="1">
      <w:start w:val="1"/>
      <w:numFmt w:val="bullet"/>
      <w:lvlText w:val="o"/>
      <w:lvlJc w:val="left"/>
      <w:pPr>
        <w:ind w:left="5687" w:hanging="360"/>
      </w:pPr>
      <w:rPr>
        <w:rFonts w:ascii="Courier New" w:hAnsi="Courier New" w:cs="Courier New" w:hint="default"/>
      </w:rPr>
    </w:lvl>
    <w:lvl w:ilvl="5" w:tplc="04090005" w:tentative="1">
      <w:start w:val="1"/>
      <w:numFmt w:val="bullet"/>
      <w:lvlText w:val=""/>
      <w:lvlJc w:val="left"/>
      <w:pPr>
        <w:ind w:left="6407" w:hanging="360"/>
      </w:pPr>
      <w:rPr>
        <w:rFonts w:ascii="Wingdings" w:hAnsi="Wingdings" w:hint="default"/>
      </w:rPr>
    </w:lvl>
    <w:lvl w:ilvl="6" w:tplc="04090001" w:tentative="1">
      <w:start w:val="1"/>
      <w:numFmt w:val="bullet"/>
      <w:lvlText w:val=""/>
      <w:lvlJc w:val="left"/>
      <w:pPr>
        <w:ind w:left="7127" w:hanging="360"/>
      </w:pPr>
      <w:rPr>
        <w:rFonts w:ascii="Symbol" w:hAnsi="Symbol" w:hint="default"/>
      </w:rPr>
    </w:lvl>
    <w:lvl w:ilvl="7" w:tplc="04090003" w:tentative="1">
      <w:start w:val="1"/>
      <w:numFmt w:val="bullet"/>
      <w:lvlText w:val="o"/>
      <w:lvlJc w:val="left"/>
      <w:pPr>
        <w:ind w:left="7847" w:hanging="360"/>
      </w:pPr>
      <w:rPr>
        <w:rFonts w:ascii="Courier New" w:hAnsi="Courier New" w:cs="Courier New" w:hint="default"/>
      </w:rPr>
    </w:lvl>
    <w:lvl w:ilvl="8" w:tplc="04090005" w:tentative="1">
      <w:start w:val="1"/>
      <w:numFmt w:val="bullet"/>
      <w:lvlText w:val=""/>
      <w:lvlJc w:val="left"/>
      <w:pPr>
        <w:ind w:left="8567" w:hanging="360"/>
      </w:pPr>
      <w:rPr>
        <w:rFonts w:ascii="Wingdings" w:hAnsi="Wingdings" w:hint="default"/>
      </w:rPr>
    </w:lvl>
  </w:abstractNum>
  <w:abstractNum w:abstractNumId="6" w15:restartNumberingAfterBreak="0">
    <w:nsid w:val="3C456276"/>
    <w:multiLevelType w:val="hybridMultilevel"/>
    <w:tmpl w:val="19149710"/>
    <w:lvl w:ilvl="0" w:tplc="F4AAAF66">
      <w:start w:val="1"/>
      <w:numFmt w:val="bullet"/>
      <w:pStyle w:val="Bullet3"/>
      <w:lvlText w:val=""/>
      <w:lvlJc w:val="left"/>
      <w:pPr>
        <w:ind w:left="3283" w:hanging="360"/>
      </w:pPr>
      <w:rPr>
        <w:rFonts w:ascii="Symbol" w:hAnsi="Symbol" w:cs="Symbol" w:hint="default"/>
        <w:sz w:val="14"/>
        <w:szCs w:val="14"/>
      </w:rPr>
    </w:lvl>
    <w:lvl w:ilvl="1" w:tplc="08090003" w:tentative="1">
      <w:start w:val="1"/>
      <w:numFmt w:val="bullet"/>
      <w:lvlText w:val="o"/>
      <w:lvlJc w:val="left"/>
      <w:pPr>
        <w:ind w:left="4003" w:hanging="360"/>
      </w:pPr>
      <w:rPr>
        <w:rFonts w:ascii="Courier New" w:hAnsi="Courier New" w:cs="Courier New" w:hint="default"/>
      </w:rPr>
    </w:lvl>
    <w:lvl w:ilvl="2" w:tplc="08090005" w:tentative="1">
      <w:start w:val="1"/>
      <w:numFmt w:val="bullet"/>
      <w:lvlText w:val=""/>
      <w:lvlJc w:val="left"/>
      <w:pPr>
        <w:ind w:left="4723" w:hanging="360"/>
      </w:pPr>
      <w:rPr>
        <w:rFonts w:ascii="Wingdings" w:hAnsi="Wingdings" w:hint="default"/>
      </w:rPr>
    </w:lvl>
    <w:lvl w:ilvl="3" w:tplc="08090001" w:tentative="1">
      <w:start w:val="1"/>
      <w:numFmt w:val="bullet"/>
      <w:lvlText w:val=""/>
      <w:lvlJc w:val="left"/>
      <w:pPr>
        <w:ind w:left="5443" w:hanging="360"/>
      </w:pPr>
      <w:rPr>
        <w:rFonts w:ascii="Symbol" w:hAnsi="Symbol" w:hint="default"/>
      </w:rPr>
    </w:lvl>
    <w:lvl w:ilvl="4" w:tplc="08090003" w:tentative="1">
      <w:start w:val="1"/>
      <w:numFmt w:val="bullet"/>
      <w:lvlText w:val="o"/>
      <w:lvlJc w:val="left"/>
      <w:pPr>
        <w:ind w:left="6163" w:hanging="360"/>
      </w:pPr>
      <w:rPr>
        <w:rFonts w:ascii="Courier New" w:hAnsi="Courier New" w:cs="Courier New" w:hint="default"/>
      </w:rPr>
    </w:lvl>
    <w:lvl w:ilvl="5" w:tplc="08090005" w:tentative="1">
      <w:start w:val="1"/>
      <w:numFmt w:val="bullet"/>
      <w:lvlText w:val=""/>
      <w:lvlJc w:val="left"/>
      <w:pPr>
        <w:ind w:left="6883" w:hanging="360"/>
      </w:pPr>
      <w:rPr>
        <w:rFonts w:ascii="Wingdings" w:hAnsi="Wingdings" w:hint="default"/>
      </w:rPr>
    </w:lvl>
    <w:lvl w:ilvl="6" w:tplc="08090001" w:tentative="1">
      <w:start w:val="1"/>
      <w:numFmt w:val="bullet"/>
      <w:lvlText w:val=""/>
      <w:lvlJc w:val="left"/>
      <w:pPr>
        <w:ind w:left="7603" w:hanging="360"/>
      </w:pPr>
      <w:rPr>
        <w:rFonts w:ascii="Symbol" w:hAnsi="Symbol" w:hint="default"/>
      </w:rPr>
    </w:lvl>
    <w:lvl w:ilvl="7" w:tplc="08090003" w:tentative="1">
      <w:start w:val="1"/>
      <w:numFmt w:val="bullet"/>
      <w:lvlText w:val="o"/>
      <w:lvlJc w:val="left"/>
      <w:pPr>
        <w:ind w:left="8323" w:hanging="360"/>
      </w:pPr>
      <w:rPr>
        <w:rFonts w:ascii="Courier New" w:hAnsi="Courier New" w:cs="Courier New" w:hint="default"/>
      </w:rPr>
    </w:lvl>
    <w:lvl w:ilvl="8" w:tplc="08090005" w:tentative="1">
      <w:start w:val="1"/>
      <w:numFmt w:val="bullet"/>
      <w:lvlText w:val=""/>
      <w:lvlJc w:val="left"/>
      <w:pPr>
        <w:ind w:left="9043" w:hanging="360"/>
      </w:pPr>
      <w:rPr>
        <w:rFonts w:ascii="Wingdings" w:hAnsi="Wingdings" w:hint="default"/>
      </w:rPr>
    </w:lvl>
  </w:abstractNum>
  <w:abstractNum w:abstractNumId="7" w15:restartNumberingAfterBreak="0">
    <w:nsid w:val="44E42048"/>
    <w:multiLevelType w:val="hybridMultilevel"/>
    <w:tmpl w:val="7DF806B6"/>
    <w:lvl w:ilvl="0" w:tplc="9432CEA0">
      <w:start w:val="1"/>
      <w:numFmt w:val="decimal"/>
      <w:pStyle w:val="ListContinue2"/>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265142"/>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9" w15:restartNumberingAfterBreak="0">
    <w:nsid w:val="4CB328FD"/>
    <w:multiLevelType w:val="hybridMultilevel"/>
    <w:tmpl w:val="DB24711E"/>
    <w:lvl w:ilvl="0" w:tplc="4006A8EC">
      <w:start w:val="1"/>
      <w:numFmt w:val="decimal"/>
      <w:lvlText w:val="%1."/>
      <w:lvlJc w:val="left"/>
      <w:pPr>
        <w:ind w:left="1744" w:hanging="480"/>
      </w:pPr>
      <w:rPr>
        <w:rFonts w:hint="default"/>
      </w:rPr>
    </w:lvl>
    <w:lvl w:ilvl="1" w:tplc="18090019" w:tentative="1">
      <w:start w:val="1"/>
      <w:numFmt w:val="lowerLetter"/>
      <w:lvlText w:val="%2."/>
      <w:lvlJc w:val="left"/>
      <w:pPr>
        <w:ind w:left="2344" w:hanging="360"/>
      </w:pPr>
    </w:lvl>
    <w:lvl w:ilvl="2" w:tplc="1809001B" w:tentative="1">
      <w:start w:val="1"/>
      <w:numFmt w:val="lowerRoman"/>
      <w:lvlText w:val="%3."/>
      <w:lvlJc w:val="right"/>
      <w:pPr>
        <w:ind w:left="3064" w:hanging="180"/>
      </w:pPr>
    </w:lvl>
    <w:lvl w:ilvl="3" w:tplc="1809000F" w:tentative="1">
      <w:start w:val="1"/>
      <w:numFmt w:val="decimal"/>
      <w:lvlText w:val="%4."/>
      <w:lvlJc w:val="left"/>
      <w:pPr>
        <w:ind w:left="3784" w:hanging="360"/>
      </w:pPr>
    </w:lvl>
    <w:lvl w:ilvl="4" w:tplc="18090019" w:tentative="1">
      <w:start w:val="1"/>
      <w:numFmt w:val="lowerLetter"/>
      <w:lvlText w:val="%5."/>
      <w:lvlJc w:val="left"/>
      <w:pPr>
        <w:ind w:left="4504" w:hanging="360"/>
      </w:pPr>
    </w:lvl>
    <w:lvl w:ilvl="5" w:tplc="1809001B" w:tentative="1">
      <w:start w:val="1"/>
      <w:numFmt w:val="lowerRoman"/>
      <w:lvlText w:val="%6."/>
      <w:lvlJc w:val="right"/>
      <w:pPr>
        <w:ind w:left="5224" w:hanging="180"/>
      </w:pPr>
    </w:lvl>
    <w:lvl w:ilvl="6" w:tplc="1809000F" w:tentative="1">
      <w:start w:val="1"/>
      <w:numFmt w:val="decimal"/>
      <w:lvlText w:val="%7."/>
      <w:lvlJc w:val="left"/>
      <w:pPr>
        <w:ind w:left="5944" w:hanging="360"/>
      </w:pPr>
    </w:lvl>
    <w:lvl w:ilvl="7" w:tplc="18090019" w:tentative="1">
      <w:start w:val="1"/>
      <w:numFmt w:val="lowerLetter"/>
      <w:lvlText w:val="%8."/>
      <w:lvlJc w:val="left"/>
      <w:pPr>
        <w:ind w:left="6664" w:hanging="360"/>
      </w:pPr>
    </w:lvl>
    <w:lvl w:ilvl="8" w:tplc="1809001B" w:tentative="1">
      <w:start w:val="1"/>
      <w:numFmt w:val="lowerRoman"/>
      <w:lvlText w:val="%9."/>
      <w:lvlJc w:val="right"/>
      <w:pPr>
        <w:ind w:left="7384" w:hanging="180"/>
      </w:pPr>
    </w:lvl>
  </w:abstractNum>
  <w:abstractNum w:abstractNumId="10" w15:restartNumberingAfterBreak="0">
    <w:nsid w:val="4CE669A5"/>
    <w:multiLevelType w:val="multilevel"/>
    <w:tmpl w:val="7D1632E0"/>
    <w:lvl w:ilvl="0">
      <w:start w:val="1"/>
      <w:numFmt w:val="bullet"/>
      <w:pStyle w:val="NormalBullet"/>
      <w:lvlText w:val=""/>
      <w:lvlJc w:val="left"/>
      <w:pPr>
        <w:tabs>
          <w:tab w:val="num" w:pos="2376"/>
        </w:tabs>
        <w:ind w:left="2218" w:hanging="202"/>
      </w:pPr>
      <w:rPr>
        <w:rFonts w:ascii="Symbol" w:hAnsi="Symbol" w:hint="default"/>
      </w:rPr>
    </w:lvl>
    <w:lvl w:ilvl="1">
      <w:start w:val="1"/>
      <w:numFmt w:val="lowerLetter"/>
      <w:lvlText w:val="%2)"/>
      <w:lvlJc w:val="left"/>
      <w:pPr>
        <w:tabs>
          <w:tab w:val="num" w:pos="2736"/>
        </w:tabs>
        <w:ind w:left="2736" w:hanging="360"/>
      </w:pPr>
      <w:rPr>
        <w:rFonts w:hint="default"/>
      </w:rPr>
    </w:lvl>
    <w:lvl w:ilvl="2">
      <w:start w:val="1"/>
      <w:numFmt w:val="lowerRoman"/>
      <w:lvlText w:val="%3)"/>
      <w:lvlJc w:val="left"/>
      <w:pPr>
        <w:tabs>
          <w:tab w:val="num" w:pos="3096"/>
        </w:tabs>
        <w:ind w:left="3096" w:hanging="360"/>
      </w:pPr>
      <w:rPr>
        <w:rFonts w:hint="default"/>
      </w:rPr>
    </w:lvl>
    <w:lvl w:ilvl="3">
      <w:start w:val="1"/>
      <w:numFmt w:val="decimal"/>
      <w:lvlText w:val="(%4)"/>
      <w:lvlJc w:val="left"/>
      <w:pPr>
        <w:tabs>
          <w:tab w:val="num" w:pos="3456"/>
        </w:tabs>
        <w:ind w:left="3456" w:hanging="360"/>
      </w:pPr>
      <w:rPr>
        <w:rFonts w:hint="default"/>
      </w:rPr>
    </w:lvl>
    <w:lvl w:ilvl="4">
      <w:start w:val="1"/>
      <w:numFmt w:val="lowerLetter"/>
      <w:lvlText w:val="(%5)"/>
      <w:lvlJc w:val="left"/>
      <w:pPr>
        <w:tabs>
          <w:tab w:val="num" w:pos="3816"/>
        </w:tabs>
        <w:ind w:left="3816" w:hanging="360"/>
      </w:pPr>
      <w:rPr>
        <w:rFonts w:hint="default"/>
      </w:rPr>
    </w:lvl>
    <w:lvl w:ilvl="5">
      <w:start w:val="1"/>
      <w:numFmt w:val="lowerRoman"/>
      <w:lvlText w:val="(%6)"/>
      <w:lvlJc w:val="left"/>
      <w:pPr>
        <w:tabs>
          <w:tab w:val="num" w:pos="4176"/>
        </w:tabs>
        <w:ind w:left="4176" w:hanging="360"/>
      </w:pPr>
      <w:rPr>
        <w:rFonts w:hint="default"/>
      </w:rPr>
    </w:lvl>
    <w:lvl w:ilvl="6">
      <w:start w:val="1"/>
      <w:numFmt w:val="decimal"/>
      <w:lvlText w:val="%7."/>
      <w:lvlJc w:val="left"/>
      <w:pPr>
        <w:tabs>
          <w:tab w:val="num" w:pos="4536"/>
        </w:tabs>
        <w:ind w:left="4536" w:hanging="360"/>
      </w:pPr>
      <w:rPr>
        <w:rFonts w:hint="default"/>
      </w:rPr>
    </w:lvl>
    <w:lvl w:ilvl="7">
      <w:start w:val="1"/>
      <w:numFmt w:val="lowerLetter"/>
      <w:lvlText w:val="%8."/>
      <w:lvlJc w:val="left"/>
      <w:pPr>
        <w:tabs>
          <w:tab w:val="num" w:pos="4896"/>
        </w:tabs>
        <w:ind w:left="4896" w:hanging="360"/>
      </w:pPr>
      <w:rPr>
        <w:rFonts w:hint="default"/>
      </w:rPr>
    </w:lvl>
    <w:lvl w:ilvl="8">
      <w:start w:val="1"/>
      <w:numFmt w:val="lowerRoman"/>
      <w:lvlText w:val="%9."/>
      <w:lvlJc w:val="left"/>
      <w:pPr>
        <w:tabs>
          <w:tab w:val="num" w:pos="5256"/>
        </w:tabs>
        <w:ind w:left="5256" w:hanging="360"/>
      </w:pPr>
      <w:rPr>
        <w:rFonts w:hint="default"/>
      </w:rPr>
    </w:lvl>
  </w:abstractNum>
  <w:abstractNum w:abstractNumId="11" w15:restartNumberingAfterBreak="0">
    <w:nsid w:val="51376339"/>
    <w:multiLevelType w:val="hybridMultilevel"/>
    <w:tmpl w:val="BF64E6CC"/>
    <w:lvl w:ilvl="0" w:tplc="967CBD4C">
      <w:start w:val="1"/>
      <w:numFmt w:val="bullet"/>
      <w:lvlText w:val=""/>
      <w:lvlJc w:val="left"/>
      <w:pPr>
        <w:ind w:left="2923" w:hanging="360"/>
      </w:pPr>
      <w:rPr>
        <w:rFonts w:ascii="Symbol" w:hAnsi="Symbol" w:hint="default"/>
        <w:sz w:val="14"/>
      </w:rPr>
    </w:lvl>
    <w:lvl w:ilvl="1" w:tplc="04090003" w:tentative="1">
      <w:start w:val="1"/>
      <w:numFmt w:val="bullet"/>
      <w:lvlText w:val="o"/>
      <w:lvlJc w:val="left"/>
      <w:pPr>
        <w:ind w:left="4003" w:hanging="360"/>
      </w:pPr>
      <w:rPr>
        <w:rFonts w:ascii="Courier New" w:hAnsi="Courier New" w:cs="Courier New" w:hint="default"/>
      </w:rPr>
    </w:lvl>
    <w:lvl w:ilvl="2" w:tplc="04090005" w:tentative="1">
      <w:start w:val="1"/>
      <w:numFmt w:val="bullet"/>
      <w:lvlText w:val=""/>
      <w:lvlJc w:val="left"/>
      <w:pPr>
        <w:ind w:left="4723" w:hanging="360"/>
      </w:pPr>
      <w:rPr>
        <w:rFonts w:ascii="Wingdings" w:hAnsi="Wingdings" w:hint="default"/>
      </w:rPr>
    </w:lvl>
    <w:lvl w:ilvl="3" w:tplc="04090001" w:tentative="1">
      <w:start w:val="1"/>
      <w:numFmt w:val="bullet"/>
      <w:lvlText w:val=""/>
      <w:lvlJc w:val="left"/>
      <w:pPr>
        <w:ind w:left="5443" w:hanging="360"/>
      </w:pPr>
      <w:rPr>
        <w:rFonts w:ascii="Symbol" w:hAnsi="Symbol" w:hint="default"/>
      </w:rPr>
    </w:lvl>
    <w:lvl w:ilvl="4" w:tplc="04090003" w:tentative="1">
      <w:start w:val="1"/>
      <w:numFmt w:val="bullet"/>
      <w:lvlText w:val="o"/>
      <w:lvlJc w:val="left"/>
      <w:pPr>
        <w:ind w:left="6163" w:hanging="360"/>
      </w:pPr>
      <w:rPr>
        <w:rFonts w:ascii="Courier New" w:hAnsi="Courier New" w:cs="Courier New" w:hint="default"/>
      </w:rPr>
    </w:lvl>
    <w:lvl w:ilvl="5" w:tplc="04090005" w:tentative="1">
      <w:start w:val="1"/>
      <w:numFmt w:val="bullet"/>
      <w:lvlText w:val=""/>
      <w:lvlJc w:val="left"/>
      <w:pPr>
        <w:ind w:left="6883" w:hanging="360"/>
      </w:pPr>
      <w:rPr>
        <w:rFonts w:ascii="Wingdings" w:hAnsi="Wingdings" w:hint="default"/>
      </w:rPr>
    </w:lvl>
    <w:lvl w:ilvl="6" w:tplc="04090001" w:tentative="1">
      <w:start w:val="1"/>
      <w:numFmt w:val="bullet"/>
      <w:lvlText w:val=""/>
      <w:lvlJc w:val="left"/>
      <w:pPr>
        <w:ind w:left="7603" w:hanging="360"/>
      </w:pPr>
      <w:rPr>
        <w:rFonts w:ascii="Symbol" w:hAnsi="Symbol" w:hint="default"/>
      </w:rPr>
    </w:lvl>
    <w:lvl w:ilvl="7" w:tplc="04090003" w:tentative="1">
      <w:start w:val="1"/>
      <w:numFmt w:val="bullet"/>
      <w:lvlText w:val="o"/>
      <w:lvlJc w:val="left"/>
      <w:pPr>
        <w:ind w:left="8323" w:hanging="360"/>
      </w:pPr>
      <w:rPr>
        <w:rFonts w:ascii="Courier New" w:hAnsi="Courier New" w:cs="Courier New" w:hint="default"/>
      </w:rPr>
    </w:lvl>
    <w:lvl w:ilvl="8" w:tplc="04090005" w:tentative="1">
      <w:start w:val="1"/>
      <w:numFmt w:val="bullet"/>
      <w:lvlText w:val=""/>
      <w:lvlJc w:val="left"/>
      <w:pPr>
        <w:ind w:left="9043" w:hanging="360"/>
      </w:pPr>
      <w:rPr>
        <w:rFonts w:ascii="Wingdings" w:hAnsi="Wingdings" w:hint="default"/>
      </w:rPr>
    </w:lvl>
  </w:abstractNum>
  <w:abstractNum w:abstractNumId="12" w15:restartNumberingAfterBreak="0">
    <w:nsid w:val="62022005"/>
    <w:multiLevelType w:val="hybridMultilevel"/>
    <w:tmpl w:val="33C2FB06"/>
    <w:lvl w:ilvl="0" w:tplc="0338D746">
      <w:start w:val="1"/>
      <w:numFmt w:val="bullet"/>
      <w:lvlText w:val=""/>
      <w:lvlJc w:val="left"/>
      <w:pPr>
        <w:ind w:left="1976" w:hanging="360"/>
      </w:pPr>
      <w:rPr>
        <w:rFonts w:ascii="Symbol" w:hAnsi="Symbol" w:hint="default"/>
        <w:sz w:val="14"/>
      </w:rPr>
    </w:lvl>
    <w:lvl w:ilvl="1" w:tplc="04090003" w:tentative="1">
      <w:start w:val="1"/>
      <w:numFmt w:val="bullet"/>
      <w:lvlText w:val="o"/>
      <w:lvlJc w:val="left"/>
      <w:pPr>
        <w:ind w:left="3056" w:hanging="360"/>
      </w:pPr>
      <w:rPr>
        <w:rFonts w:ascii="Courier New" w:hAnsi="Courier New" w:cs="Courier New" w:hint="default"/>
      </w:rPr>
    </w:lvl>
    <w:lvl w:ilvl="2" w:tplc="04090005" w:tentative="1">
      <w:start w:val="1"/>
      <w:numFmt w:val="bullet"/>
      <w:lvlText w:val=""/>
      <w:lvlJc w:val="left"/>
      <w:pPr>
        <w:ind w:left="3776" w:hanging="360"/>
      </w:pPr>
      <w:rPr>
        <w:rFonts w:ascii="Wingdings" w:hAnsi="Wingdings" w:hint="default"/>
      </w:rPr>
    </w:lvl>
    <w:lvl w:ilvl="3" w:tplc="04090001" w:tentative="1">
      <w:start w:val="1"/>
      <w:numFmt w:val="bullet"/>
      <w:lvlText w:val=""/>
      <w:lvlJc w:val="left"/>
      <w:pPr>
        <w:ind w:left="4496" w:hanging="360"/>
      </w:pPr>
      <w:rPr>
        <w:rFonts w:ascii="Symbol" w:hAnsi="Symbol" w:hint="default"/>
      </w:rPr>
    </w:lvl>
    <w:lvl w:ilvl="4" w:tplc="04090003" w:tentative="1">
      <w:start w:val="1"/>
      <w:numFmt w:val="bullet"/>
      <w:lvlText w:val="o"/>
      <w:lvlJc w:val="left"/>
      <w:pPr>
        <w:ind w:left="5216" w:hanging="360"/>
      </w:pPr>
      <w:rPr>
        <w:rFonts w:ascii="Courier New" w:hAnsi="Courier New" w:cs="Courier New" w:hint="default"/>
      </w:rPr>
    </w:lvl>
    <w:lvl w:ilvl="5" w:tplc="04090005" w:tentative="1">
      <w:start w:val="1"/>
      <w:numFmt w:val="bullet"/>
      <w:lvlText w:val=""/>
      <w:lvlJc w:val="left"/>
      <w:pPr>
        <w:ind w:left="5936" w:hanging="360"/>
      </w:pPr>
      <w:rPr>
        <w:rFonts w:ascii="Wingdings" w:hAnsi="Wingdings" w:hint="default"/>
      </w:rPr>
    </w:lvl>
    <w:lvl w:ilvl="6" w:tplc="04090001" w:tentative="1">
      <w:start w:val="1"/>
      <w:numFmt w:val="bullet"/>
      <w:lvlText w:val=""/>
      <w:lvlJc w:val="left"/>
      <w:pPr>
        <w:ind w:left="6656" w:hanging="360"/>
      </w:pPr>
      <w:rPr>
        <w:rFonts w:ascii="Symbol" w:hAnsi="Symbol" w:hint="default"/>
      </w:rPr>
    </w:lvl>
    <w:lvl w:ilvl="7" w:tplc="04090003" w:tentative="1">
      <w:start w:val="1"/>
      <w:numFmt w:val="bullet"/>
      <w:lvlText w:val="o"/>
      <w:lvlJc w:val="left"/>
      <w:pPr>
        <w:ind w:left="7376" w:hanging="360"/>
      </w:pPr>
      <w:rPr>
        <w:rFonts w:ascii="Courier New" w:hAnsi="Courier New" w:cs="Courier New" w:hint="default"/>
      </w:rPr>
    </w:lvl>
    <w:lvl w:ilvl="8" w:tplc="04090005" w:tentative="1">
      <w:start w:val="1"/>
      <w:numFmt w:val="bullet"/>
      <w:lvlText w:val=""/>
      <w:lvlJc w:val="left"/>
      <w:pPr>
        <w:ind w:left="8096" w:hanging="360"/>
      </w:pPr>
      <w:rPr>
        <w:rFonts w:ascii="Wingdings" w:hAnsi="Wingdings" w:hint="default"/>
      </w:rPr>
    </w:lvl>
  </w:abstractNum>
  <w:abstractNum w:abstractNumId="13" w15:restartNumberingAfterBreak="0">
    <w:nsid w:val="62407B60"/>
    <w:multiLevelType w:val="singleLevel"/>
    <w:tmpl w:val="879C0438"/>
    <w:lvl w:ilvl="0">
      <w:start w:val="1"/>
      <w:numFmt w:val="decimal"/>
      <w:lvlRestart w:val="0"/>
      <w:lvlText w:val="%1."/>
      <w:lvlJc w:val="left"/>
      <w:pPr>
        <w:ind w:left="0" w:firstLine="0"/>
      </w:pPr>
      <w:rPr>
        <w:spacing w:val="0"/>
        <w:w w:val="100"/>
      </w:rPr>
    </w:lvl>
  </w:abstractNum>
  <w:abstractNum w:abstractNumId="14" w15:restartNumberingAfterBreak="0">
    <w:nsid w:val="64F14A04"/>
    <w:multiLevelType w:val="hybridMultilevel"/>
    <w:tmpl w:val="0F8E0BF2"/>
    <w:lvl w:ilvl="0" w:tplc="F404D8B4">
      <w:start w:val="1"/>
      <w:numFmt w:val="bullet"/>
      <w:pStyle w:val="Bullet1"/>
      <w:lvlText w:val=""/>
      <w:lvlJc w:val="left"/>
      <w:pPr>
        <w:ind w:left="1976" w:hanging="360"/>
      </w:pPr>
      <w:rPr>
        <w:rFonts w:ascii="Symbol" w:hAnsi="Symbol" w:cs="Symbol" w:hint="default"/>
        <w:sz w:val="14"/>
      </w:rPr>
    </w:lvl>
    <w:lvl w:ilvl="1" w:tplc="04090003" w:tentative="1">
      <w:start w:val="1"/>
      <w:numFmt w:val="bullet"/>
      <w:lvlText w:val="o"/>
      <w:lvlJc w:val="left"/>
      <w:pPr>
        <w:ind w:left="3056" w:hanging="360"/>
      </w:pPr>
      <w:rPr>
        <w:rFonts w:ascii="Courier New" w:hAnsi="Courier New" w:cs="Courier New" w:hint="default"/>
      </w:rPr>
    </w:lvl>
    <w:lvl w:ilvl="2" w:tplc="04090005" w:tentative="1">
      <w:start w:val="1"/>
      <w:numFmt w:val="bullet"/>
      <w:lvlText w:val=""/>
      <w:lvlJc w:val="left"/>
      <w:pPr>
        <w:ind w:left="3776" w:hanging="360"/>
      </w:pPr>
      <w:rPr>
        <w:rFonts w:ascii="Wingdings" w:hAnsi="Wingdings" w:hint="default"/>
      </w:rPr>
    </w:lvl>
    <w:lvl w:ilvl="3" w:tplc="04090001" w:tentative="1">
      <w:start w:val="1"/>
      <w:numFmt w:val="bullet"/>
      <w:lvlText w:val=""/>
      <w:lvlJc w:val="left"/>
      <w:pPr>
        <w:ind w:left="4496" w:hanging="360"/>
      </w:pPr>
      <w:rPr>
        <w:rFonts w:ascii="Symbol" w:hAnsi="Symbol" w:hint="default"/>
      </w:rPr>
    </w:lvl>
    <w:lvl w:ilvl="4" w:tplc="04090003" w:tentative="1">
      <w:start w:val="1"/>
      <w:numFmt w:val="bullet"/>
      <w:lvlText w:val="o"/>
      <w:lvlJc w:val="left"/>
      <w:pPr>
        <w:ind w:left="5216" w:hanging="360"/>
      </w:pPr>
      <w:rPr>
        <w:rFonts w:ascii="Courier New" w:hAnsi="Courier New" w:cs="Courier New" w:hint="default"/>
      </w:rPr>
    </w:lvl>
    <w:lvl w:ilvl="5" w:tplc="04090005" w:tentative="1">
      <w:start w:val="1"/>
      <w:numFmt w:val="bullet"/>
      <w:lvlText w:val=""/>
      <w:lvlJc w:val="left"/>
      <w:pPr>
        <w:ind w:left="5936" w:hanging="360"/>
      </w:pPr>
      <w:rPr>
        <w:rFonts w:ascii="Wingdings" w:hAnsi="Wingdings" w:hint="default"/>
      </w:rPr>
    </w:lvl>
    <w:lvl w:ilvl="6" w:tplc="04090001" w:tentative="1">
      <w:start w:val="1"/>
      <w:numFmt w:val="bullet"/>
      <w:lvlText w:val=""/>
      <w:lvlJc w:val="left"/>
      <w:pPr>
        <w:ind w:left="6656" w:hanging="360"/>
      </w:pPr>
      <w:rPr>
        <w:rFonts w:ascii="Symbol" w:hAnsi="Symbol" w:hint="default"/>
      </w:rPr>
    </w:lvl>
    <w:lvl w:ilvl="7" w:tplc="04090003" w:tentative="1">
      <w:start w:val="1"/>
      <w:numFmt w:val="bullet"/>
      <w:lvlText w:val="o"/>
      <w:lvlJc w:val="left"/>
      <w:pPr>
        <w:ind w:left="7376" w:hanging="360"/>
      </w:pPr>
      <w:rPr>
        <w:rFonts w:ascii="Courier New" w:hAnsi="Courier New" w:cs="Courier New" w:hint="default"/>
      </w:rPr>
    </w:lvl>
    <w:lvl w:ilvl="8" w:tplc="04090005" w:tentative="1">
      <w:start w:val="1"/>
      <w:numFmt w:val="bullet"/>
      <w:lvlText w:val=""/>
      <w:lvlJc w:val="left"/>
      <w:pPr>
        <w:ind w:left="8096" w:hanging="360"/>
      </w:pPr>
      <w:rPr>
        <w:rFonts w:ascii="Wingdings" w:hAnsi="Wingdings" w:hint="default"/>
      </w:rPr>
    </w:lvl>
  </w:abstractNum>
  <w:abstractNum w:abstractNumId="15" w15:restartNumberingAfterBreak="0">
    <w:nsid w:val="69BC16C9"/>
    <w:multiLevelType w:val="hybridMultilevel"/>
    <w:tmpl w:val="38C075CC"/>
    <w:lvl w:ilvl="0" w:tplc="E4B0B278">
      <w:start w:val="3"/>
      <w:numFmt w:val="decimal"/>
      <w:lvlText w:val="%1."/>
      <w:lvlJc w:val="left"/>
      <w:pPr>
        <w:tabs>
          <w:tab w:val="num" w:pos="1747"/>
        </w:tabs>
        <w:ind w:left="1747" w:hanging="480"/>
      </w:pPr>
      <w:rPr>
        <w:rFonts w:hint="default"/>
      </w:rPr>
    </w:lvl>
    <w:lvl w:ilvl="1" w:tplc="04090019" w:tentative="1">
      <w:start w:val="1"/>
      <w:numFmt w:val="lowerLetter"/>
      <w:lvlText w:val="%2."/>
      <w:lvlJc w:val="left"/>
      <w:pPr>
        <w:tabs>
          <w:tab w:val="num" w:pos="2347"/>
        </w:tabs>
        <w:ind w:left="2347" w:hanging="360"/>
      </w:pPr>
    </w:lvl>
    <w:lvl w:ilvl="2" w:tplc="0409001B" w:tentative="1">
      <w:start w:val="1"/>
      <w:numFmt w:val="lowerRoman"/>
      <w:lvlText w:val="%3."/>
      <w:lvlJc w:val="right"/>
      <w:pPr>
        <w:tabs>
          <w:tab w:val="num" w:pos="3067"/>
        </w:tabs>
        <w:ind w:left="3067" w:hanging="180"/>
      </w:pPr>
    </w:lvl>
    <w:lvl w:ilvl="3" w:tplc="0409000F" w:tentative="1">
      <w:start w:val="1"/>
      <w:numFmt w:val="decimal"/>
      <w:lvlText w:val="%4."/>
      <w:lvlJc w:val="left"/>
      <w:pPr>
        <w:tabs>
          <w:tab w:val="num" w:pos="3787"/>
        </w:tabs>
        <w:ind w:left="3787" w:hanging="360"/>
      </w:pPr>
    </w:lvl>
    <w:lvl w:ilvl="4" w:tplc="04090019" w:tentative="1">
      <w:start w:val="1"/>
      <w:numFmt w:val="lowerLetter"/>
      <w:lvlText w:val="%5."/>
      <w:lvlJc w:val="left"/>
      <w:pPr>
        <w:tabs>
          <w:tab w:val="num" w:pos="4507"/>
        </w:tabs>
        <w:ind w:left="4507" w:hanging="360"/>
      </w:pPr>
    </w:lvl>
    <w:lvl w:ilvl="5" w:tplc="0409001B" w:tentative="1">
      <w:start w:val="1"/>
      <w:numFmt w:val="lowerRoman"/>
      <w:lvlText w:val="%6."/>
      <w:lvlJc w:val="right"/>
      <w:pPr>
        <w:tabs>
          <w:tab w:val="num" w:pos="5227"/>
        </w:tabs>
        <w:ind w:left="5227" w:hanging="180"/>
      </w:pPr>
    </w:lvl>
    <w:lvl w:ilvl="6" w:tplc="0409000F" w:tentative="1">
      <w:start w:val="1"/>
      <w:numFmt w:val="decimal"/>
      <w:lvlText w:val="%7."/>
      <w:lvlJc w:val="left"/>
      <w:pPr>
        <w:tabs>
          <w:tab w:val="num" w:pos="5947"/>
        </w:tabs>
        <w:ind w:left="5947" w:hanging="360"/>
      </w:pPr>
    </w:lvl>
    <w:lvl w:ilvl="7" w:tplc="04090019" w:tentative="1">
      <w:start w:val="1"/>
      <w:numFmt w:val="lowerLetter"/>
      <w:lvlText w:val="%8."/>
      <w:lvlJc w:val="left"/>
      <w:pPr>
        <w:tabs>
          <w:tab w:val="num" w:pos="6667"/>
        </w:tabs>
        <w:ind w:left="6667" w:hanging="360"/>
      </w:pPr>
    </w:lvl>
    <w:lvl w:ilvl="8" w:tplc="0409001B" w:tentative="1">
      <w:start w:val="1"/>
      <w:numFmt w:val="lowerRoman"/>
      <w:lvlText w:val="%9."/>
      <w:lvlJc w:val="right"/>
      <w:pPr>
        <w:tabs>
          <w:tab w:val="num" w:pos="7387"/>
        </w:tabs>
        <w:ind w:left="7387" w:hanging="180"/>
      </w:pPr>
    </w:lvl>
  </w:abstractNum>
  <w:num w:numId="1" w16cid:durableId="1420907156">
    <w:abstractNumId w:val="7"/>
  </w:num>
  <w:num w:numId="2" w16cid:durableId="1926570458">
    <w:abstractNumId w:val="4"/>
  </w:num>
  <w:num w:numId="3" w16cid:durableId="331371891">
    <w:abstractNumId w:val="3"/>
  </w:num>
  <w:num w:numId="4" w16cid:durableId="1460761738">
    <w:abstractNumId w:val="2"/>
  </w:num>
  <w:num w:numId="5" w16cid:durableId="1528719216">
    <w:abstractNumId w:val="1"/>
  </w:num>
  <w:num w:numId="6" w16cid:durableId="745079833">
    <w:abstractNumId w:val="0"/>
  </w:num>
  <w:num w:numId="7" w16cid:durableId="1498964092">
    <w:abstractNumId w:val="12"/>
  </w:num>
  <w:num w:numId="8" w16cid:durableId="757406347">
    <w:abstractNumId w:val="5"/>
  </w:num>
  <w:num w:numId="9" w16cid:durableId="145245836">
    <w:abstractNumId w:val="11"/>
  </w:num>
  <w:num w:numId="10" w16cid:durableId="1216699067">
    <w:abstractNumId w:val="10"/>
  </w:num>
  <w:num w:numId="11" w16cid:durableId="150602558">
    <w:abstractNumId w:val="8"/>
  </w:num>
  <w:num w:numId="12" w16cid:durableId="443237224">
    <w:abstractNumId w:val="12"/>
  </w:num>
  <w:num w:numId="13" w16cid:durableId="505362770">
    <w:abstractNumId w:val="5"/>
  </w:num>
  <w:num w:numId="14" w16cid:durableId="902253710">
    <w:abstractNumId w:val="11"/>
  </w:num>
  <w:num w:numId="15" w16cid:durableId="739788438">
    <w:abstractNumId w:val="8"/>
  </w:num>
  <w:num w:numId="16" w16cid:durableId="1751390935">
    <w:abstractNumId w:val="8"/>
  </w:num>
  <w:num w:numId="17" w16cid:durableId="1820413208">
    <w:abstractNumId w:val="8"/>
  </w:num>
  <w:num w:numId="18" w16cid:durableId="704212184">
    <w:abstractNumId w:val="8"/>
  </w:num>
  <w:num w:numId="19" w16cid:durableId="1386370540">
    <w:abstractNumId w:val="8"/>
  </w:num>
  <w:num w:numId="20" w16cid:durableId="195434613">
    <w:abstractNumId w:val="8"/>
  </w:num>
  <w:num w:numId="21" w16cid:durableId="1132750204">
    <w:abstractNumId w:val="8"/>
  </w:num>
  <w:num w:numId="22" w16cid:durableId="726536346">
    <w:abstractNumId w:val="8"/>
  </w:num>
  <w:num w:numId="23" w16cid:durableId="52386949">
    <w:abstractNumId w:val="8"/>
  </w:num>
  <w:num w:numId="24" w16cid:durableId="1414357132">
    <w:abstractNumId w:val="10"/>
  </w:num>
  <w:num w:numId="25" w16cid:durableId="542520565">
    <w:abstractNumId w:val="8"/>
  </w:num>
  <w:num w:numId="26" w16cid:durableId="473720461">
    <w:abstractNumId w:val="14"/>
  </w:num>
  <w:num w:numId="27" w16cid:durableId="92671130">
    <w:abstractNumId w:val="6"/>
  </w:num>
  <w:num w:numId="28" w16cid:durableId="920604195">
    <w:abstractNumId w:val="14"/>
  </w:num>
  <w:num w:numId="29" w16cid:durableId="1601254480">
    <w:abstractNumId w:val="6"/>
  </w:num>
  <w:num w:numId="30" w16cid:durableId="1540051366">
    <w:abstractNumId w:val="14"/>
  </w:num>
  <w:num w:numId="31" w16cid:durableId="134759388">
    <w:abstractNumId w:val="6"/>
  </w:num>
  <w:num w:numId="32" w16cid:durableId="1049649776">
    <w:abstractNumId w:val="14"/>
  </w:num>
  <w:num w:numId="33" w16cid:durableId="615404675">
    <w:abstractNumId w:val="6"/>
  </w:num>
  <w:num w:numId="34" w16cid:durableId="1358458813">
    <w:abstractNumId w:val="14"/>
  </w:num>
  <w:num w:numId="35" w16cid:durableId="1771393154">
    <w:abstractNumId w:val="6"/>
  </w:num>
  <w:num w:numId="36" w16cid:durableId="1443038554">
    <w:abstractNumId w:val="15"/>
  </w:num>
  <w:num w:numId="37" w16cid:durableId="1208225407">
    <w:abstractNumId w:val="13"/>
  </w:num>
  <w:num w:numId="38" w16cid:durableId="1266308208">
    <w:abstractNumId w:val="9"/>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tart">
    <w15:presenceInfo w15:providerId="None" w15:userId="Star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476"/>
  <w:doNotHyphenateCaps/>
  <w:evenAndOddHeaders/>
  <w:characterSpacingControl w:val="doNotCompress"/>
  <w:hdrShapeDefaults>
    <o:shapedefaults v:ext="edit" spidmax="2050"/>
  </w:hdrShapeDefaults>
  <w:footnotePr>
    <w:footnote w:id="-1"/>
    <w:footnote w:id="0"/>
  </w:footnotePr>
  <w:endnotePr>
    <w:pos w:val="sectEnd"/>
    <w:numFmt w:val="decimal"/>
    <w:endnote w:id="-1"/>
    <w:endnote w:id="0"/>
  </w:endnotePr>
  <w:compat>
    <w:suppressBottomSpacing/>
    <w:suppressTop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arcode" w:val="*2609512*"/>
    <w:docVar w:name="CreationDt" w:val="30/06/2026 08:51:13"/>
    <w:docVar w:name="DocCategory" w:val="PlainDoc"/>
    <w:docVar w:name="DocType" w:val="Final"/>
    <w:docVar w:name="DutyStation" w:val="Vienna"/>
    <w:docVar w:name="FooterJN" w:val="V.26-09512"/>
    <w:docVar w:name="jobn" w:val="V.26-09512 (E)"/>
    <w:docVar w:name="jobnDT" w:val="V.26-09512 (E)   300626"/>
    <w:docVar w:name="jobnDTDT" w:val="V.26-09512 (E)   300626   300626"/>
    <w:docVar w:name="JobNo" w:val="V.2609512E"/>
    <w:docVar w:name="JobNo2" w:val="2603900E"/>
    <w:docVar w:name="LocalDrive" w:val="-1"/>
    <w:docVar w:name="OandT" w:val="sr"/>
    <w:docVar w:name="sss1" w:val="A/CN.9/LIX/CRP.1/Add.1"/>
    <w:docVar w:name="sss2" w:val="-"/>
    <w:docVar w:name="Symbol1" w:val="A/CN.9/LIX/CRP.1/Add.1"/>
    <w:docVar w:name="Symbol2" w:val="-"/>
  </w:docVars>
  <w:rsids>
    <w:rsidRoot w:val="009E0F9E"/>
    <w:rsid w:val="00001169"/>
    <w:rsid w:val="00005FF5"/>
    <w:rsid w:val="00016301"/>
    <w:rsid w:val="000214D2"/>
    <w:rsid w:val="00052B7A"/>
    <w:rsid w:val="000560F7"/>
    <w:rsid w:val="000568B9"/>
    <w:rsid w:val="000629C0"/>
    <w:rsid w:val="0008129B"/>
    <w:rsid w:val="00093DDC"/>
    <w:rsid w:val="00097071"/>
    <w:rsid w:val="000B07C2"/>
    <w:rsid w:val="000B2164"/>
    <w:rsid w:val="000B4018"/>
    <w:rsid w:val="000B455F"/>
    <w:rsid w:val="000C5871"/>
    <w:rsid w:val="000D79C8"/>
    <w:rsid w:val="00100588"/>
    <w:rsid w:val="00101B6D"/>
    <w:rsid w:val="0010658D"/>
    <w:rsid w:val="001100F5"/>
    <w:rsid w:val="00110FCD"/>
    <w:rsid w:val="001160CD"/>
    <w:rsid w:val="001167DA"/>
    <w:rsid w:val="001169AB"/>
    <w:rsid w:val="001317AC"/>
    <w:rsid w:val="0013302C"/>
    <w:rsid w:val="0013667D"/>
    <w:rsid w:val="00145984"/>
    <w:rsid w:val="001729E4"/>
    <w:rsid w:val="00176D65"/>
    <w:rsid w:val="00182078"/>
    <w:rsid w:val="001A568D"/>
    <w:rsid w:val="001B116E"/>
    <w:rsid w:val="001B3F76"/>
    <w:rsid w:val="001B5AFC"/>
    <w:rsid w:val="001D22BD"/>
    <w:rsid w:val="001D74E3"/>
    <w:rsid w:val="001E15F4"/>
    <w:rsid w:val="001F1303"/>
    <w:rsid w:val="001F46B8"/>
    <w:rsid w:val="00202D47"/>
    <w:rsid w:val="00204110"/>
    <w:rsid w:val="00221A10"/>
    <w:rsid w:val="0022693D"/>
    <w:rsid w:val="00226E6C"/>
    <w:rsid w:val="00235EEC"/>
    <w:rsid w:val="00245515"/>
    <w:rsid w:val="00247400"/>
    <w:rsid w:val="00252E94"/>
    <w:rsid w:val="00252EBC"/>
    <w:rsid w:val="002602E5"/>
    <w:rsid w:val="00284C55"/>
    <w:rsid w:val="00286A17"/>
    <w:rsid w:val="0029375E"/>
    <w:rsid w:val="002950B9"/>
    <w:rsid w:val="002971CD"/>
    <w:rsid w:val="00297E90"/>
    <w:rsid w:val="002C23E1"/>
    <w:rsid w:val="002D1BEE"/>
    <w:rsid w:val="00307315"/>
    <w:rsid w:val="0031725F"/>
    <w:rsid w:val="00325517"/>
    <w:rsid w:val="00327975"/>
    <w:rsid w:val="00331D20"/>
    <w:rsid w:val="0033273C"/>
    <w:rsid w:val="00342384"/>
    <w:rsid w:val="0034265E"/>
    <w:rsid w:val="00342A05"/>
    <w:rsid w:val="003438BA"/>
    <w:rsid w:val="003516E5"/>
    <w:rsid w:val="00351D43"/>
    <w:rsid w:val="00361DD3"/>
    <w:rsid w:val="00365FD7"/>
    <w:rsid w:val="00373B4E"/>
    <w:rsid w:val="003750DF"/>
    <w:rsid w:val="003774C5"/>
    <w:rsid w:val="003802F3"/>
    <w:rsid w:val="00381E85"/>
    <w:rsid w:val="00383FA9"/>
    <w:rsid w:val="003867C4"/>
    <w:rsid w:val="003A5592"/>
    <w:rsid w:val="003C1419"/>
    <w:rsid w:val="003C7C31"/>
    <w:rsid w:val="003D0BF7"/>
    <w:rsid w:val="003D5BFF"/>
    <w:rsid w:val="003E11F6"/>
    <w:rsid w:val="003E465B"/>
    <w:rsid w:val="003E5552"/>
    <w:rsid w:val="00400F76"/>
    <w:rsid w:val="00421EB3"/>
    <w:rsid w:val="00425D5E"/>
    <w:rsid w:val="00432DC1"/>
    <w:rsid w:val="004373DF"/>
    <w:rsid w:val="00444F5B"/>
    <w:rsid w:val="004661A5"/>
    <w:rsid w:val="00477A4D"/>
    <w:rsid w:val="00487610"/>
    <w:rsid w:val="00490E03"/>
    <w:rsid w:val="00492EB4"/>
    <w:rsid w:val="00495E7B"/>
    <w:rsid w:val="0049669D"/>
    <w:rsid w:val="004C1542"/>
    <w:rsid w:val="004C6B12"/>
    <w:rsid w:val="004C7753"/>
    <w:rsid w:val="004E2ED2"/>
    <w:rsid w:val="004E578B"/>
    <w:rsid w:val="004E786F"/>
    <w:rsid w:val="004F5166"/>
    <w:rsid w:val="004F5722"/>
    <w:rsid w:val="0050178F"/>
    <w:rsid w:val="00503419"/>
    <w:rsid w:val="005119D7"/>
    <w:rsid w:val="0051257E"/>
    <w:rsid w:val="0054211F"/>
    <w:rsid w:val="00555BE1"/>
    <w:rsid w:val="005610B1"/>
    <w:rsid w:val="0057774F"/>
    <w:rsid w:val="00581651"/>
    <w:rsid w:val="0058440A"/>
    <w:rsid w:val="00590BBC"/>
    <w:rsid w:val="00593489"/>
    <w:rsid w:val="00596D08"/>
    <w:rsid w:val="005C64B3"/>
    <w:rsid w:val="005C66E0"/>
    <w:rsid w:val="005D0A24"/>
    <w:rsid w:val="005D7E85"/>
    <w:rsid w:val="005E389F"/>
    <w:rsid w:val="005E4D2C"/>
    <w:rsid w:val="005F6BFF"/>
    <w:rsid w:val="0060075F"/>
    <w:rsid w:val="00613DB2"/>
    <w:rsid w:val="00630000"/>
    <w:rsid w:val="00632A2F"/>
    <w:rsid w:val="0065486E"/>
    <w:rsid w:val="006608BB"/>
    <w:rsid w:val="00661297"/>
    <w:rsid w:val="00666FA7"/>
    <w:rsid w:val="00683318"/>
    <w:rsid w:val="006866E8"/>
    <w:rsid w:val="006976C1"/>
    <w:rsid w:val="006B0522"/>
    <w:rsid w:val="006C1D98"/>
    <w:rsid w:val="006C1F48"/>
    <w:rsid w:val="006C2FA6"/>
    <w:rsid w:val="006D71C0"/>
    <w:rsid w:val="006D7C2F"/>
    <w:rsid w:val="006E0BF0"/>
    <w:rsid w:val="006F20AD"/>
    <w:rsid w:val="006F36D0"/>
    <w:rsid w:val="00715290"/>
    <w:rsid w:val="00717E3A"/>
    <w:rsid w:val="00740A88"/>
    <w:rsid w:val="0075404F"/>
    <w:rsid w:val="00772BD3"/>
    <w:rsid w:val="00791A6A"/>
    <w:rsid w:val="00792A1B"/>
    <w:rsid w:val="007A00A1"/>
    <w:rsid w:val="007A7B50"/>
    <w:rsid w:val="007E227E"/>
    <w:rsid w:val="007E2610"/>
    <w:rsid w:val="007E519A"/>
    <w:rsid w:val="007F1197"/>
    <w:rsid w:val="008002AA"/>
    <w:rsid w:val="00801753"/>
    <w:rsid w:val="00803D83"/>
    <w:rsid w:val="008138CB"/>
    <w:rsid w:val="0085647D"/>
    <w:rsid w:val="00860C45"/>
    <w:rsid w:val="0086216F"/>
    <w:rsid w:val="00863195"/>
    <w:rsid w:val="00863282"/>
    <w:rsid w:val="008649A0"/>
    <w:rsid w:val="008765DF"/>
    <w:rsid w:val="00877270"/>
    <w:rsid w:val="008841B4"/>
    <w:rsid w:val="008952F2"/>
    <w:rsid w:val="008D0C4B"/>
    <w:rsid w:val="008D22A7"/>
    <w:rsid w:val="008D2B92"/>
    <w:rsid w:val="008E2E97"/>
    <w:rsid w:val="008E6FCC"/>
    <w:rsid w:val="008E734D"/>
    <w:rsid w:val="008F7D6A"/>
    <w:rsid w:val="00902831"/>
    <w:rsid w:val="0091039D"/>
    <w:rsid w:val="0091549F"/>
    <w:rsid w:val="009268DE"/>
    <w:rsid w:val="00932341"/>
    <w:rsid w:val="0094019D"/>
    <w:rsid w:val="009429B3"/>
    <w:rsid w:val="00960BF8"/>
    <w:rsid w:val="00964149"/>
    <w:rsid w:val="00966E56"/>
    <w:rsid w:val="0097550E"/>
    <w:rsid w:val="00991642"/>
    <w:rsid w:val="00995B95"/>
    <w:rsid w:val="00995B9F"/>
    <w:rsid w:val="009A14FC"/>
    <w:rsid w:val="009A5B13"/>
    <w:rsid w:val="009A5F64"/>
    <w:rsid w:val="009A64C4"/>
    <w:rsid w:val="009A6D5F"/>
    <w:rsid w:val="009B0195"/>
    <w:rsid w:val="009B5077"/>
    <w:rsid w:val="009C2736"/>
    <w:rsid w:val="009C5632"/>
    <w:rsid w:val="009D56BA"/>
    <w:rsid w:val="009E0F9E"/>
    <w:rsid w:val="009E2A90"/>
    <w:rsid w:val="009E69C4"/>
    <w:rsid w:val="00A00846"/>
    <w:rsid w:val="00A02DBF"/>
    <w:rsid w:val="00A11220"/>
    <w:rsid w:val="00A120BB"/>
    <w:rsid w:val="00A2021E"/>
    <w:rsid w:val="00A21E0C"/>
    <w:rsid w:val="00A21F89"/>
    <w:rsid w:val="00A324C4"/>
    <w:rsid w:val="00A50F6B"/>
    <w:rsid w:val="00A51770"/>
    <w:rsid w:val="00A96458"/>
    <w:rsid w:val="00AA29EE"/>
    <w:rsid w:val="00AA433A"/>
    <w:rsid w:val="00AB0DA9"/>
    <w:rsid w:val="00AB18F2"/>
    <w:rsid w:val="00AB5378"/>
    <w:rsid w:val="00AD4E86"/>
    <w:rsid w:val="00AE190C"/>
    <w:rsid w:val="00AE243F"/>
    <w:rsid w:val="00B024A4"/>
    <w:rsid w:val="00B06285"/>
    <w:rsid w:val="00B072FB"/>
    <w:rsid w:val="00B240CB"/>
    <w:rsid w:val="00B27698"/>
    <w:rsid w:val="00B34B5B"/>
    <w:rsid w:val="00B374B0"/>
    <w:rsid w:val="00B45E08"/>
    <w:rsid w:val="00B539BB"/>
    <w:rsid w:val="00B901FD"/>
    <w:rsid w:val="00B9119D"/>
    <w:rsid w:val="00B932DA"/>
    <w:rsid w:val="00BB1F72"/>
    <w:rsid w:val="00BB3333"/>
    <w:rsid w:val="00BC2C8A"/>
    <w:rsid w:val="00BC76DF"/>
    <w:rsid w:val="00BE3FCF"/>
    <w:rsid w:val="00BE6766"/>
    <w:rsid w:val="00C13E20"/>
    <w:rsid w:val="00C21741"/>
    <w:rsid w:val="00C27667"/>
    <w:rsid w:val="00C45969"/>
    <w:rsid w:val="00C46199"/>
    <w:rsid w:val="00C4776A"/>
    <w:rsid w:val="00C52DED"/>
    <w:rsid w:val="00C55EEC"/>
    <w:rsid w:val="00C652CA"/>
    <w:rsid w:val="00C77B25"/>
    <w:rsid w:val="00C8484A"/>
    <w:rsid w:val="00CA4F47"/>
    <w:rsid w:val="00CC2D86"/>
    <w:rsid w:val="00D007FC"/>
    <w:rsid w:val="00D019BE"/>
    <w:rsid w:val="00D14B06"/>
    <w:rsid w:val="00D23FFB"/>
    <w:rsid w:val="00D25D45"/>
    <w:rsid w:val="00D409D0"/>
    <w:rsid w:val="00D42FD4"/>
    <w:rsid w:val="00D43C30"/>
    <w:rsid w:val="00D46DD0"/>
    <w:rsid w:val="00D62EC9"/>
    <w:rsid w:val="00D917E8"/>
    <w:rsid w:val="00D91A05"/>
    <w:rsid w:val="00D97FF2"/>
    <w:rsid w:val="00DA0CB9"/>
    <w:rsid w:val="00DA4114"/>
    <w:rsid w:val="00DA4D8F"/>
    <w:rsid w:val="00DB0712"/>
    <w:rsid w:val="00DB1020"/>
    <w:rsid w:val="00DB321E"/>
    <w:rsid w:val="00DB6BA9"/>
    <w:rsid w:val="00DE52AE"/>
    <w:rsid w:val="00DE6569"/>
    <w:rsid w:val="00DF3110"/>
    <w:rsid w:val="00DF41EC"/>
    <w:rsid w:val="00DF6C35"/>
    <w:rsid w:val="00E022E9"/>
    <w:rsid w:val="00E025BA"/>
    <w:rsid w:val="00E103DE"/>
    <w:rsid w:val="00E1529D"/>
    <w:rsid w:val="00E201D0"/>
    <w:rsid w:val="00E23AAE"/>
    <w:rsid w:val="00E26243"/>
    <w:rsid w:val="00E548DF"/>
    <w:rsid w:val="00E67032"/>
    <w:rsid w:val="00E8036E"/>
    <w:rsid w:val="00E960C7"/>
    <w:rsid w:val="00EA1709"/>
    <w:rsid w:val="00EB588F"/>
    <w:rsid w:val="00EC7936"/>
    <w:rsid w:val="00ED2230"/>
    <w:rsid w:val="00EE092D"/>
    <w:rsid w:val="00EE3775"/>
    <w:rsid w:val="00EE64BE"/>
    <w:rsid w:val="00EE6D1D"/>
    <w:rsid w:val="00EF2580"/>
    <w:rsid w:val="00EF2C2E"/>
    <w:rsid w:val="00F03F74"/>
    <w:rsid w:val="00F0677D"/>
    <w:rsid w:val="00F12071"/>
    <w:rsid w:val="00F21DBB"/>
    <w:rsid w:val="00F304D9"/>
    <w:rsid w:val="00F33CD1"/>
    <w:rsid w:val="00F4554B"/>
    <w:rsid w:val="00F636C9"/>
    <w:rsid w:val="00F679B3"/>
    <w:rsid w:val="00F71858"/>
    <w:rsid w:val="00F94C45"/>
    <w:rsid w:val="00F95D16"/>
    <w:rsid w:val="00F95E56"/>
    <w:rsid w:val="00FB70D7"/>
    <w:rsid w:val="00FC37C4"/>
    <w:rsid w:val="00FD4EE1"/>
    <w:rsid w:val="00FD7F47"/>
    <w:rsid w:val="00FF12F2"/>
    <w:rsid w:val="00FF2CFC"/>
    <w:rsid w:val="00FF7A0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A8A83"/>
  <w15:chartTrackingRefBased/>
  <w15:docId w15:val="{FD73161C-19CC-4D69-B538-6A7304719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qFormat="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41B4"/>
    <w:pPr>
      <w:suppressAutoHyphens/>
      <w:spacing w:after="0" w:line="240" w:lineRule="atLeast"/>
    </w:pPr>
    <w:rPr>
      <w:rFonts w:ascii="Times New Roman" w:eastAsiaTheme="minorHAnsi" w:hAnsi="Times New Roman" w:cs="Times New Roman"/>
      <w:spacing w:val="4"/>
      <w:w w:val="103"/>
      <w:kern w:val="14"/>
      <w:sz w:val="20"/>
      <w:szCs w:val="20"/>
      <w:lang w:val="en-GB" w:eastAsia="en-US"/>
    </w:rPr>
  </w:style>
  <w:style w:type="paragraph" w:styleId="Heading1">
    <w:name w:val="heading 1"/>
    <w:basedOn w:val="Normal"/>
    <w:next w:val="Normal"/>
    <w:link w:val="Heading1Char"/>
    <w:uiPriority w:val="9"/>
    <w:qFormat/>
    <w:rsid w:val="00495E7B"/>
    <w:pPr>
      <w:keepNext/>
      <w:numPr>
        <w:numId w:val="25"/>
      </w:numPr>
      <w:spacing w:before="240" w:after="60"/>
      <w:outlineLvl w:val="0"/>
    </w:pPr>
    <w:rPr>
      <w:rFonts w:ascii="Arial" w:eastAsia="Times New Roman" w:hAnsi="Arial"/>
      <w:b/>
      <w:bCs/>
      <w:kern w:val="32"/>
      <w:sz w:val="32"/>
      <w:szCs w:val="28"/>
    </w:rPr>
  </w:style>
  <w:style w:type="paragraph" w:styleId="Heading2">
    <w:name w:val="heading 2"/>
    <w:basedOn w:val="Normal"/>
    <w:next w:val="Normal"/>
    <w:link w:val="Heading2Char"/>
    <w:uiPriority w:val="9"/>
    <w:qFormat/>
    <w:rsid w:val="00495E7B"/>
    <w:pPr>
      <w:keepNext/>
      <w:numPr>
        <w:ilvl w:val="1"/>
        <w:numId w:val="25"/>
      </w:numPr>
      <w:spacing w:before="240" w:after="60"/>
      <w:outlineLvl w:val="1"/>
    </w:pPr>
    <w:rPr>
      <w:rFonts w:ascii="Arial" w:eastAsia="Times New Roman" w:hAnsi="Arial"/>
      <w:b/>
      <w:bCs/>
      <w:i/>
      <w:sz w:val="28"/>
      <w:szCs w:val="26"/>
    </w:rPr>
  </w:style>
  <w:style w:type="paragraph" w:styleId="Heading3">
    <w:name w:val="heading 3"/>
    <w:basedOn w:val="Normal"/>
    <w:next w:val="Normal"/>
    <w:link w:val="Heading3Char"/>
    <w:uiPriority w:val="9"/>
    <w:qFormat/>
    <w:rsid w:val="00495E7B"/>
    <w:pPr>
      <w:keepNext/>
      <w:numPr>
        <w:ilvl w:val="2"/>
        <w:numId w:val="25"/>
      </w:numPr>
      <w:spacing w:before="240" w:after="60"/>
      <w:outlineLvl w:val="2"/>
    </w:pPr>
    <w:rPr>
      <w:rFonts w:ascii="Arial" w:eastAsia="Times New Roman" w:hAnsi="Arial"/>
      <w:b/>
      <w:bCs/>
      <w:sz w:val="26"/>
    </w:rPr>
  </w:style>
  <w:style w:type="paragraph" w:styleId="Heading4">
    <w:name w:val="heading 4"/>
    <w:basedOn w:val="Normal"/>
    <w:next w:val="Normal"/>
    <w:link w:val="Heading4Char"/>
    <w:uiPriority w:val="9"/>
    <w:unhideWhenUsed/>
    <w:qFormat/>
    <w:rsid w:val="00495E7B"/>
    <w:pPr>
      <w:numPr>
        <w:ilvl w:val="3"/>
        <w:numId w:val="25"/>
      </w:numPr>
      <w:spacing w:before="200"/>
      <w:outlineLvl w:val="3"/>
    </w:pPr>
    <w:rPr>
      <w:rFonts w:ascii="Cambria" w:eastAsia="Times New Roman" w:hAnsi="Cambria"/>
      <w:b/>
      <w:bCs/>
      <w:i/>
      <w:iCs/>
    </w:rPr>
  </w:style>
  <w:style w:type="paragraph" w:styleId="Heading5">
    <w:name w:val="heading 5"/>
    <w:basedOn w:val="Normal"/>
    <w:next w:val="Normal"/>
    <w:link w:val="Heading5Char"/>
    <w:uiPriority w:val="9"/>
    <w:unhideWhenUsed/>
    <w:qFormat/>
    <w:rsid w:val="00495E7B"/>
    <w:pPr>
      <w:numPr>
        <w:ilvl w:val="4"/>
        <w:numId w:val="25"/>
      </w:num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unhideWhenUsed/>
    <w:qFormat/>
    <w:rsid w:val="00495E7B"/>
    <w:pPr>
      <w:numPr>
        <w:ilvl w:val="5"/>
        <w:numId w:val="25"/>
      </w:num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495E7B"/>
    <w:pPr>
      <w:numPr>
        <w:ilvl w:val="6"/>
        <w:numId w:val="25"/>
      </w:num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495E7B"/>
    <w:pPr>
      <w:numPr>
        <w:ilvl w:val="7"/>
        <w:numId w:val="25"/>
      </w:numPr>
      <w:outlineLvl w:val="7"/>
    </w:pPr>
    <w:rPr>
      <w:rFonts w:ascii="Cambria" w:eastAsia="Times New Roman" w:hAnsi="Cambria"/>
    </w:rPr>
  </w:style>
  <w:style w:type="paragraph" w:styleId="Heading9">
    <w:name w:val="heading 9"/>
    <w:basedOn w:val="Normal"/>
    <w:next w:val="Normal"/>
    <w:link w:val="Heading9Char"/>
    <w:uiPriority w:val="9"/>
    <w:semiHidden/>
    <w:unhideWhenUsed/>
    <w:qFormat/>
    <w:rsid w:val="00495E7B"/>
    <w:pPr>
      <w:numPr>
        <w:ilvl w:val="8"/>
        <w:numId w:val="25"/>
      </w:numPr>
      <w:outlineLvl w:val="8"/>
    </w:pPr>
    <w:rPr>
      <w:rFonts w:ascii="Cambria" w:eastAsia="Times New Roman" w:hAnsi="Cambria"/>
      <w:i/>
      <w:iCs/>
      <w:spacing w:val="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rsid w:val="008841B4"/>
    <w:pPr>
      <w:tabs>
        <w:tab w:val="center" w:pos="4320"/>
        <w:tab w:val="right" w:pos="8640"/>
      </w:tabs>
      <w:spacing w:after="0" w:line="240" w:lineRule="auto"/>
    </w:pPr>
    <w:rPr>
      <w:rFonts w:ascii="Times New Roman" w:eastAsiaTheme="minorHAnsi" w:hAnsi="Times New Roman" w:cs="Times New Roman"/>
      <w:noProof/>
      <w:sz w:val="17"/>
      <w:szCs w:val="20"/>
      <w:lang w:eastAsia="en-US"/>
    </w:rPr>
  </w:style>
  <w:style w:type="character" w:customStyle="1" w:styleId="HeaderChar">
    <w:name w:val="Header Char"/>
    <w:basedOn w:val="DefaultParagraphFont"/>
    <w:link w:val="Header"/>
    <w:rsid w:val="008841B4"/>
    <w:rPr>
      <w:rFonts w:ascii="Times New Roman" w:eastAsiaTheme="minorHAnsi" w:hAnsi="Times New Roman" w:cs="Times New Roman"/>
      <w:noProof/>
      <w:sz w:val="17"/>
      <w:szCs w:val="20"/>
      <w:lang w:eastAsia="en-US"/>
    </w:rPr>
  </w:style>
  <w:style w:type="paragraph" w:styleId="Footer">
    <w:name w:val="footer"/>
    <w:link w:val="FooterChar"/>
    <w:rsid w:val="008841B4"/>
    <w:pPr>
      <w:tabs>
        <w:tab w:val="center" w:pos="4320"/>
        <w:tab w:val="right" w:pos="8640"/>
      </w:tabs>
      <w:spacing w:after="0" w:line="240" w:lineRule="auto"/>
    </w:pPr>
    <w:rPr>
      <w:rFonts w:ascii="Times New Roman" w:eastAsiaTheme="minorHAnsi" w:hAnsi="Times New Roman" w:cs="Times New Roman"/>
      <w:b/>
      <w:noProof/>
      <w:sz w:val="17"/>
      <w:szCs w:val="20"/>
      <w:lang w:eastAsia="en-US"/>
    </w:rPr>
  </w:style>
  <w:style w:type="character" w:customStyle="1" w:styleId="FooterChar">
    <w:name w:val="Footer Char"/>
    <w:basedOn w:val="DefaultParagraphFont"/>
    <w:link w:val="Footer"/>
    <w:rsid w:val="008841B4"/>
    <w:rPr>
      <w:rFonts w:ascii="Times New Roman" w:eastAsiaTheme="minorHAnsi" w:hAnsi="Times New Roman" w:cs="Times New Roman"/>
      <w:b/>
      <w:noProof/>
      <w:sz w:val="17"/>
      <w:szCs w:val="20"/>
      <w:lang w:eastAsia="en-US"/>
    </w:rPr>
  </w:style>
  <w:style w:type="paragraph" w:customStyle="1" w:styleId="HM">
    <w:name w:val="_ H __M"/>
    <w:basedOn w:val="HCh"/>
    <w:next w:val="Normal"/>
    <w:rsid w:val="008841B4"/>
    <w:pPr>
      <w:spacing w:line="360" w:lineRule="exact"/>
    </w:pPr>
    <w:rPr>
      <w:spacing w:val="-3"/>
      <w:w w:val="99"/>
      <w:sz w:val="34"/>
    </w:rPr>
  </w:style>
  <w:style w:type="paragraph" w:customStyle="1" w:styleId="H1">
    <w:name w:val="_ H_1"/>
    <w:basedOn w:val="Normal"/>
    <w:next w:val="SingleTxt"/>
    <w:rsid w:val="008841B4"/>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70" w:lineRule="exact"/>
      <w:ind w:left="1264" w:right="1259" w:hanging="1264"/>
      <w:outlineLvl w:val="0"/>
    </w:pPr>
    <w:rPr>
      <w:b/>
      <w:sz w:val="24"/>
    </w:rPr>
  </w:style>
  <w:style w:type="paragraph" w:customStyle="1" w:styleId="HCh">
    <w:name w:val="_ H _Ch"/>
    <w:basedOn w:val="H1"/>
    <w:next w:val="SingleTxt"/>
    <w:rsid w:val="008841B4"/>
    <w:pPr>
      <w:spacing w:line="300" w:lineRule="exact"/>
      <w:ind w:left="0" w:right="0" w:firstLine="0"/>
    </w:pPr>
    <w:rPr>
      <w:spacing w:val="-2"/>
      <w:sz w:val="28"/>
    </w:rPr>
  </w:style>
  <w:style w:type="paragraph" w:customStyle="1" w:styleId="H23">
    <w:name w:val="_ H_2/3"/>
    <w:basedOn w:val="H1"/>
    <w:next w:val="SingleTxt"/>
    <w:rsid w:val="008841B4"/>
    <w:pPr>
      <w:spacing w:line="240" w:lineRule="exact"/>
      <w:outlineLvl w:val="1"/>
    </w:pPr>
    <w:rPr>
      <w:spacing w:val="2"/>
      <w:sz w:val="20"/>
    </w:rPr>
  </w:style>
  <w:style w:type="paragraph" w:customStyle="1" w:styleId="H4">
    <w:name w:val="_ H_4"/>
    <w:basedOn w:val="Normal"/>
    <w:next w:val="SingleTxt"/>
    <w:rsid w:val="008841B4"/>
    <w:pPr>
      <w:keepNext/>
      <w:keepLines/>
      <w:tabs>
        <w:tab w:val="right" w:pos="1020"/>
        <w:tab w:val="left" w:pos="1264"/>
        <w:tab w:val="left" w:pos="1740"/>
        <w:tab w:val="left" w:pos="2217"/>
        <w:tab w:val="left" w:pos="2693"/>
        <w:tab w:val="left" w:pos="3180"/>
        <w:tab w:val="left" w:pos="3657"/>
        <w:tab w:val="left" w:pos="4133"/>
        <w:tab w:val="left" w:pos="4620"/>
        <w:tab w:val="left" w:pos="5097"/>
        <w:tab w:val="left" w:pos="5573"/>
        <w:tab w:val="left" w:pos="6049"/>
      </w:tabs>
      <w:spacing w:line="240" w:lineRule="exact"/>
      <w:ind w:left="1264" w:right="1259" w:hanging="1264"/>
      <w:outlineLvl w:val="3"/>
    </w:pPr>
    <w:rPr>
      <w:i/>
      <w:spacing w:val="3"/>
    </w:rPr>
  </w:style>
  <w:style w:type="paragraph" w:customStyle="1" w:styleId="H56">
    <w:name w:val="_ H_5/6"/>
    <w:basedOn w:val="Normal"/>
    <w:next w:val="Normal"/>
    <w:rsid w:val="008841B4"/>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4" w:right="1264" w:hanging="1264"/>
      <w:outlineLvl w:val="4"/>
    </w:pPr>
  </w:style>
  <w:style w:type="paragraph" w:customStyle="1" w:styleId="DualTxt">
    <w:name w:val="__Dual Txt"/>
    <w:basedOn w:val="Normal"/>
    <w:rsid w:val="008841B4"/>
    <w:pPr>
      <w:tabs>
        <w:tab w:val="left" w:pos="480"/>
        <w:tab w:val="left" w:pos="960"/>
        <w:tab w:val="left" w:pos="1440"/>
        <w:tab w:val="left" w:pos="1915"/>
        <w:tab w:val="left" w:pos="2405"/>
        <w:tab w:val="left" w:pos="2880"/>
        <w:tab w:val="left" w:pos="3355"/>
      </w:tabs>
      <w:spacing w:after="120"/>
      <w:jc w:val="both"/>
    </w:pPr>
  </w:style>
  <w:style w:type="paragraph" w:customStyle="1" w:styleId="SM">
    <w:name w:val="__S_M"/>
    <w:basedOn w:val="Normal"/>
    <w:next w:val="Normal"/>
    <w:rsid w:val="008841B4"/>
    <w:pPr>
      <w:keepNext/>
      <w:keepLines/>
      <w:tabs>
        <w:tab w:val="right" w:leader="dot" w:pos="360"/>
      </w:tabs>
      <w:spacing w:line="390" w:lineRule="exact"/>
      <w:ind w:left="1267" w:right="1267"/>
      <w:outlineLvl w:val="0"/>
    </w:pPr>
    <w:rPr>
      <w:b/>
      <w:spacing w:val="-4"/>
      <w:w w:val="98"/>
      <w:sz w:val="40"/>
    </w:rPr>
  </w:style>
  <w:style w:type="paragraph" w:customStyle="1" w:styleId="SL">
    <w:name w:val="__S_L"/>
    <w:basedOn w:val="SM"/>
    <w:next w:val="Normal"/>
    <w:rsid w:val="008841B4"/>
    <w:pPr>
      <w:spacing w:line="540" w:lineRule="exact"/>
    </w:pPr>
    <w:rPr>
      <w:spacing w:val="-8"/>
      <w:w w:val="96"/>
      <w:sz w:val="57"/>
    </w:rPr>
  </w:style>
  <w:style w:type="paragraph" w:customStyle="1" w:styleId="SS">
    <w:name w:val="__S_S"/>
    <w:basedOn w:val="HCh"/>
    <w:next w:val="Normal"/>
    <w:rsid w:val="008841B4"/>
    <w:pPr>
      <w:ind w:left="1267" w:right="1267"/>
    </w:pPr>
  </w:style>
  <w:style w:type="paragraph" w:customStyle="1" w:styleId="SingleTxt">
    <w:name w:val="__Single Txt"/>
    <w:basedOn w:val="Normal"/>
    <w:link w:val="SingleTxtChar"/>
    <w:rsid w:val="008841B4"/>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after="120"/>
      <w:ind w:left="1264" w:right="1264"/>
      <w:jc w:val="both"/>
    </w:pPr>
  </w:style>
  <w:style w:type="paragraph" w:customStyle="1" w:styleId="AgendaItemNormal">
    <w:name w:val="Agenda_Item_Normal"/>
    <w:next w:val="Normal"/>
    <w:qFormat/>
    <w:rsid w:val="008841B4"/>
    <w:pPr>
      <w:spacing w:after="0" w:line="240" w:lineRule="auto"/>
    </w:pPr>
    <w:rPr>
      <w:rFonts w:ascii="Times New Roman" w:eastAsiaTheme="minorHAnsi" w:hAnsi="Times New Roman" w:cs="Times New Roman"/>
      <w:spacing w:val="4"/>
      <w:w w:val="103"/>
      <w:kern w:val="14"/>
      <w:sz w:val="20"/>
      <w:szCs w:val="20"/>
      <w:lang w:val="en-GB" w:eastAsia="en-US"/>
    </w:rPr>
  </w:style>
  <w:style w:type="paragraph" w:customStyle="1" w:styleId="TitleH1">
    <w:name w:val="Title_H1"/>
    <w:basedOn w:val="H1"/>
    <w:next w:val="SingleTxt"/>
    <w:qFormat/>
    <w:rsid w:val="008841B4"/>
  </w:style>
  <w:style w:type="paragraph" w:customStyle="1" w:styleId="AgendaTitleH2">
    <w:name w:val="Agenda_Title_H2"/>
    <w:basedOn w:val="TitleH1"/>
    <w:next w:val="Normal"/>
    <w:qFormat/>
    <w:rsid w:val="008841B4"/>
    <w:pPr>
      <w:keepNext/>
      <w:keepLines/>
      <w:spacing w:line="240" w:lineRule="exact"/>
      <w:ind w:left="0" w:firstLine="0"/>
      <w:outlineLvl w:val="1"/>
    </w:pPr>
    <w:rPr>
      <w:sz w:val="20"/>
    </w:rPr>
  </w:style>
  <w:style w:type="paragraph" w:customStyle="1" w:styleId="Bullet1">
    <w:name w:val="Bullet 1"/>
    <w:basedOn w:val="Normal"/>
    <w:qFormat/>
    <w:rsid w:val="008841B4"/>
    <w:pPr>
      <w:numPr>
        <w:numId w:val="34"/>
      </w:numPr>
      <w:spacing w:after="120"/>
      <w:ind w:right="1267"/>
      <w:jc w:val="both"/>
    </w:pPr>
  </w:style>
  <w:style w:type="paragraph" w:customStyle="1" w:styleId="Bullet2">
    <w:name w:val="Bullet 2"/>
    <w:basedOn w:val="Normal"/>
    <w:qFormat/>
    <w:rsid w:val="00495E7B"/>
    <w:pPr>
      <w:numPr>
        <w:numId w:val="13"/>
      </w:numPr>
      <w:spacing w:after="120"/>
      <w:ind w:right="1264"/>
      <w:jc w:val="both"/>
    </w:pPr>
  </w:style>
  <w:style w:type="paragraph" w:customStyle="1" w:styleId="Bullet3">
    <w:name w:val="Bullet 3"/>
    <w:basedOn w:val="SingleTxt"/>
    <w:qFormat/>
    <w:rsid w:val="008841B4"/>
    <w:pPr>
      <w:numPr>
        <w:numId w:val="35"/>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pPr>
  </w:style>
  <w:style w:type="paragraph" w:customStyle="1" w:styleId="Distribution">
    <w:name w:val="Distribution"/>
    <w:next w:val="Normal"/>
    <w:rsid w:val="008841B4"/>
    <w:pPr>
      <w:spacing w:before="240" w:after="0" w:line="240" w:lineRule="auto"/>
    </w:pPr>
    <w:rPr>
      <w:rFonts w:ascii="Times New Roman" w:eastAsiaTheme="minorHAnsi" w:hAnsi="Times New Roman" w:cs="Times New Roman"/>
      <w:spacing w:val="4"/>
      <w:w w:val="103"/>
      <w:kern w:val="14"/>
      <w:sz w:val="20"/>
      <w:szCs w:val="20"/>
      <w:lang w:val="en-GB" w:eastAsia="en-US"/>
    </w:rPr>
  </w:style>
  <w:style w:type="character" w:styleId="EndnoteReference">
    <w:name w:val="endnote reference"/>
    <w:semiHidden/>
    <w:rsid w:val="008841B4"/>
    <w:rPr>
      <w:color w:val="auto"/>
      <w:spacing w:val="5"/>
      <w:w w:val="103"/>
      <w:kern w:val="14"/>
      <w:position w:val="0"/>
      <w:vertAlign w:val="superscript"/>
      <w14:ligatures w14:val="none"/>
      <w14:numForm w14:val="default"/>
      <w14:numSpacing w14:val="default"/>
      <w14:stylisticSets/>
      <w14:cntxtAlts w14:val="0"/>
    </w:rPr>
  </w:style>
  <w:style w:type="paragraph" w:styleId="EndnoteText">
    <w:name w:val="endnote text"/>
    <w:basedOn w:val="FootnoteText"/>
    <w:link w:val="EndnoteTextChar"/>
    <w:semiHidden/>
    <w:rsid w:val="008841B4"/>
  </w:style>
  <w:style w:type="character" w:customStyle="1" w:styleId="EndnoteTextChar">
    <w:name w:val="Endnote Text Char"/>
    <w:basedOn w:val="DefaultParagraphFont"/>
    <w:link w:val="EndnoteText"/>
    <w:semiHidden/>
    <w:rsid w:val="008841B4"/>
    <w:rPr>
      <w:rFonts w:ascii="Times New Roman" w:eastAsiaTheme="minorHAnsi" w:hAnsi="Times New Roman" w:cs="Times New Roman"/>
      <w:spacing w:val="5"/>
      <w:w w:val="103"/>
      <w:kern w:val="14"/>
      <w:sz w:val="17"/>
      <w:szCs w:val="20"/>
      <w:lang w:val="en-GB" w:eastAsia="en-US"/>
    </w:rPr>
  </w:style>
  <w:style w:type="character" w:styleId="FootnoteReference">
    <w:name w:val="footnote reference"/>
    <w:semiHidden/>
    <w:rsid w:val="008841B4"/>
    <w:rPr>
      <w:color w:val="auto"/>
      <w:spacing w:val="5"/>
      <w:w w:val="103"/>
      <w:kern w:val="14"/>
      <w:position w:val="0"/>
      <w:vertAlign w:val="superscript"/>
      <w14:ligatures w14:val="none"/>
      <w14:numForm w14:val="default"/>
      <w14:numSpacing w14:val="default"/>
      <w14:stylisticSets/>
      <w14:cntxtAlts w14:val="0"/>
    </w:rPr>
  </w:style>
  <w:style w:type="paragraph" w:styleId="FootnoteText">
    <w:name w:val="footnote text"/>
    <w:aliases w:val="fn,Footnote Text Char1,Footnote Text Char Char,Footnote Text Char1 Char Char,Footnote Text Char Char1 Char Char,Footnote Text Char1 Char Char Char Char,Footnote Text Char Char1 Char Char Char Char,Footnote Text Char2 Cha,ft,C,footnote tex"/>
    <w:basedOn w:val="Normal"/>
    <w:link w:val="FootnoteTextChar"/>
    <w:qFormat/>
    <w:rsid w:val="008841B4"/>
    <w:pPr>
      <w:widowControl w:val="0"/>
      <w:tabs>
        <w:tab w:val="right" w:pos="418"/>
      </w:tabs>
      <w:spacing w:line="210" w:lineRule="exact"/>
      <w:ind w:left="475" w:hanging="475"/>
    </w:pPr>
    <w:rPr>
      <w:spacing w:val="5"/>
      <w:sz w:val="17"/>
    </w:rPr>
  </w:style>
  <w:style w:type="character" w:customStyle="1" w:styleId="FootnoteTextChar">
    <w:name w:val="Footnote Text Char"/>
    <w:aliases w:val="fn Char,Footnote Text Char1 Char,Footnote Text Char Char Char,Footnote Text Char1 Char Char Char,Footnote Text Char Char1 Char Char Char,Footnote Text Char1 Char Char Char Char Char,Footnote Text Char Char1 Char Char Char Char Char"/>
    <w:basedOn w:val="DefaultParagraphFont"/>
    <w:link w:val="FootnoteText"/>
    <w:rsid w:val="008841B4"/>
    <w:rPr>
      <w:rFonts w:ascii="Times New Roman" w:eastAsiaTheme="minorHAnsi" w:hAnsi="Times New Roman" w:cs="Times New Roman"/>
      <w:spacing w:val="5"/>
      <w:w w:val="103"/>
      <w:kern w:val="14"/>
      <w:sz w:val="17"/>
      <w:szCs w:val="20"/>
      <w:lang w:val="en-GB" w:eastAsia="en-US"/>
    </w:rPr>
  </w:style>
  <w:style w:type="character" w:customStyle="1" w:styleId="Heading1Char">
    <w:name w:val="Heading 1 Char"/>
    <w:link w:val="Heading1"/>
    <w:uiPriority w:val="9"/>
    <w:rsid w:val="00495E7B"/>
    <w:rPr>
      <w:rFonts w:ascii="Arial" w:eastAsia="Times New Roman" w:hAnsi="Arial" w:cs="Times New Roman"/>
      <w:b/>
      <w:bCs/>
      <w:spacing w:val="4"/>
      <w:w w:val="103"/>
      <w:kern w:val="32"/>
      <w:sz w:val="32"/>
      <w:szCs w:val="28"/>
      <w:lang w:val="es-ES" w:eastAsia="en-US"/>
    </w:rPr>
  </w:style>
  <w:style w:type="character" w:customStyle="1" w:styleId="Heading2Char">
    <w:name w:val="Heading 2 Char"/>
    <w:link w:val="Heading2"/>
    <w:uiPriority w:val="9"/>
    <w:rsid w:val="00495E7B"/>
    <w:rPr>
      <w:rFonts w:ascii="Arial" w:eastAsia="Times New Roman" w:hAnsi="Arial" w:cs="Times New Roman"/>
      <w:b/>
      <w:bCs/>
      <w:i/>
      <w:spacing w:val="4"/>
      <w:w w:val="103"/>
      <w:kern w:val="14"/>
      <w:sz w:val="28"/>
      <w:szCs w:val="26"/>
      <w:lang w:val="es-ES" w:eastAsia="en-US"/>
    </w:rPr>
  </w:style>
  <w:style w:type="character" w:customStyle="1" w:styleId="Heading3Char">
    <w:name w:val="Heading 3 Char"/>
    <w:link w:val="Heading3"/>
    <w:uiPriority w:val="9"/>
    <w:rsid w:val="00495E7B"/>
    <w:rPr>
      <w:rFonts w:ascii="Arial" w:eastAsia="Times New Roman" w:hAnsi="Arial" w:cs="Times New Roman"/>
      <w:b/>
      <w:bCs/>
      <w:spacing w:val="4"/>
      <w:w w:val="103"/>
      <w:kern w:val="14"/>
      <w:sz w:val="26"/>
      <w:lang w:val="es-ES" w:eastAsia="en-US"/>
    </w:rPr>
  </w:style>
  <w:style w:type="paragraph" w:styleId="ListContinue">
    <w:name w:val="List Continue"/>
    <w:basedOn w:val="Normal"/>
    <w:uiPriority w:val="99"/>
    <w:semiHidden/>
    <w:rsid w:val="009D56BA"/>
    <w:pPr>
      <w:spacing w:after="120"/>
      <w:ind w:left="360"/>
      <w:contextualSpacing/>
    </w:pPr>
    <w:rPr>
      <w:rFonts w:cstheme="minorBidi"/>
      <w:lang w:val="ru-RU"/>
    </w:rPr>
  </w:style>
  <w:style w:type="paragraph" w:styleId="ListContinue2">
    <w:name w:val="List Continue 2"/>
    <w:basedOn w:val="Normal"/>
    <w:next w:val="Normal"/>
    <w:uiPriority w:val="99"/>
    <w:rsid w:val="009D56BA"/>
    <w:pPr>
      <w:numPr>
        <w:numId w:val="1"/>
      </w:numPr>
      <w:tabs>
        <w:tab w:val="left" w:pos="792"/>
      </w:tabs>
      <w:spacing w:after="120"/>
    </w:pPr>
    <w:rPr>
      <w:rFonts w:cstheme="minorBidi"/>
      <w:lang w:val="ru-RU"/>
    </w:rPr>
  </w:style>
  <w:style w:type="paragraph" w:styleId="ListNumber">
    <w:name w:val="List Number"/>
    <w:basedOn w:val="H1"/>
    <w:next w:val="Normal"/>
    <w:uiPriority w:val="99"/>
    <w:rsid w:val="009D56BA"/>
    <w:pPr>
      <w:numPr>
        <w:numId w:val="2"/>
      </w:numPr>
      <w:contextualSpacing/>
    </w:pPr>
  </w:style>
  <w:style w:type="paragraph" w:styleId="ListNumber2">
    <w:name w:val="List Number 2"/>
    <w:basedOn w:val="H23"/>
    <w:next w:val="Normal"/>
    <w:uiPriority w:val="99"/>
    <w:rsid w:val="009D56BA"/>
    <w:pPr>
      <w:numPr>
        <w:numId w:val="3"/>
      </w:numPr>
      <w:tabs>
        <w:tab w:val="left" w:pos="648"/>
      </w:tabs>
      <w:contextualSpacing/>
    </w:pPr>
  </w:style>
  <w:style w:type="paragraph" w:styleId="ListNumber3">
    <w:name w:val="List Number 3"/>
    <w:basedOn w:val="H23"/>
    <w:next w:val="Normal"/>
    <w:uiPriority w:val="99"/>
    <w:rsid w:val="009D56BA"/>
    <w:pPr>
      <w:numPr>
        <w:numId w:val="4"/>
      </w:numPr>
      <w:tabs>
        <w:tab w:val="left" w:pos="922"/>
      </w:tabs>
      <w:contextualSpacing/>
    </w:pPr>
  </w:style>
  <w:style w:type="paragraph" w:styleId="ListNumber4">
    <w:name w:val="List Number 4"/>
    <w:basedOn w:val="Normal"/>
    <w:uiPriority w:val="99"/>
    <w:rsid w:val="009D56BA"/>
    <w:pPr>
      <w:keepNext/>
      <w:keepLines/>
      <w:numPr>
        <w:numId w:val="5"/>
      </w:numPr>
      <w:tabs>
        <w:tab w:val="left" w:pos="1210"/>
      </w:tabs>
      <w:contextualSpacing/>
      <w:outlineLvl w:val="3"/>
    </w:pPr>
    <w:rPr>
      <w:rFonts w:cstheme="minorBidi"/>
      <w:i/>
      <w:spacing w:val="3"/>
      <w:lang w:val="ru-RU"/>
    </w:rPr>
  </w:style>
  <w:style w:type="paragraph" w:styleId="ListNumber5">
    <w:name w:val="List Number 5"/>
    <w:basedOn w:val="Normal"/>
    <w:next w:val="Normal"/>
    <w:uiPriority w:val="99"/>
    <w:rsid w:val="009D56BA"/>
    <w:pPr>
      <w:numPr>
        <w:numId w:val="6"/>
      </w:numPr>
      <w:tabs>
        <w:tab w:val="left" w:pos="1498"/>
      </w:tabs>
      <w:contextualSpacing/>
    </w:pPr>
    <w:rPr>
      <w:rFonts w:cstheme="minorBidi"/>
      <w:lang w:val="ru-RU"/>
    </w:rPr>
  </w:style>
  <w:style w:type="paragraph" w:styleId="NoSpacing">
    <w:name w:val="No Spacing"/>
    <w:basedOn w:val="Normal"/>
    <w:uiPriority w:val="1"/>
    <w:rsid w:val="00495E7B"/>
    <w:pPr>
      <w:spacing w:line="240" w:lineRule="auto"/>
    </w:pPr>
  </w:style>
  <w:style w:type="paragraph" w:customStyle="1" w:styleId="Original">
    <w:name w:val="Original"/>
    <w:next w:val="Normal"/>
    <w:rsid w:val="008841B4"/>
    <w:pPr>
      <w:spacing w:after="0" w:line="240" w:lineRule="auto"/>
    </w:pPr>
    <w:rPr>
      <w:rFonts w:ascii="Times New Roman" w:eastAsiaTheme="minorHAnsi" w:hAnsi="Times New Roman" w:cs="Times New Roman"/>
      <w:spacing w:val="4"/>
      <w:w w:val="103"/>
      <w:kern w:val="14"/>
      <w:sz w:val="20"/>
      <w:szCs w:val="20"/>
      <w:lang w:val="en-GB" w:eastAsia="en-US"/>
    </w:rPr>
  </w:style>
  <w:style w:type="paragraph" w:customStyle="1" w:styleId="Publication">
    <w:name w:val="Publication"/>
    <w:next w:val="Normal"/>
    <w:rsid w:val="008841B4"/>
    <w:pPr>
      <w:spacing w:after="0" w:line="240" w:lineRule="auto"/>
    </w:pPr>
    <w:rPr>
      <w:rFonts w:ascii="Times New Roman" w:eastAsiaTheme="minorHAnsi" w:hAnsi="Times New Roman" w:cs="Times New Roman"/>
      <w:spacing w:val="4"/>
      <w:w w:val="103"/>
      <w:kern w:val="14"/>
      <w:sz w:val="20"/>
      <w:szCs w:val="20"/>
      <w:lang w:val="en-GB" w:eastAsia="en-US"/>
    </w:rPr>
  </w:style>
  <w:style w:type="paragraph" w:customStyle="1" w:styleId="ReleaseDate">
    <w:name w:val="ReleaseDate"/>
    <w:next w:val="Footer"/>
    <w:autoRedefine/>
    <w:qFormat/>
    <w:rsid w:val="00495E7B"/>
    <w:pPr>
      <w:spacing w:after="0" w:line="240" w:lineRule="auto"/>
    </w:pPr>
    <w:rPr>
      <w:rFonts w:ascii="Times New Roman" w:eastAsiaTheme="minorHAnsi" w:hAnsi="Times New Roman" w:cs="Times New Roman"/>
      <w:spacing w:val="4"/>
      <w:w w:val="103"/>
      <w:sz w:val="20"/>
      <w:lang w:val="es-ES" w:eastAsia="en-US"/>
    </w:rPr>
  </w:style>
  <w:style w:type="paragraph" w:customStyle="1" w:styleId="Small">
    <w:name w:val="Small"/>
    <w:basedOn w:val="Normal"/>
    <w:next w:val="Normal"/>
    <w:rsid w:val="008841B4"/>
    <w:pPr>
      <w:tabs>
        <w:tab w:val="right" w:pos="9965"/>
      </w:tabs>
      <w:spacing w:line="210" w:lineRule="exact"/>
    </w:pPr>
    <w:rPr>
      <w:spacing w:val="5"/>
      <w:w w:val="104"/>
      <w:sz w:val="17"/>
    </w:rPr>
  </w:style>
  <w:style w:type="paragraph" w:customStyle="1" w:styleId="SmallX">
    <w:name w:val="SmallX"/>
    <w:basedOn w:val="Small"/>
    <w:next w:val="Normal"/>
    <w:rsid w:val="008841B4"/>
    <w:pPr>
      <w:spacing w:line="180" w:lineRule="exact"/>
      <w:jc w:val="right"/>
    </w:pPr>
    <w:rPr>
      <w:spacing w:val="6"/>
      <w:w w:val="106"/>
      <w:sz w:val="14"/>
    </w:rPr>
  </w:style>
  <w:style w:type="paragraph" w:customStyle="1" w:styleId="TitleHCH">
    <w:name w:val="Title_H_CH"/>
    <w:basedOn w:val="Normal"/>
    <w:next w:val="SingleTxt"/>
    <w:qFormat/>
    <w:rsid w:val="008841B4"/>
  </w:style>
  <w:style w:type="paragraph" w:customStyle="1" w:styleId="TitleH2">
    <w:name w:val="Title_H2"/>
    <w:basedOn w:val="H23"/>
    <w:qFormat/>
    <w:rsid w:val="008841B4"/>
  </w:style>
  <w:style w:type="paragraph" w:customStyle="1" w:styleId="XLarge">
    <w:name w:val="XLarge"/>
    <w:basedOn w:val="HM"/>
    <w:rsid w:val="008841B4"/>
    <w:pPr>
      <w:spacing w:line="390" w:lineRule="exact"/>
    </w:pPr>
    <w:rPr>
      <w:spacing w:val="-4"/>
      <w:w w:val="98"/>
      <w:sz w:val="40"/>
    </w:rPr>
  </w:style>
  <w:style w:type="paragraph" w:customStyle="1" w:styleId="AgendaItemNumber">
    <w:name w:val="Agenda_Item_Number"/>
    <w:next w:val="Normal"/>
    <w:qFormat/>
    <w:rsid w:val="00EA1709"/>
    <w:pPr>
      <w:tabs>
        <w:tab w:val="left" w:pos="2880"/>
      </w:tabs>
      <w:spacing w:after="120" w:line="240" w:lineRule="exact"/>
    </w:pPr>
    <w:rPr>
      <w:rFonts w:ascii="Times New Roman" w:eastAsiaTheme="minorHAnsi" w:hAnsi="Times New Roman"/>
      <w:b/>
      <w:spacing w:val="4"/>
      <w:w w:val="103"/>
      <w:kern w:val="14"/>
      <w:sz w:val="20"/>
      <w:lang w:eastAsia="en-US"/>
    </w:rPr>
  </w:style>
  <w:style w:type="paragraph" w:customStyle="1" w:styleId="AgendaItemTitle">
    <w:name w:val="Agenda_Item_Title"/>
    <w:basedOn w:val="H1"/>
    <w:next w:val="Normal"/>
    <w:qFormat/>
    <w:rsid w:val="00EA1709"/>
    <w:pPr>
      <w:tabs>
        <w:tab w:val="left" w:pos="2880"/>
      </w:tabs>
      <w:spacing w:after="120" w:line="240" w:lineRule="exact"/>
      <w:ind w:left="2880" w:hanging="2880"/>
      <w:outlineLvl w:val="1"/>
    </w:pPr>
    <w:rPr>
      <w:spacing w:val="2"/>
      <w:sz w:val="20"/>
    </w:rPr>
  </w:style>
  <w:style w:type="paragraph" w:styleId="BalloonText">
    <w:name w:val="Balloon Text"/>
    <w:basedOn w:val="Normal"/>
    <w:link w:val="BalloonTextChar"/>
    <w:semiHidden/>
    <w:rsid w:val="008841B4"/>
    <w:rPr>
      <w:rFonts w:ascii="Tahoma" w:hAnsi="Tahoma" w:cs="Tahoma"/>
      <w:sz w:val="16"/>
      <w:szCs w:val="16"/>
    </w:rPr>
  </w:style>
  <w:style w:type="character" w:customStyle="1" w:styleId="BalloonTextChar">
    <w:name w:val="Balloon Text Char"/>
    <w:basedOn w:val="DefaultParagraphFont"/>
    <w:link w:val="BalloonText"/>
    <w:semiHidden/>
    <w:rsid w:val="008841B4"/>
    <w:rPr>
      <w:rFonts w:ascii="Tahoma" w:eastAsiaTheme="minorHAnsi" w:hAnsi="Tahoma" w:cs="Tahoma"/>
      <w:spacing w:val="4"/>
      <w:w w:val="103"/>
      <w:kern w:val="14"/>
      <w:sz w:val="16"/>
      <w:szCs w:val="16"/>
      <w:lang w:val="en-GB" w:eastAsia="en-US"/>
    </w:rPr>
  </w:style>
  <w:style w:type="paragraph" w:customStyle="1" w:styleId="DecisionNumber">
    <w:name w:val="DecisionNumber"/>
    <w:basedOn w:val="H1"/>
    <w:next w:val="Normal"/>
    <w:qFormat/>
    <w:rsid w:val="00EA1709"/>
    <w:pPr>
      <w:tabs>
        <w:tab w:val="left" w:pos="2880"/>
      </w:tabs>
      <w:spacing w:after="120" w:line="240" w:lineRule="exact"/>
      <w:ind w:left="2880" w:hanging="2880"/>
      <w:outlineLvl w:val="1"/>
    </w:pPr>
    <w:rPr>
      <w:spacing w:val="2"/>
      <w:sz w:val="20"/>
    </w:rPr>
  </w:style>
  <w:style w:type="paragraph" w:customStyle="1" w:styleId="DecisionTitle">
    <w:name w:val="DecisionTitle"/>
    <w:basedOn w:val="H1"/>
    <w:next w:val="Normal"/>
    <w:qFormat/>
    <w:rsid w:val="00EA1709"/>
    <w:pPr>
      <w:tabs>
        <w:tab w:val="left" w:pos="2880"/>
      </w:tabs>
      <w:spacing w:after="120" w:line="240" w:lineRule="exact"/>
      <w:ind w:left="2880" w:hanging="2880"/>
      <w:outlineLvl w:val="1"/>
    </w:pPr>
    <w:rPr>
      <w:spacing w:val="2"/>
      <w:sz w:val="20"/>
      <w:lang w:val="en-US"/>
    </w:rPr>
  </w:style>
  <w:style w:type="character" w:styleId="FollowedHyperlink">
    <w:name w:val="FollowedHyperlink"/>
    <w:basedOn w:val="DefaultParagraphFont"/>
    <w:uiPriority w:val="99"/>
    <w:semiHidden/>
    <w:unhideWhenUsed/>
    <w:rsid w:val="00EA1709"/>
    <w:rPr>
      <w:color w:val="0000FF"/>
      <w:u w:val="none"/>
    </w:rPr>
  </w:style>
  <w:style w:type="character" w:styleId="Hyperlink">
    <w:name w:val="Hyperlink"/>
    <w:basedOn w:val="DefaultParagraphFont"/>
    <w:rsid w:val="008841B4"/>
    <w:rPr>
      <w:color w:val="0000FF"/>
      <w:u w:val="none"/>
    </w:rPr>
  </w:style>
  <w:style w:type="paragraph" w:customStyle="1" w:styleId="MeetingNumber">
    <w:name w:val="MeetingNumber"/>
    <w:basedOn w:val="H1"/>
    <w:next w:val="Normal"/>
    <w:qFormat/>
    <w:rsid w:val="00EA1709"/>
    <w:pPr>
      <w:tabs>
        <w:tab w:val="left" w:pos="2880"/>
      </w:tabs>
      <w:spacing w:after="120" w:line="240" w:lineRule="exact"/>
      <w:ind w:left="2880" w:hanging="2880"/>
      <w:outlineLvl w:val="1"/>
    </w:pPr>
    <w:rPr>
      <w:spacing w:val="0"/>
      <w:sz w:val="20"/>
      <w:lang w:val="en-US"/>
    </w:rPr>
  </w:style>
  <w:style w:type="paragraph" w:customStyle="1" w:styleId="STitleL">
    <w:name w:val="S_Title_L"/>
    <w:basedOn w:val="SM"/>
    <w:next w:val="Normal"/>
    <w:qFormat/>
    <w:rsid w:val="00EA1709"/>
    <w:pPr>
      <w:spacing w:line="540" w:lineRule="exact"/>
    </w:pPr>
    <w:rPr>
      <w:spacing w:val="-8"/>
      <w:w w:val="96"/>
      <w:sz w:val="57"/>
    </w:rPr>
  </w:style>
  <w:style w:type="paragraph" w:customStyle="1" w:styleId="STitleM">
    <w:name w:val="S_Title_M"/>
    <w:basedOn w:val="Normal"/>
    <w:next w:val="Normal"/>
    <w:qFormat/>
    <w:rsid w:val="00EA1709"/>
    <w:pPr>
      <w:keepNext/>
      <w:keepLines/>
      <w:tabs>
        <w:tab w:val="right" w:leader="dot" w:pos="357"/>
      </w:tabs>
      <w:spacing w:line="390" w:lineRule="exact"/>
      <w:ind w:left="1264" w:right="1264"/>
      <w:outlineLvl w:val="0"/>
    </w:pPr>
    <w:rPr>
      <w:b/>
      <w:spacing w:val="-4"/>
      <w:w w:val="98"/>
      <w:sz w:val="40"/>
    </w:rPr>
  </w:style>
  <w:style w:type="paragraph" w:customStyle="1" w:styleId="STitleS">
    <w:name w:val="S_Title_S"/>
    <w:basedOn w:val="SM"/>
    <w:next w:val="Normal"/>
    <w:qFormat/>
    <w:rsid w:val="00EA1709"/>
    <w:pPr>
      <w:spacing w:line="300" w:lineRule="exact"/>
      <w:ind w:left="1264" w:right="1264"/>
    </w:pPr>
    <w:rPr>
      <w:sz w:val="28"/>
    </w:rPr>
  </w:style>
  <w:style w:type="paragraph" w:customStyle="1" w:styleId="Session">
    <w:name w:val="Session"/>
    <w:basedOn w:val="H23"/>
    <w:rsid w:val="008841B4"/>
    <w:pPr>
      <w:ind w:left="0" w:firstLine="0"/>
    </w:pPr>
    <w:rPr>
      <w:spacing w:val="4"/>
    </w:rPr>
  </w:style>
  <w:style w:type="paragraph" w:customStyle="1" w:styleId="Sponsors">
    <w:name w:val="Sponsors"/>
    <w:basedOn w:val="H1"/>
    <w:next w:val="Normal"/>
    <w:qFormat/>
    <w:rsid w:val="00EA1709"/>
    <w:pPr>
      <w:spacing w:line="240" w:lineRule="exact"/>
    </w:pPr>
    <w:rPr>
      <w:sz w:val="20"/>
    </w:rPr>
  </w:style>
  <w:style w:type="paragraph" w:customStyle="1" w:styleId="SRContents">
    <w:name w:val="SR_Contents"/>
    <w:basedOn w:val="Normal"/>
    <w:qFormat/>
    <w:rsid w:val="00EA1709"/>
    <w:pPr>
      <w:tabs>
        <w:tab w:val="left" w:pos="1267"/>
        <w:tab w:val="left" w:pos="1742"/>
        <w:tab w:val="left" w:pos="2218"/>
        <w:tab w:val="left" w:pos="2693"/>
        <w:tab w:val="left" w:pos="3182"/>
        <w:tab w:val="left" w:pos="3658"/>
        <w:tab w:val="left" w:pos="4133"/>
        <w:tab w:val="left" w:pos="4622"/>
        <w:tab w:val="left" w:pos="5098"/>
        <w:tab w:val="left" w:pos="5573"/>
        <w:tab w:val="left" w:pos="6048"/>
        <w:tab w:val="left" w:pos="6538"/>
      </w:tabs>
      <w:spacing w:after="120"/>
      <w:ind w:left="1267" w:right="1267"/>
      <w:jc w:val="both"/>
    </w:pPr>
  </w:style>
  <w:style w:type="paragraph" w:customStyle="1" w:styleId="SRMeetingInfo">
    <w:name w:val="SR_Meeting_Info"/>
    <w:next w:val="Normal"/>
    <w:qFormat/>
    <w:rsid w:val="00EA1709"/>
    <w:pPr>
      <w:spacing w:after="0" w:line="240" w:lineRule="exact"/>
    </w:pPr>
    <w:rPr>
      <w:rFonts w:ascii="Times New Roman" w:eastAsiaTheme="minorHAnsi" w:hAnsi="Times New Roman"/>
      <w:spacing w:val="4"/>
      <w:w w:val="103"/>
      <w:kern w:val="14"/>
      <w:sz w:val="20"/>
      <w:lang w:eastAsia="en-US"/>
    </w:rPr>
  </w:style>
  <w:style w:type="paragraph" w:customStyle="1" w:styleId="SummaryRecord">
    <w:name w:val="SummaryRecord"/>
    <w:basedOn w:val="H23"/>
    <w:next w:val="Session"/>
    <w:qFormat/>
    <w:rsid w:val="00EA1709"/>
  </w:style>
  <w:style w:type="character" w:styleId="UnresolvedMention">
    <w:name w:val="Unresolved Mention"/>
    <w:basedOn w:val="DefaultParagraphFont"/>
    <w:uiPriority w:val="99"/>
    <w:semiHidden/>
    <w:unhideWhenUsed/>
    <w:rsid w:val="00EA1709"/>
    <w:rPr>
      <w:color w:val="605E5C"/>
      <w:shd w:val="clear" w:color="auto" w:fill="E1DFDD"/>
    </w:rPr>
  </w:style>
  <w:style w:type="paragraph" w:customStyle="1" w:styleId="7P">
    <w:name w:val="_ 7_ P"/>
    <w:basedOn w:val="Normal"/>
    <w:next w:val="Normal"/>
    <w:qFormat/>
    <w:rsid w:val="00495E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00" w:lineRule="exact"/>
      <w:ind w:left="1267" w:right="1267" w:hanging="1267"/>
      <w:outlineLvl w:val="3"/>
    </w:pPr>
    <w:rPr>
      <w:rFonts w:eastAsia="Times New Roman"/>
      <w:iCs/>
      <w:spacing w:val="3"/>
      <w:sz w:val="14"/>
      <w:szCs w:val="24"/>
    </w:rPr>
  </w:style>
  <w:style w:type="character" w:customStyle="1" w:styleId="SingleTxtChar">
    <w:name w:val="__Single Txt Char"/>
    <w:link w:val="SingleTxt"/>
    <w:locked/>
    <w:rsid w:val="00495E7B"/>
    <w:rPr>
      <w:rFonts w:ascii="Times New Roman" w:eastAsiaTheme="minorHAnsi" w:hAnsi="Times New Roman" w:cs="Times New Roman"/>
      <w:spacing w:val="4"/>
      <w:w w:val="103"/>
      <w:kern w:val="14"/>
      <w:sz w:val="20"/>
      <w:szCs w:val="20"/>
      <w:lang w:val="en-GB" w:eastAsia="en-US"/>
    </w:rPr>
  </w:style>
  <w:style w:type="paragraph" w:styleId="Caption">
    <w:name w:val="caption"/>
    <w:basedOn w:val="Normal"/>
    <w:next w:val="Normal"/>
    <w:uiPriority w:val="35"/>
    <w:semiHidden/>
    <w:unhideWhenUsed/>
    <w:rsid w:val="00495E7B"/>
    <w:pPr>
      <w:spacing w:line="240" w:lineRule="auto"/>
    </w:pPr>
    <w:rPr>
      <w:b/>
      <w:bCs/>
      <w:color w:val="4F81BD"/>
      <w:sz w:val="18"/>
      <w:szCs w:val="18"/>
    </w:rPr>
  </w:style>
  <w:style w:type="character" w:styleId="CommentReference">
    <w:name w:val="annotation reference"/>
    <w:semiHidden/>
    <w:rsid w:val="008841B4"/>
    <w:rPr>
      <w:sz w:val="6"/>
    </w:rPr>
  </w:style>
  <w:style w:type="paragraph" w:customStyle="1" w:styleId="HdBanner">
    <w:name w:val="Hd Banner"/>
    <w:basedOn w:val="Normal"/>
    <w:next w:val="Normal"/>
    <w:qFormat/>
    <w:rsid w:val="00495E7B"/>
    <w:pPr>
      <w:keepLines/>
      <w:shd w:val="pct10" w:color="auto" w:fill="FFFFFF"/>
      <w:tabs>
        <w:tab w:val="left" w:pos="2218"/>
      </w:tabs>
      <w:spacing w:line="360" w:lineRule="exact"/>
    </w:pPr>
    <w:rPr>
      <w:b/>
      <w:spacing w:val="1"/>
      <w:position w:val="6"/>
      <w:sz w:val="24"/>
      <w:szCs w:val="24"/>
    </w:rPr>
  </w:style>
  <w:style w:type="paragraph" w:customStyle="1" w:styleId="HdChapterLt">
    <w:name w:val="Hd Chapter Lt"/>
    <w:basedOn w:val="Normal"/>
    <w:next w:val="Normal"/>
    <w:qFormat/>
    <w:rsid w:val="00495E7B"/>
    <w:pPr>
      <w:keepNext/>
      <w:keepLines/>
      <w:tabs>
        <w:tab w:val="left" w:pos="2218"/>
      </w:tabs>
      <w:spacing w:before="300" w:line="300" w:lineRule="exact"/>
    </w:pPr>
    <w:rPr>
      <w:spacing w:val="2"/>
      <w:w w:val="96"/>
      <w:kern w:val="34"/>
      <w:sz w:val="28"/>
      <w:szCs w:val="28"/>
    </w:rPr>
  </w:style>
  <w:style w:type="paragraph" w:customStyle="1" w:styleId="HdChapterBD">
    <w:name w:val="Hd Chapter BD"/>
    <w:basedOn w:val="HdChapterLt"/>
    <w:next w:val="Normal"/>
    <w:qFormat/>
    <w:rsid w:val="00495E7B"/>
    <w:pPr>
      <w:spacing w:before="240"/>
    </w:pPr>
    <w:rPr>
      <w:b/>
      <w:spacing w:val="-2"/>
      <w:w w:val="100"/>
    </w:rPr>
  </w:style>
  <w:style w:type="paragraph" w:customStyle="1" w:styleId="HdChapterBdLg">
    <w:name w:val="Hd Chapter Bd Lg"/>
    <w:basedOn w:val="HdChapterBD"/>
    <w:next w:val="Normal"/>
    <w:qFormat/>
    <w:rsid w:val="00495E7B"/>
    <w:rPr>
      <w:spacing w:val="-3"/>
      <w:w w:val="99"/>
      <w:kern w:val="14"/>
      <w:sz w:val="34"/>
      <w:szCs w:val="34"/>
    </w:rPr>
  </w:style>
  <w:style w:type="character" w:customStyle="1" w:styleId="Heading4Char">
    <w:name w:val="Heading 4 Char"/>
    <w:link w:val="Heading4"/>
    <w:uiPriority w:val="9"/>
    <w:rsid w:val="00495E7B"/>
    <w:rPr>
      <w:rFonts w:ascii="Cambria" w:eastAsia="Times New Roman" w:hAnsi="Cambria" w:cs="Times New Roman"/>
      <w:b/>
      <w:bCs/>
      <w:i/>
      <w:iCs/>
      <w:spacing w:val="4"/>
      <w:w w:val="103"/>
      <w:sz w:val="20"/>
      <w:lang w:val="es-ES" w:eastAsia="en-US"/>
    </w:rPr>
  </w:style>
  <w:style w:type="character" w:customStyle="1" w:styleId="Heading5Char">
    <w:name w:val="Heading 5 Char"/>
    <w:link w:val="Heading5"/>
    <w:uiPriority w:val="9"/>
    <w:rsid w:val="00495E7B"/>
    <w:rPr>
      <w:rFonts w:ascii="Cambria" w:eastAsia="Times New Roman" w:hAnsi="Cambria" w:cs="Times New Roman"/>
      <w:b/>
      <w:bCs/>
      <w:color w:val="7F7F7F"/>
      <w:spacing w:val="4"/>
      <w:w w:val="103"/>
      <w:sz w:val="20"/>
      <w:lang w:val="es-ES" w:eastAsia="en-US"/>
    </w:rPr>
  </w:style>
  <w:style w:type="character" w:customStyle="1" w:styleId="Heading6Char">
    <w:name w:val="Heading 6 Char"/>
    <w:link w:val="Heading6"/>
    <w:uiPriority w:val="9"/>
    <w:rsid w:val="00495E7B"/>
    <w:rPr>
      <w:rFonts w:ascii="Cambria" w:eastAsia="Times New Roman" w:hAnsi="Cambria" w:cs="Times New Roman"/>
      <w:b/>
      <w:bCs/>
      <w:i/>
      <w:iCs/>
      <w:color w:val="7F7F7F"/>
      <w:spacing w:val="4"/>
      <w:w w:val="103"/>
      <w:sz w:val="20"/>
      <w:lang w:val="es-ES" w:eastAsia="en-US"/>
    </w:rPr>
  </w:style>
  <w:style w:type="character" w:customStyle="1" w:styleId="Heading7Char">
    <w:name w:val="Heading 7 Char"/>
    <w:link w:val="Heading7"/>
    <w:uiPriority w:val="9"/>
    <w:semiHidden/>
    <w:rsid w:val="00495E7B"/>
    <w:rPr>
      <w:rFonts w:ascii="Cambria" w:eastAsia="Times New Roman" w:hAnsi="Cambria" w:cs="Times New Roman"/>
      <w:i/>
      <w:iCs/>
      <w:spacing w:val="4"/>
      <w:w w:val="103"/>
      <w:sz w:val="20"/>
      <w:lang w:val="es-ES" w:eastAsia="en-US"/>
    </w:rPr>
  </w:style>
  <w:style w:type="character" w:customStyle="1" w:styleId="Heading8Char">
    <w:name w:val="Heading 8 Char"/>
    <w:link w:val="Heading8"/>
    <w:uiPriority w:val="9"/>
    <w:semiHidden/>
    <w:rsid w:val="00495E7B"/>
    <w:rPr>
      <w:rFonts w:ascii="Cambria" w:eastAsia="Times New Roman" w:hAnsi="Cambria" w:cs="Times New Roman"/>
      <w:spacing w:val="4"/>
      <w:w w:val="103"/>
      <w:sz w:val="20"/>
      <w:szCs w:val="20"/>
      <w:lang w:val="es-ES" w:eastAsia="en-US"/>
    </w:rPr>
  </w:style>
  <w:style w:type="character" w:customStyle="1" w:styleId="Heading9Char">
    <w:name w:val="Heading 9 Char"/>
    <w:link w:val="Heading9"/>
    <w:uiPriority w:val="9"/>
    <w:semiHidden/>
    <w:rsid w:val="00495E7B"/>
    <w:rPr>
      <w:rFonts w:ascii="Cambria" w:eastAsia="Times New Roman" w:hAnsi="Cambria" w:cs="Times New Roman"/>
      <w:i/>
      <w:iCs/>
      <w:spacing w:val="5"/>
      <w:w w:val="103"/>
      <w:sz w:val="20"/>
      <w:szCs w:val="20"/>
      <w:lang w:val="es-ES" w:eastAsia="en-US"/>
    </w:rPr>
  </w:style>
  <w:style w:type="paragraph" w:customStyle="1" w:styleId="JournalHeading1">
    <w:name w:val="Journal_Heading1"/>
    <w:basedOn w:val="Normal"/>
    <w:next w:val="Normal"/>
    <w:qFormat/>
    <w:rsid w:val="00495E7B"/>
    <w:pPr>
      <w:keepNext/>
      <w:spacing w:before="190" w:line="270" w:lineRule="exact"/>
    </w:pPr>
    <w:rPr>
      <w:b/>
      <w:sz w:val="24"/>
    </w:rPr>
  </w:style>
  <w:style w:type="paragraph" w:customStyle="1" w:styleId="JournalHeading2">
    <w:name w:val="Journal_Heading2"/>
    <w:basedOn w:val="Normal"/>
    <w:next w:val="Normal"/>
    <w:qFormat/>
    <w:rsid w:val="00495E7B"/>
    <w:pPr>
      <w:keepNext/>
      <w:keepLines/>
      <w:spacing w:before="240"/>
      <w:outlineLvl w:val="1"/>
    </w:pPr>
    <w:rPr>
      <w:b/>
      <w:spacing w:val="2"/>
    </w:rPr>
  </w:style>
  <w:style w:type="paragraph" w:customStyle="1" w:styleId="JournalHeading4">
    <w:name w:val="Journal_Heading4"/>
    <w:basedOn w:val="Normal"/>
    <w:next w:val="Normal"/>
    <w:qFormat/>
    <w:rsid w:val="00495E7B"/>
    <w:pPr>
      <w:keepNext/>
      <w:keepLines/>
      <w:spacing w:before="240"/>
      <w:outlineLvl w:val="3"/>
    </w:pPr>
    <w:rPr>
      <w:i/>
    </w:rPr>
  </w:style>
  <w:style w:type="character" w:styleId="LineNumber">
    <w:name w:val="line number"/>
    <w:rsid w:val="008841B4"/>
    <w:rPr>
      <w:sz w:val="14"/>
    </w:rPr>
  </w:style>
  <w:style w:type="paragraph" w:customStyle="1" w:styleId="NormalBullet">
    <w:name w:val="Normal Bullet"/>
    <w:basedOn w:val="Normal"/>
    <w:next w:val="Normal"/>
    <w:qFormat/>
    <w:rsid w:val="00495E7B"/>
    <w:pPr>
      <w:keepLines/>
      <w:numPr>
        <w:numId w:val="24"/>
      </w:numPr>
      <w:tabs>
        <w:tab w:val="left" w:pos="2218"/>
      </w:tabs>
      <w:spacing w:before="40" w:after="80"/>
      <w:ind w:right="302"/>
    </w:pPr>
  </w:style>
  <w:style w:type="paragraph" w:customStyle="1" w:styleId="NormalSchedule">
    <w:name w:val="Normal Schedule"/>
    <w:basedOn w:val="Normal"/>
    <w:next w:val="Normal"/>
    <w:qFormat/>
    <w:rsid w:val="00495E7B"/>
    <w:pPr>
      <w:tabs>
        <w:tab w:val="left" w:leader="dot" w:pos="2218"/>
        <w:tab w:val="left" w:pos="2707"/>
        <w:tab w:val="right" w:leader="dot" w:pos="9835"/>
      </w:tabs>
    </w:pPr>
  </w:style>
  <w:style w:type="paragraph" w:styleId="TOCHeading">
    <w:name w:val="TOC Heading"/>
    <w:basedOn w:val="Heading1"/>
    <w:next w:val="Normal"/>
    <w:uiPriority w:val="39"/>
    <w:semiHidden/>
    <w:unhideWhenUsed/>
    <w:qFormat/>
    <w:rsid w:val="00495E7B"/>
    <w:pPr>
      <w:outlineLvl w:val="9"/>
    </w:pPr>
    <w:rPr>
      <w:rFonts w:eastAsiaTheme="majorEastAsia" w:cstheme="majorBidi"/>
      <w:lang w:bidi="en-US"/>
    </w:rPr>
  </w:style>
  <w:style w:type="paragraph" w:styleId="PlainText">
    <w:name w:val="Plain Text"/>
    <w:basedOn w:val="Normal"/>
    <w:link w:val="PlainTextChar"/>
    <w:rsid w:val="008841B4"/>
    <w:pPr>
      <w:suppressAutoHyphens w:val="0"/>
      <w:spacing w:line="240" w:lineRule="auto"/>
    </w:pPr>
    <w:rPr>
      <w:rFonts w:ascii="Courier New" w:eastAsia="Times New Roman" w:hAnsi="Courier New"/>
      <w:spacing w:val="0"/>
      <w:w w:val="100"/>
      <w:kern w:val="0"/>
      <w:lang w:val="en-US" w:eastAsia="en-GB"/>
    </w:rPr>
  </w:style>
  <w:style w:type="character" w:customStyle="1" w:styleId="PlainTextChar">
    <w:name w:val="Plain Text Char"/>
    <w:basedOn w:val="DefaultParagraphFont"/>
    <w:link w:val="PlainText"/>
    <w:rsid w:val="008841B4"/>
    <w:rPr>
      <w:rFonts w:ascii="Courier New" w:eastAsia="Times New Roman" w:hAnsi="Courier New" w:cs="Times New Roman"/>
      <w:sz w:val="20"/>
      <w:szCs w:val="20"/>
      <w:lang w:eastAsia="en-GB"/>
    </w:rPr>
  </w:style>
  <w:style w:type="paragraph" w:customStyle="1" w:styleId="ReleaseDate0">
    <w:name w:val="Release Date"/>
    <w:next w:val="Footer"/>
    <w:rsid w:val="008841B4"/>
    <w:pPr>
      <w:spacing w:after="0" w:line="240" w:lineRule="auto"/>
    </w:pPr>
    <w:rPr>
      <w:rFonts w:ascii="Times New Roman" w:eastAsiaTheme="minorHAnsi" w:hAnsi="Times New Roman" w:cs="Times New Roman"/>
      <w:spacing w:val="4"/>
      <w:w w:val="103"/>
      <w:kern w:val="14"/>
      <w:sz w:val="20"/>
      <w:szCs w:val="20"/>
      <w:lang w:val="en-GB" w:eastAsia="en-US"/>
    </w:rPr>
  </w:style>
  <w:style w:type="table" w:styleId="TableGrid">
    <w:name w:val="Table Grid"/>
    <w:basedOn w:val="TableNormal"/>
    <w:rsid w:val="008841B4"/>
    <w:pPr>
      <w:suppressAutoHyphens/>
      <w:spacing w:after="0" w:line="240" w:lineRule="exact"/>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LUEHeadingH1">
    <w:name w:val="BLUE_Heading_H1"/>
    <w:basedOn w:val="Normal"/>
    <w:next w:val="Normal"/>
    <w:qFormat/>
    <w:rsid w:val="00EF2580"/>
    <w:pPr>
      <w:keepNext/>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70" w:lineRule="exact"/>
      <w:ind w:left="1267" w:right="1267" w:hanging="1267"/>
    </w:pPr>
    <w:rPr>
      <w:b/>
      <w:color w:val="0000FF"/>
      <w:sz w:val="24"/>
    </w:rPr>
  </w:style>
  <w:style w:type="paragraph" w:customStyle="1" w:styleId="BLUEHeadingH2">
    <w:name w:val="BLUE_Heading_H2"/>
    <w:basedOn w:val="Normal"/>
    <w:next w:val="Normal"/>
    <w:qFormat/>
    <w:rsid w:val="00E26243"/>
    <w:pPr>
      <w:outlineLvl w:val="1"/>
    </w:pPr>
    <w:rPr>
      <w:b/>
      <w:color w:val="0000FF"/>
    </w:rPr>
  </w:style>
  <w:style w:type="paragraph" w:styleId="Title">
    <w:name w:val="Title"/>
    <w:basedOn w:val="Normal"/>
    <w:next w:val="Normal"/>
    <w:link w:val="TitleChar"/>
    <w:uiPriority w:val="10"/>
    <w:qFormat/>
    <w:rsid w:val="009E0F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0F9E"/>
    <w:rPr>
      <w:rFonts w:asciiTheme="majorHAnsi" w:eastAsiaTheme="majorEastAsia" w:hAnsiTheme="majorHAnsi" w:cstheme="majorBidi"/>
      <w:spacing w:val="-10"/>
      <w:w w:val="103"/>
      <w:kern w:val="28"/>
      <w:sz w:val="56"/>
      <w:szCs w:val="56"/>
      <w:lang w:val="en-GB" w:eastAsia="en-US"/>
    </w:rPr>
  </w:style>
  <w:style w:type="paragraph" w:styleId="Subtitle">
    <w:name w:val="Subtitle"/>
    <w:basedOn w:val="Normal"/>
    <w:next w:val="Normal"/>
    <w:link w:val="SubtitleChar"/>
    <w:uiPriority w:val="11"/>
    <w:qFormat/>
    <w:rsid w:val="009E0F9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0F9E"/>
    <w:rPr>
      <w:rFonts w:eastAsiaTheme="majorEastAsia" w:cstheme="majorBidi"/>
      <w:color w:val="595959" w:themeColor="text1" w:themeTint="A6"/>
      <w:spacing w:val="15"/>
      <w:w w:val="103"/>
      <w:kern w:val="14"/>
      <w:sz w:val="28"/>
      <w:szCs w:val="28"/>
      <w:lang w:val="en-GB" w:eastAsia="en-US"/>
    </w:rPr>
  </w:style>
  <w:style w:type="paragraph" w:styleId="Quote">
    <w:name w:val="Quote"/>
    <w:basedOn w:val="Normal"/>
    <w:next w:val="Normal"/>
    <w:link w:val="QuoteChar"/>
    <w:uiPriority w:val="29"/>
    <w:qFormat/>
    <w:rsid w:val="009E0F9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E0F9E"/>
    <w:rPr>
      <w:rFonts w:ascii="Times New Roman" w:eastAsiaTheme="minorHAnsi" w:hAnsi="Times New Roman" w:cs="Times New Roman"/>
      <w:i/>
      <w:iCs/>
      <w:color w:val="404040" w:themeColor="text1" w:themeTint="BF"/>
      <w:spacing w:val="4"/>
      <w:w w:val="103"/>
      <w:kern w:val="14"/>
      <w:sz w:val="20"/>
      <w:szCs w:val="20"/>
      <w:lang w:val="en-GB" w:eastAsia="en-US"/>
    </w:rPr>
  </w:style>
  <w:style w:type="paragraph" w:styleId="ListParagraph">
    <w:name w:val="List Paragraph"/>
    <w:basedOn w:val="Normal"/>
    <w:uiPriority w:val="34"/>
    <w:qFormat/>
    <w:rsid w:val="009E0F9E"/>
    <w:pPr>
      <w:ind w:left="720"/>
      <w:contextualSpacing/>
    </w:pPr>
  </w:style>
  <w:style w:type="character" w:styleId="IntenseEmphasis">
    <w:name w:val="Intense Emphasis"/>
    <w:basedOn w:val="DefaultParagraphFont"/>
    <w:uiPriority w:val="21"/>
    <w:qFormat/>
    <w:rsid w:val="009E0F9E"/>
    <w:rPr>
      <w:i/>
      <w:iCs/>
      <w:color w:val="0F4761" w:themeColor="accent1" w:themeShade="BF"/>
    </w:rPr>
  </w:style>
  <w:style w:type="paragraph" w:styleId="IntenseQuote">
    <w:name w:val="Intense Quote"/>
    <w:basedOn w:val="Normal"/>
    <w:next w:val="Normal"/>
    <w:link w:val="IntenseQuoteChar"/>
    <w:uiPriority w:val="30"/>
    <w:qFormat/>
    <w:rsid w:val="009E0F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0F9E"/>
    <w:rPr>
      <w:rFonts w:ascii="Times New Roman" w:eastAsiaTheme="minorHAnsi" w:hAnsi="Times New Roman" w:cs="Times New Roman"/>
      <w:i/>
      <w:iCs/>
      <w:color w:val="0F4761" w:themeColor="accent1" w:themeShade="BF"/>
      <w:spacing w:val="4"/>
      <w:w w:val="103"/>
      <w:kern w:val="14"/>
      <w:sz w:val="20"/>
      <w:szCs w:val="20"/>
      <w:lang w:val="en-GB" w:eastAsia="en-US"/>
    </w:rPr>
  </w:style>
  <w:style w:type="character" w:styleId="IntenseReference">
    <w:name w:val="Intense Reference"/>
    <w:basedOn w:val="DefaultParagraphFont"/>
    <w:uiPriority w:val="32"/>
    <w:qFormat/>
    <w:rsid w:val="009E0F9E"/>
    <w:rPr>
      <w:b/>
      <w:bCs/>
      <w:smallCaps/>
      <w:color w:val="0F4761" w:themeColor="accent1" w:themeShade="BF"/>
      <w:spacing w:val="5"/>
    </w:rPr>
  </w:style>
  <w:style w:type="paragraph" w:styleId="CommentText">
    <w:name w:val="annotation text"/>
    <w:basedOn w:val="Normal"/>
    <w:link w:val="CommentTextChar"/>
    <w:uiPriority w:val="99"/>
    <w:semiHidden/>
    <w:unhideWhenUsed/>
    <w:rsid w:val="0075404F"/>
    <w:pPr>
      <w:spacing w:line="240" w:lineRule="auto"/>
    </w:pPr>
  </w:style>
  <w:style w:type="character" w:customStyle="1" w:styleId="CommentTextChar">
    <w:name w:val="Comment Text Char"/>
    <w:basedOn w:val="DefaultParagraphFont"/>
    <w:link w:val="CommentText"/>
    <w:uiPriority w:val="99"/>
    <w:semiHidden/>
    <w:rsid w:val="0075404F"/>
    <w:rPr>
      <w:rFonts w:ascii="Times New Roman" w:eastAsiaTheme="minorHAnsi" w:hAnsi="Times New Roman" w:cs="Times New Roman"/>
      <w:spacing w:val="4"/>
      <w:w w:val="103"/>
      <w:kern w:val="14"/>
      <w:sz w:val="20"/>
      <w:szCs w:val="20"/>
      <w:lang w:val="en-GB" w:eastAsia="en-US"/>
    </w:rPr>
  </w:style>
  <w:style w:type="paragraph" w:styleId="CommentSubject">
    <w:name w:val="annotation subject"/>
    <w:basedOn w:val="CommentText"/>
    <w:next w:val="CommentText"/>
    <w:link w:val="CommentSubjectChar"/>
    <w:uiPriority w:val="99"/>
    <w:semiHidden/>
    <w:unhideWhenUsed/>
    <w:rsid w:val="0075404F"/>
    <w:rPr>
      <w:b/>
      <w:bCs/>
    </w:rPr>
  </w:style>
  <w:style w:type="character" w:customStyle="1" w:styleId="CommentSubjectChar">
    <w:name w:val="Comment Subject Char"/>
    <w:basedOn w:val="CommentTextChar"/>
    <w:link w:val="CommentSubject"/>
    <w:uiPriority w:val="99"/>
    <w:semiHidden/>
    <w:rsid w:val="0075404F"/>
    <w:rPr>
      <w:rFonts w:ascii="Times New Roman" w:eastAsiaTheme="minorHAnsi" w:hAnsi="Times New Roman" w:cs="Times New Roman"/>
      <w:b/>
      <w:bCs/>
      <w:spacing w:val="4"/>
      <w:w w:val="103"/>
      <w:kern w:val="14"/>
      <w:sz w:val="20"/>
      <w:szCs w:val="20"/>
      <w:lang w:val="en-GB" w:eastAsia="en-US"/>
    </w:rPr>
  </w:style>
  <w:style w:type="paragraph" w:styleId="Revision">
    <w:name w:val="Revision"/>
    <w:hidden/>
    <w:uiPriority w:val="99"/>
    <w:semiHidden/>
    <w:rsid w:val="00A00846"/>
    <w:pPr>
      <w:spacing w:after="0" w:line="240" w:lineRule="auto"/>
    </w:pPr>
    <w:rPr>
      <w:rFonts w:ascii="Times New Roman" w:eastAsiaTheme="minorHAnsi" w:hAnsi="Times New Roman" w:cs="Times New Roman"/>
      <w:spacing w:val="4"/>
      <w:w w:val="103"/>
      <w:kern w:val="14"/>
      <w:sz w:val="20"/>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microsoft.com/office/2018/08/relationships/commentsExtensible" Target="commentsExtensible.xml"/><Relationship Id="rId18" Type="http://schemas.openxmlformats.org/officeDocument/2006/relationships/header" Target="header3.xml"/><Relationship Id="rId26" Type="http://schemas.openxmlformats.org/officeDocument/2006/relationships/hyperlink" Target="https://docs.un.org/A/CN.9/1268" TargetMode="External"/><Relationship Id="rId39" Type="http://schemas.openxmlformats.org/officeDocument/2006/relationships/fontTable" Target="fontTable.xml"/><Relationship Id="rId21" Type="http://schemas.openxmlformats.org/officeDocument/2006/relationships/hyperlink" Target="https://docs.un.org/A/79/17" TargetMode="External"/><Relationship Id="rId34" Type="http://schemas.openxmlformats.org/officeDocument/2006/relationships/hyperlink" Target="https://docs.un.org/A/CN.9/1266"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docs.un.org/A/80/17" TargetMode="External"/><Relationship Id="rId29" Type="http://schemas.openxmlformats.org/officeDocument/2006/relationships/hyperlink" Target="https://docs.un.org/A/CN.9/1265"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24" Type="http://schemas.openxmlformats.org/officeDocument/2006/relationships/hyperlink" Target="https://docs.un.org/A/CN.9/1268" TargetMode="External"/><Relationship Id="rId32" Type="http://schemas.openxmlformats.org/officeDocument/2006/relationships/hyperlink" Target="https://docs.un.org/A/CN.9/1265" TargetMode="External"/><Relationship Id="rId37" Type="http://schemas.openxmlformats.org/officeDocument/2006/relationships/hyperlink" Target="https://docs.un.org/A/CN.9/1266" TargetMode="External"/><Relationship Id="rId40" Type="http://schemas.microsoft.com/office/2011/relationships/people" Target="people.xm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s://docs.un.org/A/CN.9/1266" TargetMode="External"/><Relationship Id="rId28" Type="http://schemas.openxmlformats.org/officeDocument/2006/relationships/hyperlink" Target="https://docs.un.org/A/CN.9/1265" TargetMode="External"/><Relationship Id="rId36" Type="http://schemas.openxmlformats.org/officeDocument/2006/relationships/hyperlink" Target="https://docs.un.org/A/CN.9/1265" TargetMode="External"/><Relationship Id="rId10" Type="http://schemas.openxmlformats.org/officeDocument/2006/relationships/comments" Target="comments.xml"/><Relationship Id="rId19" Type="http://schemas.openxmlformats.org/officeDocument/2006/relationships/footer" Target="footer3.xml"/><Relationship Id="rId31" Type="http://schemas.openxmlformats.org/officeDocument/2006/relationships/hyperlink" Target="https://docs.un.org/A/CN.9/1265"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hyperlink" Target="https://docs.un.org/A/CN.9/1265" TargetMode="External"/><Relationship Id="rId27" Type="http://schemas.openxmlformats.org/officeDocument/2006/relationships/hyperlink" Target="https://docs.un.org/A/CN.9/1265" TargetMode="External"/><Relationship Id="rId30" Type="http://schemas.openxmlformats.org/officeDocument/2006/relationships/hyperlink" Target="https://docs.un.org/A/CN.9/1265" TargetMode="External"/><Relationship Id="rId35" Type="http://schemas.openxmlformats.org/officeDocument/2006/relationships/hyperlink" Target="https://docs.un.org/A/CN.9/1266" TargetMode="External"/><Relationship Id="rId8" Type="http://schemas.openxmlformats.org/officeDocument/2006/relationships/footnotes" Target="footnotes.xml"/><Relationship Id="rId3" Type="http://schemas.openxmlformats.org/officeDocument/2006/relationships/customXml" Target="../customXml/item3.xml"/><Relationship Id="rId12" Type="http://schemas.microsoft.com/office/2016/09/relationships/commentsIds" Target="commentsIds.xml"/><Relationship Id="rId17" Type="http://schemas.openxmlformats.org/officeDocument/2006/relationships/footer" Target="footer2.xml"/><Relationship Id="rId25" Type="http://schemas.openxmlformats.org/officeDocument/2006/relationships/hyperlink" Target="https://docs.un.org/A/CN.9/1268" TargetMode="External"/><Relationship Id="rId33" Type="http://schemas.openxmlformats.org/officeDocument/2006/relationships/hyperlink" Target="https://docs.un.org/A/CN.9/1265" TargetMode="External"/><Relationship Id="rId38" Type="http://schemas.openxmlformats.org/officeDocument/2006/relationships/hyperlink" Target="https://docs.un.org/A/CN.9/1268"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hyperlink" Target="https://uncitral.un.org/en/en/content/final-call-governments-express-their-interest-host-advisory-centre-international-investment" TargetMode="External"/><Relationship Id="rId2" Type="http://schemas.openxmlformats.org/officeDocument/2006/relationships/hyperlink" Target="https://docs.un.org/A/80/17" TargetMode="External"/><Relationship Id="rId1" Type="http://schemas.openxmlformats.org/officeDocument/2006/relationships/hyperlink" Target="https://docs.un.org/A/79/17" TargetMode="External"/><Relationship Id="rId4" Type="http://schemas.openxmlformats.org/officeDocument/2006/relationships/hyperlink" Target="https://docs.un.org/A/80/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FFCA7A0ACA8B49A9EE0CDA78EB8896" ma:contentTypeVersion="17" ma:contentTypeDescription="Create a new document." ma:contentTypeScope="" ma:versionID="f3aac483502c69cb3bf8b0a8a3b503b3">
  <xsd:schema xmlns:xsd="http://www.w3.org/2001/XMLSchema" xmlns:xs="http://www.w3.org/2001/XMLSchema" xmlns:p="http://schemas.microsoft.com/office/2006/metadata/properties" xmlns:ns2="17c4900f-10c8-4596-94a2-6f844684431c" xmlns:ns3="ee85f753-bbc9-49bc-8d7c-2dc05e549737" xmlns:ns4="985ec44e-1bab-4c0b-9df0-6ba128686fc9" targetNamespace="http://schemas.microsoft.com/office/2006/metadata/properties" ma:root="true" ma:fieldsID="5ed58bb7a0fcbf8200fab0ed2e300268" ns2:_="" ns3:_="" ns4:_="">
    <xsd:import namespace="17c4900f-10c8-4596-94a2-6f844684431c"/>
    <xsd:import namespace="ee85f753-bbc9-49bc-8d7c-2dc05e549737"/>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c4900f-10c8-4596-94a2-6f84468443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85f753-bbc9-49bc-8d7c-2dc05e54973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45897b04-b85f-47e0-ac8b-0b117095b5cc}" ma:internalName="TaxCatchAll" ma:showField="CatchAllData" ma:web="ee85f753-bbc9-49bc-8d7c-2dc05e5497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17c4900f-10c8-4596-94a2-6f844684431c">
      <Terms xmlns="http://schemas.microsoft.com/office/infopath/2007/PartnerControls"/>
    </lcf76f155ced4ddcb4097134ff3c332f>
    <SharedWithUsers xmlns="ee85f753-bbc9-49bc-8d7c-2dc05e549737">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35A358-6066-4F15-8F31-A9618D0701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c4900f-10c8-4596-94a2-6f844684431c"/>
    <ds:schemaRef ds:uri="ee85f753-bbc9-49bc-8d7c-2dc05e549737"/>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E8C901-7730-4EEB-AAB3-8A6569D83BE8}">
  <ds:schemaRefs>
    <ds:schemaRef ds:uri="http://schemas.microsoft.com/office/2006/metadata/properties"/>
    <ds:schemaRef ds:uri="http://schemas.microsoft.com/office/infopath/2007/PartnerControls"/>
    <ds:schemaRef ds:uri="985ec44e-1bab-4c0b-9df0-6ba128686fc9"/>
    <ds:schemaRef ds:uri="17c4900f-10c8-4596-94a2-6f844684431c"/>
    <ds:schemaRef ds:uri="ee85f753-bbc9-49bc-8d7c-2dc05e549737"/>
  </ds:schemaRefs>
</ds:datastoreItem>
</file>

<file path=customXml/itemProps3.xml><?xml version="1.0" encoding="utf-8"?>
<ds:datastoreItem xmlns:ds="http://schemas.openxmlformats.org/officeDocument/2006/customXml" ds:itemID="{7B24CB31-0E02-4902-9154-42D8F3D94234}">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TotalTime>
  <Pages>5</Pages>
  <Words>2213</Words>
  <Characters>11885</Characters>
  <Application>Microsoft Office Word</Application>
  <DocSecurity>0</DocSecurity>
  <Lines>242</Lines>
  <Paragraphs>61</Paragraphs>
  <ScaleCrop>false</ScaleCrop>
  <Company/>
  <LinksUpToDate>false</LinksUpToDate>
  <CharactersWithSpaces>14037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Rowley</dc:creator>
  <cp:keywords/>
  <dc:description/>
  <cp:lastModifiedBy>Kevin Dooley</cp:lastModifiedBy>
  <cp:revision>3</cp:revision>
  <cp:lastPrinted>2026-06-30T07:38:00Z</cp:lastPrinted>
  <dcterms:created xsi:type="dcterms:W3CDTF">2026-06-30T07:37:00Z</dcterms:created>
  <dcterms:modified xsi:type="dcterms:W3CDTF">2026-06-30T07:38:00Z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obNo">
    <vt:lpwstr>2609512</vt:lpwstr>
  </property>
  <property fmtid="{D5CDD505-2E9C-101B-9397-08002B2CF9AE}" pid="3" name="ODSRefJobNo">
    <vt:lpwstr>2603900E</vt:lpwstr>
  </property>
  <property fmtid="{D5CDD505-2E9C-101B-9397-08002B2CF9AE}" pid="4" name="Symbol1">
    <vt:lpwstr>A/CN.9/LIX/CRP.1/Add.1</vt:lpwstr>
  </property>
  <property fmtid="{D5CDD505-2E9C-101B-9397-08002B2CF9AE}" pid="5" name="Symbol2">
    <vt:lpwstr/>
  </property>
  <property fmtid="{D5CDD505-2E9C-101B-9397-08002B2CF9AE}" pid="6" name="Translator">
    <vt:lpwstr/>
  </property>
  <property fmtid="{D5CDD505-2E9C-101B-9397-08002B2CF9AE}" pid="7" name="Operator">
    <vt:lpwstr>sr</vt:lpwstr>
  </property>
  <property fmtid="{D5CDD505-2E9C-101B-9397-08002B2CF9AE}" pid="8" name="DraftPages">
    <vt:lpwstr> </vt:lpwstr>
  </property>
  <property fmtid="{D5CDD505-2E9C-101B-9397-08002B2CF9AE}" pid="9" name="Comment">
    <vt:lpwstr/>
  </property>
  <property fmtid="{D5CDD505-2E9C-101B-9397-08002B2CF9AE}" pid="10" name="MediaServiceImageTags">
    <vt:lpwstr/>
  </property>
  <property fmtid="{D5CDD505-2E9C-101B-9397-08002B2CF9AE}" pid="11" name="ContentTypeId">
    <vt:lpwstr>0x01010017FFCA7A0ACA8B49A9EE0CDA78EB8896</vt:lpwstr>
  </property>
</Properties>
</file>