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E1366" w14:textId="77777777" w:rsidR="00252269" w:rsidRPr="00CA6785" w:rsidRDefault="00252269" w:rsidP="0095373C">
      <w:pPr>
        <w:keepNext/>
        <w:keepLines/>
        <w:spacing w:line="240" w:lineRule="auto"/>
        <w:rPr>
          <w:sz w:val="2"/>
        </w:rPr>
        <w:sectPr w:rsidR="00252269" w:rsidRPr="00CA6785" w:rsidSect="00383625">
          <w:headerReference w:type="even" r:id="rId11"/>
          <w:headerReference w:type="default" r:id="rId12"/>
          <w:footerReference w:type="even" r:id="rId13"/>
          <w:footerReference w:type="default" r:id="rId14"/>
          <w:headerReference w:type="first" r:id="rId15"/>
          <w:endnotePr>
            <w:numFmt w:val="decimal"/>
          </w:endnotePr>
          <w:pgSz w:w="11909" w:h="16834"/>
          <w:pgMar w:top="1440" w:right="1032" w:bottom="1757" w:left="1032" w:header="432" w:footer="504" w:gutter="0"/>
          <w:cols w:space="720"/>
          <w:titlePg/>
          <w:docGrid w:linePitch="360"/>
        </w:sectPr>
      </w:pPr>
    </w:p>
    <w:tbl>
      <w:tblPr>
        <w:tblW w:w="9841" w:type="dxa"/>
        <w:tblLayout w:type="fixed"/>
        <w:tblLook w:val="0000" w:firstRow="0" w:lastRow="0" w:firstColumn="0" w:lastColumn="0" w:noHBand="0" w:noVBand="0"/>
      </w:tblPr>
      <w:tblGrid>
        <w:gridCol w:w="4893"/>
        <w:gridCol w:w="288"/>
        <w:gridCol w:w="4660"/>
      </w:tblGrid>
      <w:tr w:rsidR="00252269" w:rsidRPr="00CA6785" w14:paraId="59CD269B" w14:textId="77777777" w:rsidTr="00252269">
        <w:tc>
          <w:tcPr>
            <w:tcW w:w="4893" w:type="dxa"/>
            <w:shd w:val="clear" w:color="auto" w:fill="auto"/>
          </w:tcPr>
          <w:p w14:paraId="2D0B1A87" w14:textId="77777777" w:rsidR="00252269" w:rsidRPr="00CA6785" w:rsidRDefault="00252269" w:rsidP="000D2C79">
            <w:pPr>
              <w:pStyle w:val="H1"/>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CA6785">
              <w:t>United Nations Commission on</w:t>
            </w:r>
          </w:p>
          <w:p w14:paraId="1E058B3B" w14:textId="77777777" w:rsidR="00252269" w:rsidRPr="00CA6785" w:rsidRDefault="00252269" w:rsidP="000D2C79">
            <w:pPr>
              <w:pStyle w:val="H1"/>
              <w:ind w:left="0" w:firstLine="0"/>
            </w:pPr>
            <w:r w:rsidRPr="00CA6785">
              <w:t>International Trade Law</w:t>
            </w:r>
          </w:p>
          <w:p w14:paraId="22B82953" w14:textId="77777777" w:rsidR="003E53D8" w:rsidRPr="00CA6785" w:rsidRDefault="003E53D8" w:rsidP="0095373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bookmarkStart w:id="0" w:name="_Toc37248987"/>
            <w:bookmarkStart w:id="1" w:name="_Toc39607751"/>
            <w:r w:rsidRPr="00CA6785">
              <w:t xml:space="preserve">Working Group III (Investor-State Dispute Settlement Reform) </w:t>
            </w:r>
          </w:p>
          <w:p w14:paraId="609F961F" w14:textId="21AA56F5" w:rsidR="003E53D8" w:rsidRPr="00CA6785" w:rsidRDefault="003E53D8" w:rsidP="0095373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pPr>
            <w:r w:rsidRPr="00CA6785">
              <w:t>Fortieth session (resumed)</w:t>
            </w:r>
          </w:p>
          <w:p w14:paraId="55BB1646" w14:textId="42F829C4" w:rsidR="00252269" w:rsidRPr="00CA6785" w:rsidRDefault="003E53D8" w:rsidP="0095373C">
            <w:pPr>
              <w:pStyle w:val="H23"/>
              <w:tabs>
                <w:tab w:val="clear" w:pos="1022"/>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firstLine="0"/>
              <w:rPr>
                <w:b w:val="0"/>
                <w:bCs/>
              </w:rPr>
            </w:pPr>
            <w:bookmarkStart w:id="2" w:name="_Toc37248988"/>
            <w:bookmarkStart w:id="3" w:name="_Toc39607752"/>
            <w:bookmarkEnd w:id="0"/>
            <w:bookmarkEnd w:id="1"/>
            <w:r w:rsidRPr="00CA6785">
              <w:rPr>
                <w:b w:val="0"/>
                <w:bCs/>
              </w:rPr>
              <w:t>Vienna, Online, [4-5] May 2021</w:t>
            </w:r>
            <w:bookmarkEnd w:id="2"/>
            <w:bookmarkEnd w:id="3"/>
            <w:r w:rsidR="00965622" w:rsidRPr="00CA6785">
              <w:rPr>
                <w:b w:val="0"/>
                <w:bCs/>
              </w:rPr>
              <w:t>(TBC)</w:t>
            </w:r>
          </w:p>
        </w:tc>
        <w:tc>
          <w:tcPr>
            <w:tcW w:w="288" w:type="dxa"/>
            <w:shd w:val="clear" w:color="auto" w:fill="auto"/>
          </w:tcPr>
          <w:p w14:paraId="05524BFB" w14:textId="77777777" w:rsidR="00252269" w:rsidRPr="00CA6785" w:rsidRDefault="00252269" w:rsidP="0095373C">
            <w:pPr>
              <w:pStyle w:val="H1"/>
              <w:ind w:left="0" w:firstLine="0"/>
            </w:pPr>
          </w:p>
        </w:tc>
        <w:tc>
          <w:tcPr>
            <w:tcW w:w="4660" w:type="dxa"/>
            <w:shd w:val="clear" w:color="auto" w:fill="auto"/>
          </w:tcPr>
          <w:p w14:paraId="413999C6" w14:textId="77777777" w:rsidR="00252269" w:rsidRPr="00CA6785" w:rsidRDefault="00252269" w:rsidP="0095373C">
            <w:pPr>
              <w:pStyle w:val="H1"/>
              <w:ind w:left="0" w:firstLine="0"/>
            </w:pPr>
          </w:p>
        </w:tc>
      </w:tr>
      <w:tr w:rsidR="00252269" w:rsidRPr="00CA6785" w14:paraId="40F158D5" w14:textId="77777777" w:rsidTr="00252269">
        <w:tc>
          <w:tcPr>
            <w:tcW w:w="4893" w:type="dxa"/>
            <w:shd w:val="clear" w:color="auto" w:fill="auto"/>
          </w:tcPr>
          <w:p w14:paraId="2E4EF4CE" w14:textId="77777777" w:rsidR="00252269" w:rsidRPr="00CA6785" w:rsidRDefault="00252269" w:rsidP="000D2C79">
            <w:pPr>
              <w:pStyle w:val="H1"/>
              <w:ind w:left="0" w:firstLine="0"/>
            </w:pPr>
          </w:p>
        </w:tc>
        <w:tc>
          <w:tcPr>
            <w:tcW w:w="288" w:type="dxa"/>
            <w:shd w:val="clear" w:color="auto" w:fill="auto"/>
          </w:tcPr>
          <w:p w14:paraId="26125D47" w14:textId="77777777" w:rsidR="00252269" w:rsidRPr="00CA6785" w:rsidRDefault="00252269" w:rsidP="000D2C79">
            <w:pPr>
              <w:pStyle w:val="H1"/>
              <w:ind w:left="0" w:firstLine="0"/>
            </w:pPr>
          </w:p>
        </w:tc>
        <w:tc>
          <w:tcPr>
            <w:tcW w:w="4660" w:type="dxa"/>
            <w:shd w:val="clear" w:color="auto" w:fill="auto"/>
          </w:tcPr>
          <w:p w14:paraId="2991297D" w14:textId="77777777" w:rsidR="00252269" w:rsidRPr="00CA6785" w:rsidRDefault="00252269" w:rsidP="0095373C">
            <w:pPr>
              <w:pStyle w:val="H1"/>
              <w:ind w:left="0" w:firstLine="0"/>
            </w:pPr>
          </w:p>
        </w:tc>
      </w:tr>
    </w:tbl>
    <w:p w14:paraId="05E9B49B" w14:textId="0430E44D" w:rsidR="002430C5" w:rsidRPr="00CA6785" w:rsidRDefault="002430C5" w:rsidP="008E2513">
      <w:pPr>
        <w:pStyle w:val="SingleTxt"/>
        <w:keepNext/>
        <w:keepLines/>
        <w:spacing w:after="0" w:line="120" w:lineRule="atLeast"/>
        <w:rPr>
          <w:sz w:val="10"/>
        </w:rPr>
      </w:pPr>
    </w:p>
    <w:p w14:paraId="41A4D664" w14:textId="449469E5" w:rsidR="002430C5" w:rsidRPr="00CA6785" w:rsidRDefault="002430C5" w:rsidP="000D2C79">
      <w:pPr>
        <w:pStyle w:val="HCh"/>
        <w:ind w:left="1267" w:right="1260" w:hanging="1267"/>
      </w:pPr>
      <w:bookmarkStart w:id="4" w:name="_Toc37248989"/>
      <w:bookmarkStart w:id="5" w:name="_Toc39607753"/>
      <w:r w:rsidRPr="00CA6785">
        <w:tab/>
      </w:r>
      <w:r w:rsidRPr="00CA6785">
        <w:tab/>
      </w:r>
      <w:r w:rsidR="003E53D8" w:rsidRPr="00CA6785">
        <w:t xml:space="preserve">Work </w:t>
      </w:r>
      <w:r w:rsidR="006B5CBD" w:rsidRPr="00CA6785">
        <w:t xml:space="preserve">and resourcing </w:t>
      </w:r>
      <w:r w:rsidR="003E53D8" w:rsidRPr="00CA6785">
        <w:t xml:space="preserve">plan </w:t>
      </w:r>
      <w:r w:rsidRPr="00CA6785">
        <w:t>to implement investor-State dispute settlement (ISDS) reform</w:t>
      </w:r>
      <w:bookmarkEnd w:id="4"/>
      <w:bookmarkEnd w:id="5"/>
      <w:r w:rsidRPr="00CA6785">
        <w:t xml:space="preserve"> </w:t>
      </w:r>
      <w:r w:rsidR="003E53D8" w:rsidRPr="00CA6785">
        <w:t>and resource requirements</w:t>
      </w:r>
    </w:p>
    <w:p w14:paraId="0155D12E" w14:textId="544670CE" w:rsidR="001825A6" w:rsidRPr="00CA6785" w:rsidRDefault="001825A6" w:rsidP="008E2513">
      <w:pPr>
        <w:pStyle w:val="SingleTxt"/>
        <w:keepNext/>
        <w:keepLines/>
        <w:spacing w:after="0" w:line="120" w:lineRule="atLeast"/>
        <w:rPr>
          <w:sz w:val="10"/>
        </w:rPr>
      </w:pPr>
    </w:p>
    <w:p w14:paraId="2D62774A" w14:textId="358718C4" w:rsidR="001825A6" w:rsidRPr="00CA6785" w:rsidRDefault="001825A6" w:rsidP="008E2513">
      <w:pPr>
        <w:pStyle w:val="SingleTxt"/>
        <w:keepNext/>
        <w:keepLines/>
        <w:spacing w:after="0" w:line="120" w:lineRule="atLeast"/>
        <w:rPr>
          <w:sz w:val="10"/>
        </w:rPr>
      </w:pPr>
    </w:p>
    <w:p w14:paraId="1ACDEA9A" w14:textId="28685381" w:rsidR="001825A6" w:rsidRPr="00CA6785" w:rsidRDefault="001825A6" w:rsidP="000D2C79">
      <w:pPr>
        <w:pStyle w:val="H1"/>
        <w:ind w:left="1267" w:right="1260" w:hanging="1267"/>
      </w:pPr>
      <w:r w:rsidRPr="00CA6785">
        <w:tab/>
      </w:r>
      <w:r w:rsidRPr="00CA6785">
        <w:tab/>
        <w:t>Note by the Secretariat</w:t>
      </w:r>
    </w:p>
    <w:p w14:paraId="59A38252" w14:textId="77777777" w:rsidR="002430C5" w:rsidRPr="00CA6785" w:rsidRDefault="002430C5" w:rsidP="008E2513">
      <w:pPr>
        <w:pStyle w:val="SingleTxt"/>
        <w:keepNext/>
        <w:keepLines/>
        <w:spacing w:after="0" w:line="120" w:lineRule="atLeast"/>
        <w:rPr>
          <w:b/>
          <w:sz w:val="10"/>
        </w:rPr>
      </w:pPr>
    </w:p>
    <w:p w14:paraId="48491354" w14:textId="77777777" w:rsidR="002430C5" w:rsidRPr="00CA6785" w:rsidRDefault="002430C5" w:rsidP="008E2513">
      <w:pPr>
        <w:pStyle w:val="SingleTxt"/>
        <w:keepNext/>
        <w:keepLines/>
        <w:spacing w:after="0" w:line="120" w:lineRule="atLeast"/>
        <w:rPr>
          <w:b/>
          <w:sz w:val="10"/>
        </w:rPr>
      </w:pPr>
    </w:p>
    <w:p w14:paraId="1B53E9D9" w14:textId="6915CB1A" w:rsidR="002430C5" w:rsidRPr="00CA6785" w:rsidRDefault="002430C5" w:rsidP="000D2C79">
      <w:pPr>
        <w:pStyle w:val="HCh"/>
        <w:spacing w:line="120" w:lineRule="atLeast"/>
        <w:rPr>
          <w:b w:val="0"/>
        </w:rPr>
      </w:pPr>
    </w:p>
    <w:p w14:paraId="71A4CF1F" w14:textId="6352CABB" w:rsidR="000D7D65" w:rsidRPr="00CA6785" w:rsidRDefault="000D7D65"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i/>
          <w:iCs/>
          <w:sz w:val="22"/>
          <w:szCs w:val="22"/>
        </w:rPr>
      </w:pPr>
      <w:r w:rsidRPr="00CA6785">
        <w:rPr>
          <w:i/>
          <w:iCs/>
          <w:sz w:val="22"/>
          <w:szCs w:val="22"/>
        </w:rPr>
        <w:t xml:space="preserve">Pursuant to the agreement reached at the thirty-ninth session, this note (in English, French and Spanish – not official translation) contains an initial draft of a work </w:t>
      </w:r>
      <w:r w:rsidR="00965622" w:rsidRPr="00CA6785">
        <w:rPr>
          <w:i/>
          <w:iCs/>
          <w:sz w:val="22"/>
          <w:szCs w:val="22"/>
        </w:rPr>
        <w:t>and</w:t>
      </w:r>
      <w:r w:rsidRPr="00CA6785">
        <w:rPr>
          <w:i/>
          <w:iCs/>
          <w:sz w:val="22"/>
          <w:szCs w:val="22"/>
        </w:rPr>
        <w:t xml:space="preserve"> resourcing plan for comments by all delegations of the Working Group </w:t>
      </w:r>
      <w:r w:rsidRPr="00CA6785">
        <w:rPr>
          <w:i/>
          <w:iCs/>
          <w:sz w:val="22"/>
          <w:szCs w:val="22"/>
          <w:u w:val="single"/>
        </w:rPr>
        <w:t>by 1 March 2021.</w:t>
      </w:r>
      <w:r w:rsidRPr="00CA6785">
        <w:rPr>
          <w:i/>
          <w:iCs/>
          <w:sz w:val="22"/>
          <w:szCs w:val="22"/>
        </w:rPr>
        <w:t xml:space="preserve"> To facilitate the written-comment stage, the chair and the rapporteur intend to hold </w:t>
      </w:r>
      <w:proofErr w:type="gramStart"/>
      <w:r w:rsidRPr="00CA6785">
        <w:rPr>
          <w:i/>
          <w:iCs/>
          <w:sz w:val="22"/>
          <w:szCs w:val="22"/>
        </w:rPr>
        <w:t>a number of</w:t>
      </w:r>
      <w:proofErr w:type="gramEnd"/>
      <w:r w:rsidRPr="00CA6785">
        <w:rPr>
          <w:i/>
          <w:iCs/>
          <w:sz w:val="22"/>
          <w:szCs w:val="22"/>
        </w:rPr>
        <w:t xml:space="preserve"> informal explanatory sessions about the initial draft. The chair and the rapporteur will review comments received from delegations and prepare a revised draft of the Plan by </w:t>
      </w:r>
      <w:r w:rsidR="00965622" w:rsidRPr="00CA6785">
        <w:rPr>
          <w:i/>
          <w:iCs/>
          <w:sz w:val="22"/>
          <w:szCs w:val="22"/>
        </w:rPr>
        <w:t>mid-</w:t>
      </w:r>
      <w:r w:rsidRPr="00CA6785">
        <w:rPr>
          <w:i/>
          <w:iCs/>
          <w:sz w:val="22"/>
          <w:szCs w:val="22"/>
        </w:rPr>
        <w:t>March.</w:t>
      </w:r>
    </w:p>
    <w:p w14:paraId="5AAADD55" w14:textId="1FC3F66F" w:rsidR="000D7D65" w:rsidRPr="00CA6785" w:rsidRDefault="000D7D65"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i/>
          <w:iCs/>
          <w:sz w:val="22"/>
          <w:szCs w:val="22"/>
        </w:rPr>
      </w:pPr>
      <w:r w:rsidRPr="00CA6785">
        <w:rPr>
          <w:i/>
          <w:iCs/>
          <w:sz w:val="22"/>
          <w:szCs w:val="22"/>
        </w:rPr>
        <w:t>The revised Plan will be submitted for consideration and approval by the Working Group at its resumed fortieth session in May</w:t>
      </w:r>
      <w:r w:rsidR="00965622" w:rsidRPr="00CA6785">
        <w:rPr>
          <w:i/>
          <w:iCs/>
          <w:sz w:val="22"/>
          <w:szCs w:val="22"/>
        </w:rPr>
        <w:t>.</w:t>
      </w:r>
      <w:r w:rsidRPr="00CA6785">
        <w:rPr>
          <w:i/>
          <w:iCs/>
          <w:sz w:val="22"/>
          <w:szCs w:val="22"/>
        </w:rPr>
        <w:t xml:space="preserve"> The Plan would then be revised to reflect the deliberations and decisions by the Working Group and subsequently </w:t>
      </w:r>
      <w:r w:rsidR="00965622" w:rsidRPr="00CA6785">
        <w:rPr>
          <w:i/>
          <w:iCs/>
          <w:sz w:val="22"/>
          <w:szCs w:val="22"/>
        </w:rPr>
        <w:t xml:space="preserve">be </w:t>
      </w:r>
      <w:r w:rsidRPr="00CA6785">
        <w:rPr>
          <w:i/>
          <w:iCs/>
          <w:sz w:val="22"/>
          <w:szCs w:val="22"/>
        </w:rPr>
        <w:t xml:space="preserve">submitted to the Commission for its consideration. </w:t>
      </w:r>
    </w:p>
    <w:p w14:paraId="34D8864C" w14:textId="77777777" w:rsidR="000D7D65" w:rsidRPr="00CA6785" w:rsidRDefault="000D7D65" w:rsidP="008E2513">
      <w:pPr>
        <w:pStyle w:val="SingleTxt"/>
        <w:keepNext/>
        <w:keepLines/>
      </w:pPr>
    </w:p>
    <w:p w14:paraId="1649BB8F" w14:textId="25AD0B08" w:rsidR="00A3665D" w:rsidRPr="00CA6785" w:rsidRDefault="00A3665D" w:rsidP="008E2513">
      <w:pPr>
        <w:keepNext/>
        <w:keepLines/>
        <w:suppressAutoHyphens w:val="0"/>
        <w:spacing w:after="200" w:line="276" w:lineRule="auto"/>
      </w:pPr>
      <w:r w:rsidRPr="00CA6785">
        <w:br w:type="page"/>
      </w:r>
    </w:p>
    <w:p w14:paraId="388AB61F" w14:textId="1CF0DC9C" w:rsidR="00A3665D" w:rsidRPr="00CA6785" w:rsidRDefault="00A3665D" w:rsidP="000D2C79">
      <w:pPr>
        <w:pStyle w:val="HCh"/>
        <w:ind w:left="1267" w:right="1260" w:hanging="1267"/>
      </w:pPr>
      <w:r w:rsidRPr="00CA6785">
        <w:lastRenderedPageBreak/>
        <w:tab/>
      </w:r>
      <w:bookmarkStart w:id="6" w:name="_Toc39607755"/>
      <w:r w:rsidRPr="00CA6785">
        <w:t>I.</w:t>
      </w:r>
      <w:r w:rsidRPr="00CA6785">
        <w:tab/>
        <w:t>Introduction</w:t>
      </w:r>
      <w:bookmarkEnd w:id="6"/>
    </w:p>
    <w:p w14:paraId="5F4C00F8" w14:textId="01CE220F" w:rsidR="00A3665D" w:rsidRPr="00CA6785" w:rsidRDefault="00A3665D" w:rsidP="008E2513">
      <w:pPr>
        <w:pStyle w:val="SingleTxt"/>
        <w:keepNext/>
        <w:keepLines/>
        <w:spacing w:after="0" w:line="120" w:lineRule="atLeast"/>
        <w:rPr>
          <w:sz w:val="10"/>
        </w:rPr>
      </w:pPr>
    </w:p>
    <w:p w14:paraId="5BFD4581" w14:textId="1E605E94" w:rsidR="00A3665D" w:rsidRPr="00CA6785" w:rsidRDefault="00A3665D" w:rsidP="008E2513">
      <w:pPr>
        <w:pStyle w:val="SingleTxt"/>
        <w:keepNext/>
        <w:keepLines/>
        <w:spacing w:after="0" w:line="120" w:lineRule="atLeast"/>
        <w:rPr>
          <w:sz w:val="10"/>
        </w:rPr>
      </w:pPr>
    </w:p>
    <w:p w14:paraId="587090AB" w14:textId="55341D87" w:rsidR="00F70F8F" w:rsidRPr="00CA6785" w:rsidRDefault="00246FD6" w:rsidP="008E2513">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 xml:space="preserve">The Working Group may wish to recall that at its thirty-seventh session in April 2019, it had considered </w:t>
      </w:r>
      <w:proofErr w:type="gramStart"/>
      <w:r w:rsidRPr="00CA6785">
        <w:t>a number of</w:t>
      </w:r>
      <w:proofErr w:type="gramEnd"/>
      <w:r w:rsidRPr="00CA6785">
        <w:t xml:space="preserve"> proposals for a workplan and had agreed to discuss, elaborate and develop multiple potential reform solutions simultaneously. </w:t>
      </w:r>
      <w:r w:rsidR="00DF1FA0" w:rsidRPr="00CA6785">
        <w:t xml:space="preserve">The Working Group </w:t>
      </w:r>
      <w:r w:rsidR="00F70F8F" w:rsidRPr="00CA6785">
        <w:t xml:space="preserve">had </w:t>
      </w:r>
      <w:r w:rsidRPr="00CA6785">
        <w:t>further agreed that a project schedule should be prepared to move the proposed solutions forward in parallel, to the maximum extent of the Working Group’s capacity and in light of the tools available (A/CN.9/970, para. 81). Accordingly, a project schedule was agreed by the Working Group at its thirty-eighth session in October 2009 (A/CN.9/1004*, para</w:t>
      </w:r>
      <w:r w:rsidR="00902A56" w:rsidRPr="00CA6785">
        <w:t>s</w:t>
      </w:r>
      <w:r w:rsidRPr="00CA6785">
        <w:t>. 25 and 27). During the deliberations, the Working Group considered different means to implement the project schedule as outlined in document A/CN.9/WG.III/WP.158</w:t>
      </w:r>
      <w:r w:rsidR="00F70F8F" w:rsidRPr="00CA6785">
        <w:t xml:space="preserve">. It was </w:t>
      </w:r>
      <w:r w:rsidR="00DF1FA0" w:rsidRPr="00CA6785">
        <w:t xml:space="preserve">agreed that </w:t>
      </w:r>
      <w:r w:rsidR="00F70F8F" w:rsidRPr="00CA6785">
        <w:t>the Working Group</w:t>
      </w:r>
      <w:r w:rsidR="00DF1FA0" w:rsidRPr="00CA6785">
        <w:t xml:space="preserve"> would consider the use of means and tools to enhance the efficient use of its conference time, when appropriate and in accordance with the practice of UNCITRAL</w:t>
      </w:r>
      <w:r w:rsidR="00F70F8F" w:rsidRPr="00CA6785">
        <w:t>, particularly in light of the complexity of the project and the need to develop multiple reform options.</w:t>
      </w:r>
      <w:r w:rsidR="002A2F68" w:rsidRPr="00CA6785">
        <w:t xml:space="preserve"> </w:t>
      </w:r>
    </w:p>
    <w:p w14:paraId="21ED6014" w14:textId="62E8E87A" w:rsidR="00246FD6" w:rsidRPr="00CA6785" w:rsidRDefault="00DF1FA0" w:rsidP="008E2513">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The Working Group further agreed that such tools could include informal meetings on the margins of Commission and Working Group sessions, drafting groups, colloquiums, joint meetings with other international organizations, intersessional meetings, and further interactions with the Academic Forum and the Practitioners’ Group</w:t>
      </w:r>
      <w:r w:rsidR="00F70F8F" w:rsidRPr="00CA6785">
        <w:t xml:space="preserve"> (A/CN.9/970, para. 58)</w:t>
      </w:r>
      <w:r w:rsidRPr="00CA6785">
        <w:t>.</w:t>
      </w:r>
      <w:r w:rsidR="002A2F68" w:rsidRPr="00CA6785">
        <w:t xml:space="preserve"> </w:t>
      </w:r>
    </w:p>
    <w:p w14:paraId="01DCDAF2" w14:textId="4B2F5A90" w:rsidR="001E683C" w:rsidRPr="00CA6785" w:rsidRDefault="00DF1FA0" w:rsidP="008E2513">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 xml:space="preserve">The Working Group was scheduled to consider, at its thirty-ninth session in the first half of 2020, among other things, how to plan its future work and whether to request additional session time from the Commission given its workload. However, that session could not take place as scheduled due to the COVID-19 pandemic. Instead, </w:t>
      </w:r>
      <w:proofErr w:type="gramStart"/>
      <w:r w:rsidRPr="00CA6785">
        <w:t>a number of</w:t>
      </w:r>
      <w:proofErr w:type="gramEnd"/>
      <w:r w:rsidRPr="00CA6785">
        <w:t xml:space="preserve"> informal consultations were conducted prior to the fifty-third session of the Commission on how to implement the work of the Working Group.</w:t>
      </w:r>
      <w:r w:rsidR="002A2F68" w:rsidRPr="00CA6785">
        <w:t xml:space="preserve"> </w:t>
      </w:r>
      <w:r w:rsidRPr="00CA6785">
        <w:t xml:space="preserve"> </w:t>
      </w:r>
    </w:p>
    <w:p w14:paraId="55D55DBC" w14:textId="36EA0572" w:rsidR="003E53D8" w:rsidRPr="00CA6785" w:rsidRDefault="00DF1FA0" w:rsidP="008E2513">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At</w:t>
      </w:r>
      <w:r w:rsidR="003E53D8" w:rsidRPr="00CA6785">
        <w:t xml:space="preserve"> its fifty-third session, the Commission considered the resource requirements for the implementation of the work programme with respect to investor-State dispute settlement </w:t>
      </w:r>
      <w:r w:rsidR="00C33C6B" w:rsidRPr="00CA6785">
        <w:t xml:space="preserve">(ISDS) </w:t>
      </w:r>
      <w:r w:rsidR="003E53D8" w:rsidRPr="00CA6785">
        <w:t xml:space="preserve">reform </w:t>
      </w:r>
      <w:r w:rsidR="00C33C6B" w:rsidRPr="00CA6785">
        <w:t xml:space="preserve">(referred to </w:t>
      </w:r>
      <w:r w:rsidR="00B56A03" w:rsidRPr="00CA6785">
        <w:t xml:space="preserve">below </w:t>
      </w:r>
      <w:r w:rsidR="00C33C6B" w:rsidRPr="00CA6785">
        <w:t>as the “ISDS Project”</w:t>
      </w:r>
      <w:r w:rsidR="00B56A03" w:rsidRPr="00CA6785">
        <w:t>)</w:t>
      </w:r>
      <w:r w:rsidR="00C33C6B" w:rsidRPr="00CA6785">
        <w:t xml:space="preserve"> </w:t>
      </w:r>
      <w:r w:rsidR="003E53D8" w:rsidRPr="00CA6785">
        <w:t>based on a note by the Secretariat (A/CN.9/1011).</w:t>
      </w:r>
      <w:r w:rsidR="00B56A03" w:rsidRPr="00CA6785">
        <w:rPr>
          <w:vertAlign w:val="superscript"/>
        </w:rPr>
        <w:footnoteReference w:id="1"/>
      </w:r>
      <w:r w:rsidR="003E53D8" w:rsidRPr="00CA6785">
        <w:t xml:space="preserve"> Due to the limited time</w:t>
      </w:r>
      <w:r w:rsidR="00CD78F5" w:rsidRPr="00CA6785">
        <w:t xml:space="preserve"> available at that session</w:t>
      </w:r>
      <w:r w:rsidR="00B56A03" w:rsidRPr="00CA6785">
        <w:t xml:space="preserve"> and divergence in views</w:t>
      </w:r>
      <w:r w:rsidR="003E53D8" w:rsidRPr="00CA6785">
        <w:t>, the Commission was not able to come to a consensus on a proposed way forward and agreed that the topic would be considered at its session in 2021. In the meantime, the Commission encouraged the Working Group to continue to make progress on its mandate.</w:t>
      </w:r>
      <w:r w:rsidR="00B56A03" w:rsidRPr="00CA6785">
        <w:rPr>
          <w:vertAlign w:val="superscript"/>
        </w:rPr>
        <w:footnoteReference w:id="2"/>
      </w:r>
      <w:r w:rsidR="002A2F68" w:rsidRPr="00CA6785">
        <w:rPr>
          <w:vertAlign w:val="superscript"/>
        </w:rPr>
        <w:t xml:space="preserve"> </w:t>
      </w:r>
    </w:p>
    <w:p w14:paraId="6BE43939" w14:textId="010DFB43" w:rsidR="00CD78F5" w:rsidRPr="00CA6785" w:rsidRDefault="00CD78F5" w:rsidP="008E2513">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The Working Group, at its thirty-ninth session</w:t>
      </w:r>
      <w:r w:rsidR="00B56A03" w:rsidRPr="00CA6785">
        <w:t xml:space="preserve"> in October 2020</w:t>
      </w:r>
      <w:r w:rsidRPr="00CA6785">
        <w:t xml:space="preserve">, agreed on </w:t>
      </w:r>
      <w:r w:rsidR="00DF1FA0" w:rsidRPr="00CA6785">
        <w:t>the</w:t>
      </w:r>
      <w:r w:rsidRPr="00CA6785">
        <w:t xml:space="preserve"> process to develop a work </w:t>
      </w:r>
      <w:r w:rsidR="00DF1FA0" w:rsidRPr="00CA6785">
        <w:t>a</w:t>
      </w:r>
      <w:r w:rsidR="00D405C1" w:rsidRPr="00CA6785">
        <w:t xml:space="preserve">nd </w:t>
      </w:r>
      <w:r w:rsidRPr="00CA6785">
        <w:t>resourcing plan</w:t>
      </w:r>
      <w:r w:rsidR="00D405C1" w:rsidRPr="00CA6785">
        <w:t xml:space="preserve"> to support </w:t>
      </w:r>
      <w:r w:rsidR="00DF1FA0" w:rsidRPr="00CA6785">
        <w:t>its</w:t>
      </w:r>
      <w:r w:rsidR="00D405C1" w:rsidRPr="00CA6785">
        <w:t xml:space="preserve"> work</w:t>
      </w:r>
      <w:r w:rsidRPr="00CA6785">
        <w:t xml:space="preserve"> (</w:t>
      </w:r>
      <w:r w:rsidR="00D405C1" w:rsidRPr="00CA6785">
        <w:t xml:space="preserve">together, </w:t>
      </w:r>
      <w:r w:rsidRPr="00CA6785">
        <w:t>the “Plan”)</w:t>
      </w:r>
      <w:r w:rsidR="00D405C1" w:rsidRPr="00CA6785">
        <w:t>:</w:t>
      </w:r>
      <w:r w:rsidRPr="00CA6785">
        <w:t xml:space="preserve"> (A/CN.9/10</w:t>
      </w:r>
      <w:r w:rsidR="000D7D65" w:rsidRPr="00CA6785">
        <w:t>4</w:t>
      </w:r>
      <w:r w:rsidRPr="00CA6785">
        <w:t xml:space="preserve">4, para. 113). </w:t>
      </w:r>
      <w:r w:rsidR="00D405C1" w:rsidRPr="00CA6785">
        <w:t xml:space="preserve">Delegations </w:t>
      </w:r>
      <w:r w:rsidRPr="00CA6785">
        <w:t xml:space="preserve">interested in </w:t>
      </w:r>
      <w:r w:rsidR="00D405C1" w:rsidRPr="00CA6785">
        <w:t xml:space="preserve">participating in the development of </w:t>
      </w:r>
      <w:r w:rsidRPr="00CA6785">
        <w:t>an initial draft of</w:t>
      </w:r>
      <w:r w:rsidR="002A2F68" w:rsidRPr="00CA6785">
        <w:t xml:space="preserve"> </w:t>
      </w:r>
      <w:r w:rsidR="00DF1FA0" w:rsidRPr="00CA6785">
        <w:t xml:space="preserve">the work plan </w:t>
      </w:r>
      <w:r w:rsidR="00D405C1" w:rsidRPr="00CA6785">
        <w:t xml:space="preserve">identified themselves </w:t>
      </w:r>
      <w:r w:rsidR="00C33C6B" w:rsidRPr="00CA6785">
        <w:t>in November 2020</w:t>
      </w:r>
      <w:r w:rsidRPr="00CA6785">
        <w:t xml:space="preserve">. </w:t>
      </w:r>
      <w:r w:rsidR="00C33C6B" w:rsidRPr="00CA6785">
        <w:t>With the support of the Secretariat, t</w:t>
      </w:r>
      <w:r w:rsidRPr="00CA6785">
        <w:t xml:space="preserve">he chair and the rapporteur worked with all such delegations </w:t>
      </w:r>
      <w:r w:rsidR="00B56A03" w:rsidRPr="00CA6785">
        <w:t xml:space="preserve">from November 2020 to January 2021 </w:t>
      </w:r>
      <w:r w:rsidR="00C33C6B" w:rsidRPr="00CA6785">
        <w:t>to prepare an initial draft</w:t>
      </w:r>
      <w:r w:rsidR="00667EC1" w:rsidRPr="00CA6785">
        <w:t xml:space="preserve">. </w:t>
      </w:r>
      <w:r w:rsidR="00E720F1" w:rsidRPr="00CA6785">
        <w:t>The Secretariat also coordinated closely with the Department for General Assembly and Conference Management (DGACM) during the same period.</w:t>
      </w:r>
    </w:p>
    <w:p w14:paraId="1B8519D1" w14:textId="19EE7D53" w:rsidR="00DF1FA0" w:rsidRPr="00CA6785" w:rsidRDefault="00DF1FA0"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p>
    <w:p w14:paraId="5D57F797" w14:textId="19C0519A" w:rsidR="009C11F9" w:rsidRPr="00CA6785" w:rsidRDefault="009C11F9"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sectPr w:rsidR="009C11F9" w:rsidRPr="00CA6785" w:rsidSect="00383625">
          <w:endnotePr>
            <w:numFmt w:val="decimal"/>
          </w:endnotePr>
          <w:type w:val="continuous"/>
          <w:pgSz w:w="11909" w:h="16834"/>
          <w:pgMar w:top="1440" w:right="1032" w:bottom="1151" w:left="1032" w:header="432" w:footer="504" w:gutter="0"/>
          <w:cols w:space="720"/>
          <w:noEndnote/>
          <w:docGrid w:linePitch="360"/>
        </w:sectPr>
      </w:pPr>
    </w:p>
    <w:p w14:paraId="4F40DED3" w14:textId="3AF73FEE" w:rsidR="006F67F9" w:rsidRPr="00CA6785" w:rsidRDefault="006F67F9" w:rsidP="000D2C79">
      <w:pPr>
        <w:pStyle w:val="HCh"/>
        <w:ind w:left="1267" w:right="1260" w:hanging="1267"/>
      </w:pPr>
      <w:r w:rsidRPr="00CA6785">
        <w:lastRenderedPageBreak/>
        <w:tab/>
        <w:t>II.</w:t>
      </w:r>
      <w:r w:rsidRPr="00CA6785">
        <w:tab/>
      </w:r>
      <w:r w:rsidR="00667EC1" w:rsidRPr="00CA6785">
        <w:t>W</w:t>
      </w:r>
      <w:r w:rsidRPr="00CA6785">
        <w:t xml:space="preserve">ork </w:t>
      </w:r>
      <w:r w:rsidR="00667EC1" w:rsidRPr="00CA6785">
        <w:t>P</w:t>
      </w:r>
      <w:r w:rsidRPr="00CA6785">
        <w:t>lan</w:t>
      </w:r>
      <w:r w:rsidR="002A2F68" w:rsidRPr="00CA6785">
        <w:t xml:space="preserve"> </w:t>
      </w:r>
    </w:p>
    <w:p w14:paraId="76467D69" w14:textId="040FA72E" w:rsidR="006F67F9" w:rsidRPr="00CA6785" w:rsidRDefault="006F67F9" w:rsidP="008E2513">
      <w:pPr>
        <w:pStyle w:val="SingleTxt"/>
        <w:keepNext/>
        <w:keepLines/>
        <w:spacing w:after="0" w:line="120" w:lineRule="atLeast"/>
        <w:ind w:left="0"/>
        <w:rPr>
          <w:sz w:val="10"/>
        </w:rPr>
      </w:pPr>
    </w:p>
    <w:p w14:paraId="2DAFBF86" w14:textId="77777777" w:rsidR="00150878" w:rsidRPr="00CA6785" w:rsidRDefault="00150878"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 w:val="24"/>
          <w:szCs w:val="24"/>
        </w:rPr>
      </w:pPr>
    </w:p>
    <w:p w14:paraId="5DEDDF40" w14:textId="06C70D2E" w:rsidR="00150878" w:rsidRPr="00CA6785" w:rsidRDefault="00667EC1"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
          <w:bCs/>
          <w:sz w:val="22"/>
          <w:szCs w:val="22"/>
        </w:rPr>
      </w:pPr>
      <w:r w:rsidRPr="00CA6785">
        <w:rPr>
          <w:b/>
          <w:bCs/>
          <w:sz w:val="22"/>
          <w:szCs w:val="22"/>
        </w:rPr>
        <w:t>1. Schedule of work</w:t>
      </w:r>
      <w:r w:rsidR="002A2F68" w:rsidRPr="00CA6785">
        <w:rPr>
          <w:b/>
          <w:bCs/>
          <w:sz w:val="22"/>
          <w:szCs w:val="22"/>
        </w:rPr>
        <w:t xml:space="preserve"> </w:t>
      </w:r>
    </w:p>
    <w:tbl>
      <w:tblPr>
        <w:tblW w:w="5002" w:type="pct"/>
        <w:tblLook w:val="04A0" w:firstRow="1" w:lastRow="0" w:firstColumn="1" w:lastColumn="0" w:noHBand="0" w:noVBand="1"/>
      </w:tblPr>
      <w:tblGrid>
        <w:gridCol w:w="536"/>
        <w:gridCol w:w="1715"/>
        <w:gridCol w:w="1070"/>
        <w:gridCol w:w="1123"/>
        <w:gridCol w:w="1372"/>
        <w:gridCol w:w="2171"/>
        <w:gridCol w:w="1066"/>
        <w:gridCol w:w="1070"/>
        <w:gridCol w:w="1532"/>
        <w:gridCol w:w="2013"/>
        <w:gridCol w:w="581"/>
      </w:tblGrid>
      <w:tr w:rsidR="002A2F68" w:rsidRPr="00CA6785" w14:paraId="0B201C82" w14:textId="77777777" w:rsidTr="002A2F68">
        <w:trPr>
          <w:trHeight w:val="1515"/>
        </w:trPr>
        <w:tc>
          <w:tcPr>
            <w:tcW w:w="190" w:type="pct"/>
            <w:tcBorders>
              <w:top w:val="nil"/>
              <w:left w:val="nil"/>
              <w:bottom w:val="nil"/>
              <w:right w:val="nil"/>
            </w:tcBorders>
            <w:shd w:val="clear" w:color="auto" w:fill="auto"/>
            <w:noWrap/>
            <w:vAlign w:val="bottom"/>
            <w:hideMark/>
          </w:tcPr>
          <w:p w14:paraId="490D4106" w14:textId="77777777" w:rsidR="002A2F68" w:rsidRPr="00CA6785" w:rsidRDefault="002A2F68" w:rsidP="002A2F68">
            <w:pPr>
              <w:suppressAutoHyphens w:val="0"/>
              <w:spacing w:line="240" w:lineRule="auto"/>
              <w:rPr>
                <w:rFonts w:eastAsia="Times New Roman"/>
                <w:spacing w:val="0"/>
                <w:w w:val="100"/>
                <w:kern w:val="0"/>
                <w:sz w:val="16"/>
                <w:szCs w:val="16"/>
                <w:lang w:val="en-US"/>
              </w:rPr>
            </w:pPr>
          </w:p>
        </w:tc>
        <w:tc>
          <w:tcPr>
            <w:tcW w:w="575" w:type="pct"/>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1C846C0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69" w:type="pct"/>
            <w:tcBorders>
              <w:top w:val="single" w:sz="8" w:space="0" w:color="auto"/>
              <w:left w:val="nil"/>
              <w:bottom w:val="single" w:sz="8" w:space="0" w:color="auto"/>
              <w:right w:val="single" w:sz="4" w:space="0" w:color="auto"/>
            </w:tcBorders>
            <w:shd w:val="clear" w:color="000000" w:fill="F2F2F2"/>
            <w:vAlign w:val="center"/>
            <w:hideMark/>
          </w:tcPr>
          <w:p w14:paraId="1F3040A0"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ADR Mechanisms and Dispute Prevention</w:t>
            </w:r>
          </w:p>
        </w:tc>
        <w:tc>
          <w:tcPr>
            <w:tcW w:w="387" w:type="pct"/>
            <w:tcBorders>
              <w:top w:val="single" w:sz="8" w:space="0" w:color="auto"/>
              <w:left w:val="nil"/>
              <w:bottom w:val="single" w:sz="8" w:space="0" w:color="auto"/>
              <w:right w:val="single" w:sz="4" w:space="0" w:color="auto"/>
            </w:tcBorders>
            <w:shd w:val="clear" w:color="000000" w:fill="F2F2F2"/>
            <w:vAlign w:val="center"/>
            <w:hideMark/>
          </w:tcPr>
          <w:p w14:paraId="192C00EF"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Selection and Appointment of Arbitrators</w:t>
            </w:r>
          </w:p>
        </w:tc>
        <w:tc>
          <w:tcPr>
            <w:tcW w:w="461" w:type="pct"/>
            <w:tcBorders>
              <w:top w:val="single" w:sz="8" w:space="0" w:color="auto"/>
              <w:left w:val="nil"/>
              <w:bottom w:val="single" w:sz="8" w:space="0" w:color="auto"/>
              <w:right w:val="single" w:sz="4" w:space="0" w:color="auto"/>
            </w:tcBorders>
            <w:shd w:val="clear" w:color="000000" w:fill="F2F2F2"/>
            <w:noWrap/>
            <w:vAlign w:val="center"/>
            <w:hideMark/>
          </w:tcPr>
          <w:p w14:paraId="482C9D40"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Code of Conduct</w:t>
            </w:r>
          </w:p>
        </w:tc>
        <w:tc>
          <w:tcPr>
            <w:tcW w:w="784" w:type="pct"/>
            <w:tcBorders>
              <w:top w:val="single" w:sz="8" w:space="0" w:color="auto"/>
              <w:left w:val="nil"/>
              <w:bottom w:val="single" w:sz="8" w:space="0" w:color="auto"/>
              <w:right w:val="single" w:sz="4" w:space="0" w:color="auto"/>
            </w:tcBorders>
            <w:shd w:val="clear" w:color="000000" w:fill="F2F2F2"/>
            <w:vAlign w:val="center"/>
            <w:hideMark/>
          </w:tcPr>
          <w:p w14:paraId="72998494"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ISDS Procedural Rules Reforms (Frivolous Claims, Multiple Proceedings, Reflective Loss, Counterclaims, Security for Costs, Third Party Funding, Treaty Interpretation)</w:t>
            </w:r>
          </w:p>
        </w:tc>
        <w:tc>
          <w:tcPr>
            <w:tcW w:w="386" w:type="pct"/>
            <w:tcBorders>
              <w:top w:val="single" w:sz="8" w:space="0" w:color="auto"/>
              <w:left w:val="nil"/>
              <w:bottom w:val="single" w:sz="8" w:space="0" w:color="auto"/>
              <w:right w:val="single" w:sz="4" w:space="0" w:color="auto"/>
            </w:tcBorders>
            <w:shd w:val="clear" w:color="000000" w:fill="F2F2F2"/>
            <w:vAlign w:val="center"/>
            <w:hideMark/>
          </w:tcPr>
          <w:p w14:paraId="068003ED"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Multilateral Advisory Centre</w:t>
            </w:r>
          </w:p>
        </w:tc>
        <w:tc>
          <w:tcPr>
            <w:tcW w:w="387" w:type="pct"/>
            <w:tcBorders>
              <w:top w:val="single" w:sz="8" w:space="0" w:color="auto"/>
              <w:left w:val="nil"/>
              <w:bottom w:val="single" w:sz="8" w:space="0" w:color="auto"/>
              <w:right w:val="single" w:sz="4" w:space="0" w:color="auto"/>
            </w:tcBorders>
            <w:shd w:val="clear" w:color="000000" w:fill="F2F2F2"/>
            <w:vAlign w:val="center"/>
            <w:hideMark/>
          </w:tcPr>
          <w:p w14:paraId="78234CC6"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Appellate Mechanism</w:t>
            </w:r>
          </w:p>
        </w:tc>
        <w:tc>
          <w:tcPr>
            <w:tcW w:w="538" w:type="pct"/>
            <w:tcBorders>
              <w:top w:val="single" w:sz="8" w:space="0" w:color="auto"/>
              <w:left w:val="nil"/>
              <w:bottom w:val="single" w:sz="8" w:space="0" w:color="auto"/>
              <w:right w:val="single" w:sz="4" w:space="0" w:color="auto"/>
            </w:tcBorders>
            <w:shd w:val="clear" w:color="000000" w:fill="F2F2F2"/>
            <w:vAlign w:val="center"/>
            <w:hideMark/>
          </w:tcPr>
          <w:p w14:paraId="7D45322D"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Multilateral Permanent Investment Court</w:t>
            </w:r>
          </w:p>
        </w:tc>
        <w:tc>
          <w:tcPr>
            <w:tcW w:w="729" w:type="pct"/>
            <w:tcBorders>
              <w:top w:val="single" w:sz="8" w:space="0" w:color="auto"/>
              <w:left w:val="nil"/>
              <w:bottom w:val="single" w:sz="8" w:space="0" w:color="auto"/>
              <w:right w:val="single" w:sz="8" w:space="0" w:color="auto"/>
            </w:tcBorders>
            <w:shd w:val="clear" w:color="000000" w:fill="F2F2F2"/>
            <w:vAlign w:val="center"/>
            <w:hideMark/>
          </w:tcPr>
          <w:p w14:paraId="62A2D810"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Multilateral Instrument to Implement Reforms</w:t>
            </w:r>
          </w:p>
        </w:tc>
        <w:tc>
          <w:tcPr>
            <w:tcW w:w="195" w:type="pct"/>
            <w:tcBorders>
              <w:top w:val="nil"/>
              <w:left w:val="nil"/>
              <w:bottom w:val="nil"/>
              <w:right w:val="nil"/>
            </w:tcBorders>
            <w:shd w:val="clear" w:color="auto" w:fill="auto"/>
            <w:noWrap/>
            <w:vAlign w:val="center"/>
            <w:hideMark/>
          </w:tcPr>
          <w:p w14:paraId="1C47D76C"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p>
        </w:tc>
      </w:tr>
      <w:tr w:rsidR="002A2F68" w:rsidRPr="00CA6785" w14:paraId="3FE78B38" w14:textId="77777777" w:rsidTr="002A2F68">
        <w:trPr>
          <w:trHeight w:val="540"/>
        </w:trPr>
        <w:tc>
          <w:tcPr>
            <w:tcW w:w="19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9F26BA2"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2021</w:t>
            </w:r>
          </w:p>
        </w:tc>
        <w:tc>
          <w:tcPr>
            <w:tcW w:w="575" w:type="pct"/>
            <w:tcBorders>
              <w:top w:val="nil"/>
              <w:left w:val="nil"/>
              <w:bottom w:val="single" w:sz="4" w:space="0" w:color="auto"/>
              <w:right w:val="single" w:sz="8" w:space="0" w:color="auto"/>
            </w:tcBorders>
            <w:shd w:val="clear" w:color="000000" w:fill="DDEBF7"/>
            <w:noWrap/>
            <w:vAlign w:val="center"/>
            <w:hideMark/>
          </w:tcPr>
          <w:p w14:paraId="14181FD6" w14:textId="696E19F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 xml:space="preserve">Working Group #40 </w:t>
            </w:r>
          </w:p>
        </w:tc>
        <w:tc>
          <w:tcPr>
            <w:tcW w:w="369" w:type="pct"/>
            <w:tcBorders>
              <w:top w:val="nil"/>
              <w:left w:val="nil"/>
              <w:bottom w:val="single" w:sz="4" w:space="0" w:color="auto"/>
              <w:right w:val="single" w:sz="4" w:space="0" w:color="auto"/>
            </w:tcBorders>
            <w:shd w:val="clear" w:color="000000" w:fill="DDEBF7"/>
            <w:vAlign w:val="center"/>
            <w:hideMark/>
          </w:tcPr>
          <w:p w14:paraId="7C8A237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000000" w:fill="DDEBF7"/>
            <w:vAlign w:val="center"/>
            <w:hideMark/>
          </w:tcPr>
          <w:p w14:paraId="5A806EF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4" w:space="0" w:color="auto"/>
              <w:right w:val="single" w:sz="4" w:space="0" w:color="auto"/>
            </w:tcBorders>
            <w:shd w:val="clear" w:color="000000" w:fill="DDEBF7"/>
            <w:vAlign w:val="center"/>
            <w:hideMark/>
          </w:tcPr>
          <w:p w14:paraId="0C2CE933"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First Reading (1 day)</w:t>
            </w:r>
          </w:p>
        </w:tc>
        <w:tc>
          <w:tcPr>
            <w:tcW w:w="784" w:type="pct"/>
            <w:tcBorders>
              <w:top w:val="nil"/>
              <w:left w:val="nil"/>
              <w:bottom w:val="single" w:sz="4" w:space="0" w:color="auto"/>
              <w:right w:val="single" w:sz="4" w:space="0" w:color="auto"/>
            </w:tcBorders>
            <w:shd w:val="clear" w:color="000000" w:fill="DDEBF7"/>
            <w:vAlign w:val="center"/>
            <w:hideMark/>
          </w:tcPr>
          <w:p w14:paraId="31FAEE3E"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nil"/>
              <w:left w:val="nil"/>
              <w:bottom w:val="single" w:sz="4" w:space="0" w:color="auto"/>
              <w:right w:val="single" w:sz="4" w:space="0" w:color="auto"/>
            </w:tcBorders>
            <w:shd w:val="clear" w:color="000000" w:fill="DDEBF7"/>
            <w:vAlign w:val="center"/>
            <w:hideMark/>
          </w:tcPr>
          <w:p w14:paraId="02929A8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000000" w:fill="DDEBF7"/>
            <w:vAlign w:val="center"/>
            <w:hideMark/>
          </w:tcPr>
          <w:p w14:paraId="4D3E7333"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Instructions (2 days)</w:t>
            </w:r>
          </w:p>
        </w:tc>
        <w:tc>
          <w:tcPr>
            <w:tcW w:w="538" w:type="pct"/>
            <w:tcBorders>
              <w:top w:val="nil"/>
              <w:left w:val="nil"/>
              <w:bottom w:val="single" w:sz="4" w:space="0" w:color="auto"/>
              <w:right w:val="single" w:sz="4" w:space="0" w:color="auto"/>
            </w:tcBorders>
            <w:shd w:val="clear" w:color="000000" w:fill="DDEBF7"/>
            <w:noWrap/>
            <w:vAlign w:val="center"/>
            <w:hideMark/>
          </w:tcPr>
          <w:p w14:paraId="6FD63CA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Instructions (2 days)</w:t>
            </w:r>
          </w:p>
        </w:tc>
        <w:tc>
          <w:tcPr>
            <w:tcW w:w="729" w:type="pct"/>
            <w:tcBorders>
              <w:top w:val="nil"/>
              <w:left w:val="nil"/>
              <w:bottom w:val="single" w:sz="4" w:space="0" w:color="auto"/>
              <w:right w:val="single" w:sz="8" w:space="0" w:color="auto"/>
            </w:tcBorders>
            <w:shd w:val="clear" w:color="000000" w:fill="DDEBF7"/>
            <w:vAlign w:val="center"/>
            <w:hideMark/>
          </w:tcPr>
          <w:p w14:paraId="08E29ED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vAlign w:val="center"/>
            <w:hideMark/>
          </w:tcPr>
          <w:p w14:paraId="78F3E6BB"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36CF4209" w14:textId="77777777" w:rsidTr="002A2F68">
        <w:trPr>
          <w:trHeight w:val="878"/>
        </w:trPr>
        <w:tc>
          <w:tcPr>
            <w:tcW w:w="190" w:type="pct"/>
            <w:vMerge/>
            <w:tcBorders>
              <w:top w:val="single" w:sz="8" w:space="0" w:color="auto"/>
              <w:left w:val="single" w:sz="8" w:space="0" w:color="auto"/>
              <w:bottom w:val="single" w:sz="8" w:space="0" w:color="000000"/>
              <w:right w:val="single" w:sz="8" w:space="0" w:color="auto"/>
            </w:tcBorders>
            <w:vAlign w:val="center"/>
            <w:hideMark/>
          </w:tcPr>
          <w:p w14:paraId="30D4C3C7"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6D677A5D"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#40</w:t>
            </w:r>
          </w:p>
        </w:tc>
        <w:tc>
          <w:tcPr>
            <w:tcW w:w="369" w:type="pct"/>
            <w:tcBorders>
              <w:top w:val="nil"/>
              <w:left w:val="nil"/>
              <w:bottom w:val="single" w:sz="4" w:space="0" w:color="auto"/>
              <w:right w:val="single" w:sz="4" w:space="0" w:color="auto"/>
            </w:tcBorders>
            <w:shd w:val="clear" w:color="auto" w:fill="auto"/>
            <w:vAlign w:val="center"/>
            <w:hideMark/>
          </w:tcPr>
          <w:p w14:paraId="35CE302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auto" w:fill="auto"/>
            <w:vAlign w:val="center"/>
            <w:hideMark/>
          </w:tcPr>
          <w:p w14:paraId="421A377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4" w:space="0" w:color="auto"/>
              <w:right w:val="single" w:sz="4" w:space="0" w:color="auto"/>
            </w:tcBorders>
            <w:shd w:val="clear" w:color="auto" w:fill="auto"/>
            <w:vAlign w:val="center"/>
            <w:hideMark/>
          </w:tcPr>
          <w:p w14:paraId="02CD936A" w14:textId="54B2A3F4"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Other Meetings w ICSID (2 day) / Drafting Group (2 days)</w:t>
            </w:r>
          </w:p>
        </w:tc>
        <w:tc>
          <w:tcPr>
            <w:tcW w:w="784" w:type="pct"/>
            <w:tcBorders>
              <w:top w:val="nil"/>
              <w:left w:val="nil"/>
              <w:bottom w:val="single" w:sz="4" w:space="0" w:color="auto"/>
              <w:right w:val="single" w:sz="4" w:space="0" w:color="auto"/>
            </w:tcBorders>
            <w:shd w:val="clear" w:color="auto" w:fill="auto"/>
            <w:vAlign w:val="center"/>
            <w:hideMark/>
          </w:tcPr>
          <w:p w14:paraId="239D072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Other Meetings - OECD (2 days)</w:t>
            </w:r>
          </w:p>
        </w:tc>
        <w:tc>
          <w:tcPr>
            <w:tcW w:w="386" w:type="pct"/>
            <w:tcBorders>
              <w:top w:val="nil"/>
              <w:left w:val="nil"/>
              <w:bottom w:val="single" w:sz="4" w:space="0" w:color="auto"/>
              <w:right w:val="single" w:sz="4" w:space="0" w:color="auto"/>
            </w:tcBorders>
            <w:shd w:val="clear" w:color="auto" w:fill="auto"/>
            <w:vAlign w:val="center"/>
            <w:hideMark/>
          </w:tcPr>
          <w:p w14:paraId="5A290FA2" w14:textId="50C6C499"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Other Meetings (5 days)</w:t>
            </w:r>
          </w:p>
        </w:tc>
        <w:tc>
          <w:tcPr>
            <w:tcW w:w="387" w:type="pct"/>
            <w:tcBorders>
              <w:top w:val="nil"/>
              <w:left w:val="nil"/>
              <w:bottom w:val="single" w:sz="4" w:space="0" w:color="auto"/>
              <w:right w:val="single" w:sz="4" w:space="0" w:color="auto"/>
            </w:tcBorders>
            <w:shd w:val="clear" w:color="auto" w:fill="auto"/>
            <w:vAlign w:val="center"/>
            <w:hideMark/>
          </w:tcPr>
          <w:p w14:paraId="744992D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4" w:space="0" w:color="auto"/>
              <w:right w:val="single" w:sz="4" w:space="0" w:color="auto"/>
            </w:tcBorders>
            <w:shd w:val="clear" w:color="auto" w:fill="auto"/>
            <w:vAlign w:val="center"/>
            <w:hideMark/>
          </w:tcPr>
          <w:p w14:paraId="45942065" w14:textId="2D6FEFA6"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Other Meetings (2 days)</w:t>
            </w:r>
          </w:p>
        </w:tc>
        <w:tc>
          <w:tcPr>
            <w:tcW w:w="729" w:type="pct"/>
            <w:tcBorders>
              <w:top w:val="nil"/>
              <w:left w:val="nil"/>
              <w:bottom w:val="single" w:sz="4" w:space="0" w:color="auto"/>
              <w:right w:val="single" w:sz="8" w:space="0" w:color="auto"/>
            </w:tcBorders>
            <w:shd w:val="clear" w:color="auto" w:fill="auto"/>
            <w:vAlign w:val="center"/>
            <w:hideMark/>
          </w:tcPr>
          <w:p w14:paraId="5EABA31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799DD3B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73564529" w14:textId="77777777" w:rsidTr="002A2F68">
        <w:trPr>
          <w:trHeight w:val="540"/>
        </w:trPr>
        <w:tc>
          <w:tcPr>
            <w:tcW w:w="190" w:type="pct"/>
            <w:vMerge/>
            <w:tcBorders>
              <w:top w:val="single" w:sz="8" w:space="0" w:color="auto"/>
              <w:left w:val="single" w:sz="8" w:space="0" w:color="auto"/>
              <w:bottom w:val="single" w:sz="8" w:space="0" w:color="000000"/>
              <w:right w:val="single" w:sz="8" w:space="0" w:color="auto"/>
            </w:tcBorders>
            <w:vAlign w:val="center"/>
            <w:hideMark/>
          </w:tcPr>
          <w:p w14:paraId="48251C2D"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vMerge/>
            <w:tcBorders>
              <w:top w:val="nil"/>
              <w:left w:val="single" w:sz="8" w:space="0" w:color="auto"/>
              <w:bottom w:val="single" w:sz="4" w:space="0" w:color="000000"/>
              <w:right w:val="single" w:sz="8" w:space="0" w:color="auto"/>
            </w:tcBorders>
            <w:vAlign w:val="center"/>
            <w:hideMark/>
          </w:tcPr>
          <w:p w14:paraId="52B6BA12"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4041" w:type="pct"/>
            <w:gridSpan w:val="8"/>
            <w:tcBorders>
              <w:top w:val="single" w:sz="4" w:space="0" w:color="auto"/>
              <w:left w:val="nil"/>
              <w:bottom w:val="nil"/>
              <w:right w:val="single" w:sz="8" w:space="0" w:color="000000"/>
            </w:tcBorders>
            <w:shd w:val="clear" w:color="000000" w:fill="E2EFDA"/>
            <w:vAlign w:val="center"/>
            <w:hideMark/>
          </w:tcPr>
          <w:p w14:paraId="470D2891"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Commission #54 - Decision on Resource Request</w:t>
            </w:r>
          </w:p>
        </w:tc>
        <w:tc>
          <w:tcPr>
            <w:tcW w:w="195" w:type="pct"/>
            <w:tcBorders>
              <w:top w:val="nil"/>
              <w:left w:val="nil"/>
              <w:bottom w:val="nil"/>
              <w:right w:val="nil"/>
            </w:tcBorders>
            <w:shd w:val="clear" w:color="auto" w:fill="auto"/>
            <w:noWrap/>
            <w:vAlign w:val="center"/>
            <w:hideMark/>
          </w:tcPr>
          <w:p w14:paraId="5EDA2F52"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p>
        </w:tc>
      </w:tr>
      <w:tr w:rsidR="002A2F68" w:rsidRPr="00CA6785" w14:paraId="5350FFD3" w14:textId="77777777" w:rsidTr="002A2F68">
        <w:trPr>
          <w:trHeight w:val="540"/>
        </w:trPr>
        <w:tc>
          <w:tcPr>
            <w:tcW w:w="190" w:type="pct"/>
            <w:vMerge/>
            <w:tcBorders>
              <w:top w:val="single" w:sz="8" w:space="0" w:color="auto"/>
              <w:left w:val="single" w:sz="8" w:space="0" w:color="auto"/>
              <w:bottom w:val="single" w:sz="8" w:space="0" w:color="000000"/>
              <w:right w:val="single" w:sz="8" w:space="0" w:color="auto"/>
            </w:tcBorders>
            <w:vAlign w:val="center"/>
            <w:hideMark/>
          </w:tcPr>
          <w:p w14:paraId="4FA83712"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4" w:space="0" w:color="auto"/>
              <w:right w:val="single" w:sz="8" w:space="0" w:color="auto"/>
            </w:tcBorders>
            <w:shd w:val="clear" w:color="000000" w:fill="DDEBF7"/>
            <w:noWrap/>
            <w:vAlign w:val="center"/>
            <w:hideMark/>
          </w:tcPr>
          <w:p w14:paraId="03558D14" w14:textId="3FE711E4"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 xml:space="preserve">Working Group #41 </w:t>
            </w:r>
          </w:p>
        </w:tc>
        <w:tc>
          <w:tcPr>
            <w:tcW w:w="369" w:type="pct"/>
            <w:tcBorders>
              <w:top w:val="single" w:sz="4" w:space="0" w:color="auto"/>
              <w:left w:val="nil"/>
              <w:bottom w:val="single" w:sz="4" w:space="0" w:color="auto"/>
              <w:right w:val="single" w:sz="4" w:space="0" w:color="auto"/>
            </w:tcBorders>
            <w:shd w:val="clear" w:color="000000" w:fill="DDEBF7"/>
            <w:vAlign w:val="center"/>
            <w:hideMark/>
          </w:tcPr>
          <w:p w14:paraId="0411DC16"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xml:space="preserve"> </w:t>
            </w:r>
          </w:p>
        </w:tc>
        <w:tc>
          <w:tcPr>
            <w:tcW w:w="387" w:type="pct"/>
            <w:tcBorders>
              <w:top w:val="single" w:sz="4" w:space="0" w:color="auto"/>
              <w:left w:val="nil"/>
              <w:bottom w:val="single" w:sz="4" w:space="0" w:color="auto"/>
              <w:right w:val="single" w:sz="4" w:space="0" w:color="auto"/>
            </w:tcBorders>
            <w:shd w:val="clear" w:color="000000" w:fill="DDEBF7"/>
            <w:vAlign w:val="center"/>
            <w:hideMark/>
          </w:tcPr>
          <w:p w14:paraId="3C34E4B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single" w:sz="4" w:space="0" w:color="auto"/>
              <w:left w:val="nil"/>
              <w:bottom w:val="single" w:sz="4" w:space="0" w:color="auto"/>
              <w:right w:val="single" w:sz="4" w:space="0" w:color="auto"/>
            </w:tcBorders>
            <w:shd w:val="clear" w:color="000000" w:fill="DDEBF7"/>
            <w:vAlign w:val="center"/>
            <w:hideMark/>
          </w:tcPr>
          <w:p w14:paraId="543777E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Second Reading (3 days)</w:t>
            </w:r>
          </w:p>
        </w:tc>
        <w:tc>
          <w:tcPr>
            <w:tcW w:w="784" w:type="pct"/>
            <w:tcBorders>
              <w:top w:val="single" w:sz="4" w:space="0" w:color="auto"/>
              <w:left w:val="nil"/>
              <w:bottom w:val="single" w:sz="4" w:space="0" w:color="auto"/>
              <w:right w:val="single" w:sz="4" w:space="0" w:color="auto"/>
            </w:tcBorders>
            <w:shd w:val="clear" w:color="000000" w:fill="DDEBF7"/>
            <w:vAlign w:val="center"/>
            <w:hideMark/>
          </w:tcPr>
          <w:p w14:paraId="6EFFCBEE"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Instructions (1 day)</w:t>
            </w:r>
          </w:p>
        </w:tc>
        <w:tc>
          <w:tcPr>
            <w:tcW w:w="386" w:type="pct"/>
            <w:tcBorders>
              <w:top w:val="single" w:sz="4" w:space="0" w:color="auto"/>
              <w:left w:val="nil"/>
              <w:bottom w:val="single" w:sz="4" w:space="0" w:color="auto"/>
              <w:right w:val="single" w:sz="4" w:space="0" w:color="auto"/>
            </w:tcBorders>
            <w:shd w:val="clear" w:color="000000" w:fill="DDEBF7"/>
            <w:vAlign w:val="center"/>
            <w:hideMark/>
          </w:tcPr>
          <w:p w14:paraId="663F62B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single" w:sz="4" w:space="0" w:color="auto"/>
              <w:left w:val="nil"/>
              <w:bottom w:val="single" w:sz="4" w:space="0" w:color="auto"/>
              <w:right w:val="single" w:sz="4" w:space="0" w:color="auto"/>
            </w:tcBorders>
            <w:shd w:val="clear" w:color="000000" w:fill="DDEBF7"/>
            <w:vAlign w:val="center"/>
            <w:hideMark/>
          </w:tcPr>
          <w:p w14:paraId="28BA1C9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single" w:sz="4" w:space="0" w:color="auto"/>
              <w:left w:val="nil"/>
              <w:bottom w:val="single" w:sz="4" w:space="0" w:color="auto"/>
              <w:right w:val="single" w:sz="4" w:space="0" w:color="auto"/>
            </w:tcBorders>
            <w:shd w:val="clear" w:color="000000" w:fill="DDEBF7"/>
            <w:vAlign w:val="center"/>
            <w:hideMark/>
          </w:tcPr>
          <w:p w14:paraId="06E84D4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single" w:sz="4" w:space="0" w:color="auto"/>
              <w:left w:val="nil"/>
              <w:bottom w:val="single" w:sz="4" w:space="0" w:color="auto"/>
              <w:right w:val="single" w:sz="8" w:space="0" w:color="auto"/>
            </w:tcBorders>
            <w:shd w:val="clear" w:color="000000" w:fill="DDEBF7"/>
            <w:vAlign w:val="center"/>
            <w:hideMark/>
          </w:tcPr>
          <w:p w14:paraId="18E8CCD9"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36075B9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407549AB" w14:textId="77777777" w:rsidTr="002A2F68">
        <w:trPr>
          <w:trHeight w:val="1260"/>
        </w:trPr>
        <w:tc>
          <w:tcPr>
            <w:tcW w:w="190" w:type="pct"/>
            <w:vMerge/>
            <w:tcBorders>
              <w:top w:val="single" w:sz="8" w:space="0" w:color="auto"/>
              <w:left w:val="single" w:sz="8" w:space="0" w:color="auto"/>
              <w:bottom w:val="single" w:sz="8" w:space="0" w:color="000000"/>
              <w:right w:val="single" w:sz="8" w:space="0" w:color="auto"/>
            </w:tcBorders>
            <w:vAlign w:val="center"/>
            <w:hideMark/>
          </w:tcPr>
          <w:p w14:paraId="6573314B"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8" w:space="0" w:color="auto"/>
              <w:right w:val="single" w:sz="8" w:space="0" w:color="auto"/>
            </w:tcBorders>
            <w:shd w:val="clear" w:color="auto" w:fill="auto"/>
            <w:noWrap/>
            <w:vAlign w:val="center"/>
            <w:hideMark/>
          </w:tcPr>
          <w:p w14:paraId="0F36FCD1"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#41</w:t>
            </w:r>
          </w:p>
        </w:tc>
        <w:tc>
          <w:tcPr>
            <w:tcW w:w="369" w:type="pct"/>
            <w:tcBorders>
              <w:top w:val="nil"/>
              <w:left w:val="nil"/>
              <w:bottom w:val="single" w:sz="8" w:space="0" w:color="auto"/>
              <w:right w:val="single" w:sz="4" w:space="0" w:color="auto"/>
            </w:tcBorders>
            <w:shd w:val="clear" w:color="auto" w:fill="auto"/>
            <w:vAlign w:val="center"/>
            <w:hideMark/>
          </w:tcPr>
          <w:p w14:paraId="4B8D86FC" w14:textId="6725B1CD"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Other Meetings (3 days)/ Inter-Sessional Meeting - HK China (2 days)</w:t>
            </w:r>
          </w:p>
        </w:tc>
        <w:tc>
          <w:tcPr>
            <w:tcW w:w="387" w:type="pct"/>
            <w:tcBorders>
              <w:top w:val="nil"/>
              <w:left w:val="nil"/>
              <w:bottom w:val="single" w:sz="8" w:space="0" w:color="auto"/>
              <w:right w:val="single" w:sz="4" w:space="0" w:color="auto"/>
            </w:tcBorders>
            <w:shd w:val="clear" w:color="auto" w:fill="auto"/>
            <w:vAlign w:val="center"/>
            <w:hideMark/>
          </w:tcPr>
          <w:p w14:paraId="0F80601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8" w:space="0" w:color="auto"/>
              <w:right w:val="single" w:sz="4" w:space="0" w:color="auto"/>
            </w:tcBorders>
            <w:shd w:val="clear" w:color="auto" w:fill="auto"/>
            <w:vAlign w:val="center"/>
            <w:hideMark/>
          </w:tcPr>
          <w:p w14:paraId="4AF242F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8" w:space="0" w:color="auto"/>
              <w:right w:val="single" w:sz="4" w:space="0" w:color="auto"/>
            </w:tcBorders>
            <w:shd w:val="clear" w:color="auto" w:fill="auto"/>
            <w:vAlign w:val="center"/>
            <w:hideMark/>
          </w:tcPr>
          <w:p w14:paraId="4AFEFE6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nil"/>
              <w:left w:val="nil"/>
              <w:bottom w:val="single" w:sz="8" w:space="0" w:color="auto"/>
              <w:right w:val="single" w:sz="4" w:space="0" w:color="auto"/>
            </w:tcBorders>
            <w:shd w:val="clear" w:color="auto" w:fill="auto"/>
            <w:vAlign w:val="center"/>
            <w:hideMark/>
          </w:tcPr>
          <w:p w14:paraId="3373848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Other Meetings (1 day)</w:t>
            </w:r>
          </w:p>
        </w:tc>
        <w:tc>
          <w:tcPr>
            <w:tcW w:w="387" w:type="pct"/>
            <w:tcBorders>
              <w:top w:val="nil"/>
              <w:left w:val="nil"/>
              <w:bottom w:val="single" w:sz="8" w:space="0" w:color="auto"/>
              <w:right w:val="single" w:sz="4" w:space="0" w:color="auto"/>
            </w:tcBorders>
            <w:shd w:val="clear" w:color="auto" w:fill="auto"/>
            <w:vAlign w:val="center"/>
            <w:hideMark/>
          </w:tcPr>
          <w:p w14:paraId="71AEE15D" w14:textId="5558BE22"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Other Meetings (2 days)</w:t>
            </w:r>
          </w:p>
        </w:tc>
        <w:tc>
          <w:tcPr>
            <w:tcW w:w="538" w:type="pct"/>
            <w:tcBorders>
              <w:top w:val="nil"/>
              <w:left w:val="nil"/>
              <w:bottom w:val="single" w:sz="8" w:space="0" w:color="auto"/>
              <w:right w:val="single" w:sz="4" w:space="0" w:color="auto"/>
            </w:tcBorders>
            <w:shd w:val="clear" w:color="auto" w:fill="auto"/>
            <w:vAlign w:val="center"/>
            <w:hideMark/>
          </w:tcPr>
          <w:p w14:paraId="5D0895D5" w14:textId="64331911"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days)</w:t>
            </w:r>
          </w:p>
        </w:tc>
        <w:tc>
          <w:tcPr>
            <w:tcW w:w="729" w:type="pct"/>
            <w:tcBorders>
              <w:top w:val="nil"/>
              <w:left w:val="nil"/>
              <w:bottom w:val="single" w:sz="8" w:space="0" w:color="auto"/>
              <w:right w:val="single" w:sz="8" w:space="0" w:color="auto"/>
            </w:tcBorders>
            <w:shd w:val="clear" w:color="auto" w:fill="auto"/>
            <w:vAlign w:val="center"/>
            <w:hideMark/>
          </w:tcPr>
          <w:p w14:paraId="2D68FFB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Other Meetings (1 day)</w:t>
            </w:r>
          </w:p>
        </w:tc>
        <w:tc>
          <w:tcPr>
            <w:tcW w:w="195" w:type="pct"/>
            <w:tcBorders>
              <w:top w:val="nil"/>
              <w:left w:val="nil"/>
              <w:bottom w:val="nil"/>
              <w:right w:val="nil"/>
            </w:tcBorders>
            <w:shd w:val="clear" w:color="auto" w:fill="auto"/>
            <w:noWrap/>
            <w:vAlign w:val="center"/>
            <w:hideMark/>
          </w:tcPr>
          <w:p w14:paraId="3026180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7621774F" w14:textId="77777777" w:rsidTr="002A2F68">
        <w:trPr>
          <w:trHeight w:val="540"/>
        </w:trPr>
        <w:tc>
          <w:tcPr>
            <w:tcW w:w="19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6E97FFA2"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2022</w:t>
            </w:r>
          </w:p>
        </w:tc>
        <w:tc>
          <w:tcPr>
            <w:tcW w:w="575" w:type="pct"/>
            <w:tcBorders>
              <w:top w:val="nil"/>
              <w:left w:val="nil"/>
              <w:bottom w:val="single" w:sz="4" w:space="0" w:color="auto"/>
              <w:right w:val="single" w:sz="8" w:space="0" w:color="auto"/>
            </w:tcBorders>
            <w:shd w:val="clear" w:color="000000" w:fill="DDEBF7"/>
            <w:noWrap/>
            <w:vAlign w:val="center"/>
            <w:hideMark/>
          </w:tcPr>
          <w:p w14:paraId="5836D3E0" w14:textId="4565B9BD"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 xml:space="preserve">Working </w:t>
            </w:r>
            <w:proofErr w:type="gramStart"/>
            <w:r w:rsidRPr="00CA6785">
              <w:rPr>
                <w:rFonts w:eastAsia="Times New Roman"/>
                <w:b/>
                <w:bCs/>
                <w:spacing w:val="0"/>
                <w:w w:val="100"/>
                <w:kern w:val="0"/>
                <w:sz w:val="16"/>
                <w:szCs w:val="16"/>
                <w:lang w:val="en-US"/>
              </w:rPr>
              <w:t>Group  #</w:t>
            </w:r>
            <w:proofErr w:type="gramEnd"/>
            <w:r w:rsidRPr="00CA6785">
              <w:rPr>
                <w:rFonts w:eastAsia="Times New Roman"/>
                <w:b/>
                <w:bCs/>
                <w:spacing w:val="0"/>
                <w:w w:val="100"/>
                <w:kern w:val="0"/>
                <w:sz w:val="16"/>
                <w:szCs w:val="16"/>
                <w:lang w:val="en-US"/>
              </w:rPr>
              <w:t>42</w:t>
            </w:r>
          </w:p>
        </w:tc>
        <w:tc>
          <w:tcPr>
            <w:tcW w:w="369" w:type="pct"/>
            <w:tcBorders>
              <w:top w:val="nil"/>
              <w:left w:val="nil"/>
              <w:bottom w:val="nil"/>
              <w:right w:val="nil"/>
            </w:tcBorders>
            <w:shd w:val="clear" w:color="000000" w:fill="DDEBF7"/>
            <w:noWrap/>
            <w:vAlign w:val="bottom"/>
            <w:hideMark/>
          </w:tcPr>
          <w:p w14:paraId="4A6B131D" w14:textId="77777777" w:rsidR="002A2F68" w:rsidRPr="00CA6785" w:rsidRDefault="002A2F68" w:rsidP="002A2F68">
            <w:pPr>
              <w:suppressAutoHyphens w:val="0"/>
              <w:spacing w:line="240" w:lineRule="auto"/>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single" w:sz="4" w:space="0" w:color="auto"/>
              <w:bottom w:val="single" w:sz="4" w:space="0" w:color="auto"/>
              <w:right w:val="single" w:sz="4" w:space="0" w:color="auto"/>
            </w:tcBorders>
            <w:shd w:val="clear" w:color="000000" w:fill="DDEBF7"/>
            <w:vAlign w:val="center"/>
            <w:hideMark/>
          </w:tcPr>
          <w:p w14:paraId="08C9181B"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4" w:space="0" w:color="auto"/>
              <w:right w:val="single" w:sz="4" w:space="0" w:color="auto"/>
            </w:tcBorders>
            <w:shd w:val="clear" w:color="000000" w:fill="DDEBF7"/>
            <w:vAlign w:val="center"/>
            <w:hideMark/>
          </w:tcPr>
          <w:p w14:paraId="25AE6BB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single" w:sz="8" w:space="0" w:color="auto"/>
              <w:left w:val="nil"/>
              <w:bottom w:val="single" w:sz="4" w:space="0" w:color="auto"/>
              <w:right w:val="single" w:sz="4" w:space="0" w:color="auto"/>
            </w:tcBorders>
            <w:shd w:val="clear" w:color="000000" w:fill="DDEBF7"/>
            <w:vAlign w:val="center"/>
            <w:hideMark/>
          </w:tcPr>
          <w:p w14:paraId="2F68511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single" w:sz="4" w:space="0" w:color="auto"/>
              <w:left w:val="nil"/>
              <w:bottom w:val="single" w:sz="4" w:space="0" w:color="auto"/>
              <w:right w:val="single" w:sz="4" w:space="0" w:color="auto"/>
            </w:tcBorders>
            <w:shd w:val="clear" w:color="000000" w:fill="DDEBF7"/>
            <w:vAlign w:val="center"/>
            <w:hideMark/>
          </w:tcPr>
          <w:p w14:paraId="4FFC670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Instructions (1 day)</w:t>
            </w:r>
          </w:p>
        </w:tc>
        <w:tc>
          <w:tcPr>
            <w:tcW w:w="387" w:type="pct"/>
            <w:tcBorders>
              <w:top w:val="nil"/>
              <w:left w:val="nil"/>
              <w:bottom w:val="single" w:sz="4" w:space="0" w:color="auto"/>
              <w:right w:val="single" w:sz="4" w:space="0" w:color="auto"/>
            </w:tcBorders>
            <w:shd w:val="clear" w:color="000000" w:fill="DDEBF7"/>
            <w:vAlign w:val="center"/>
            <w:hideMark/>
          </w:tcPr>
          <w:p w14:paraId="210958C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4" w:space="0" w:color="auto"/>
              <w:right w:val="single" w:sz="4" w:space="0" w:color="auto"/>
            </w:tcBorders>
            <w:shd w:val="clear" w:color="000000" w:fill="DDEBF7"/>
            <w:vAlign w:val="center"/>
            <w:hideMark/>
          </w:tcPr>
          <w:p w14:paraId="7EA0817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First reading (3 days)</w:t>
            </w:r>
          </w:p>
        </w:tc>
        <w:tc>
          <w:tcPr>
            <w:tcW w:w="729" w:type="pct"/>
            <w:tcBorders>
              <w:top w:val="nil"/>
              <w:left w:val="nil"/>
              <w:bottom w:val="single" w:sz="4" w:space="0" w:color="auto"/>
              <w:right w:val="single" w:sz="8" w:space="0" w:color="auto"/>
            </w:tcBorders>
            <w:shd w:val="clear" w:color="000000" w:fill="DDEBF7"/>
            <w:vAlign w:val="center"/>
            <w:hideMark/>
          </w:tcPr>
          <w:p w14:paraId="6E93BFFE"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vAlign w:val="center"/>
            <w:hideMark/>
          </w:tcPr>
          <w:p w14:paraId="3539669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14E2DECE"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7CEB0456"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4" w:space="0" w:color="auto"/>
              <w:right w:val="single" w:sz="8" w:space="0" w:color="auto"/>
            </w:tcBorders>
            <w:shd w:val="clear" w:color="auto" w:fill="auto"/>
            <w:noWrap/>
            <w:vAlign w:val="center"/>
            <w:hideMark/>
          </w:tcPr>
          <w:p w14:paraId="5F125425"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#42</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5D3307D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auto" w:fill="auto"/>
            <w:vAlign w:val="center"/>
            <w:hideMark/>
          </w:tcPr>
          <w:p w14:paraId="09C10C1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Other Meetings (1 day)</w:t>
            </w:r>
          </w:p>
        </w:tc>
        <w:tc>
          <w:tcPr>
            <w:tcW w:w="461" w:type="pct"/>
            <w:tcBorders>
              <w:top w:val="nil"/>
              <w:left w:val="nil"/>
              <w:bottom w:val="single" w:sz="4" w:space="0" w:color="auto"/>
              <w:right w:val="single" w:sz="4" w:space="0" w:color="auto"/>
            </w:tcBorders>
            <w:shd w:val="clear" w:color="auto" w:fill="auto"/>
            <w:vAlign w:val="center"/>
            <w:hideMark/>
          </w:tcPr>
          <w:p w14:paraId="4DF8A1C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single" w:sz="4" w:space="0" w:color="auto"/>
            </w:tcBorders>
            <w:shd w:val="clear" w:color="auto" w:fill="auto"/>
            <w:vAlign w:val="center"/>
            <w:hideMark/>
          </w:tcPr>
          <w:p w14:paraId="5663DCBC" w14:textId="3124B34A"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Other Meetings (1 day)/Drafting Group (2 days)</w:t>
            </w:r>
          </w:p>
        </w:tc>
        <w:tc>
          <w:tcPr>
            <w:tcW w:w="386" w:type="pct"/>
            <w:tcBorders>
              <w:top w:val="nil"/>
              <w:left w:val="nil"/>
              <w:bottom w:val="single" w:sz="4" w:space="0" w:color="auto"/>
              <w:right w:val="single" w:sz="4" w:space="0" w:color="auto"/>
            </w:tcBorders>
            <w:shd w:val="clear" w:color="auto" w:fill="auto"/>
            <w:vAlign w:val="center"/>
            <w:hideMark/>
          </w:tcPr>
          <w:p w14:paraId="5017F90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auto" w:fill="auto"/>
            <w:vAlign w:val="center"/>
            <w:hideMark/>
          </w:tcPr>
          <w:p w14:paraId="42B96E7D" w14:textId="37C0906E"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xml:space="preserve">Inter-Sessional Meeting </w:t>
            </w:r>
            <w:proofErr w:type="gramStart"/>
            <w:r w:rsidRPr="00CA6785">
              <w:rPr>
                <w:rFonts w:eastAsia="Times New Roman"/>
                <w:spacing w:val="0"/>
                <w:w w:val="100"/>
                <w:kern w:val="0"/>
                <w:sz w:val="16"/>
                <w:szCs w:val="16"/>
                <w:lang w:val="en-US"/>
              </w:rPr>
              <w:t>( 2</w:t>
            </w:r>
            <w:proofErr w:type="gramEnd"/>
            <w:r w:rsidRPr="00CA6785">
              <w:rPr>
                <w:rFonts w:eastAsia="Times New Roman"/>
                <w:spacing w:val="0"/>
                <w:w w:val="100"/>
                <w:kern w:val="0"/>
                <w:sz w:val="16"/>
                <w:szCs w:val="16"/>
                <w:lang w:val="en-US"/>
              </w:rPr>
              <w:t xml:space="preserve"> days)</w:t>
            </w:r>
          </w:p>
        </w:tc>
        <w:tc>
          <w:tcPr>
            <w:tcW w:w="538" w:type="pct"/>
            <w:tcBorders>
              <w:top w:val="nil"/>
              <w:left w:val="nil"/>
              <w:bottom w:val="single" w:sz="4" w:space="0" w:color="auto"/>
              <w:right w:val="single" w:sz="4" w:space="0" w:color="auto"/>
            </w:tcBorders>
            <w:shd w:val="clear" w:color="auto" w:fill="auto"/>
            <w:vAlign w:val="center"/>
            <w:hideMark/>
          </w:tcPr>
          <w:p w14:paraId="5ED08F4B" w14:textId="2C188781"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xml:space="preserve">Inter-Sessional Meeting </w:t>
            </w:r>
            <w:proofErr w:type="gramStart"/>
            <w:r w:rsidRPr="00CA6785">
              <w:rPr>
                <w:rFonts w:eastAsia="Times New Roman"/>
                <w:spacing w:val="0"/>
                <w:w w:val="100"/>
                <w:kern w:val="0"/>
                <w:sz w:val="16"/>
                <w:szCs w:val="16"/>
                <w:lang w:val="en-US"/>
              </w:rPr>
              <w:t>( 2</w:t>
            </w:r>
            <w:proofErr w:type="gramEnd"/>
            <w:r w:rsidRPr="00CA6785">
              <w:rPr>
                <w:rFonts w:eastAsia="Times New Roman"/>
                <w:spacing w:val="0"/>
                <w:w w:val="100"/>
                <w:kern w:val="0"/>
                <w:sz w:val="16"/>
                <w:szCs w:val="16"/>
                <w:lang w:val="en-US"/>
              </w:rPr>
              <w:t xml:space="preserve"> days)</w:t>
            </w:r>
          </w:p>
        </w:tc>
        <w:tc>
          <w:tcPr>
            <w:tcW w:w="729" w:type="pct"/>
            <w:tcBorders>
              <w:top w:val="nil"/>
              <w:left w:val="nil"/>
              <w:bottom w:val="single" w:sz="4" w:space="0" w:color="auto"/>
              <w:right w:val="single" w:sz="8" w:space="0" w:color="auto"/>
            </w:tcBorders>
            <w:shd w:val="clear" w:color="auto" w:fill="auto"/>
            <w:vAlign w:val="center"/>
            <w:hideMark/>
          </w:tcPr>
          <w:p w14:paraId="021620F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Other Meetings (1 day)</w:t>
            </w:r>
          </w:p>
        </w:tc>
        <w:tc>
          <w:tcPr>
            <w:tcW w:w="195" w:type="pct"/>
            <w:tcBorders>
              <w:top w:val="nil"/>
              <w:left w:val="nil"/>
              <w:bottom w:val="nil"/>
              <w:right w:val="nil"/>
            </w:tcBorders>
            <w:shd w:val="clear" w:color="auto" w:fill="auto"/>
            <w:noWrap/>
            <w:vAlign w:val="center"/>
            <w:hideMark/>
          </w:tcPr>
          <w:p w14:paraId="25FA7839"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7190692A" w14:textId="77777777" w:rsidTr="00BF2A24">
        <w:trPr>
          <w:trHeight w:val="540"/>
        </w:trPr>
        <w:tc>
          <w:tcPr>
            <w:tcW w:w="190" w:type="pct"/>
            <w:vMerge/>
            <w:tcBorders>
              <w:top w:val="nil"/>
              <w:left w:val="single" w:sz="8" w:space="0" w:color="auto"/>
              <w:bottom w:val="single" w:sz="8" w:space="0" w:color="000000"/>
              <w:right w:val="single" w:sz="8" w:space="0" w:color="auto"/>
            </w:tcBorders>
            <w:vAlign w:val="center"/>
            <w:hideMark/>
          </w:tcPr>
          <w:p w14:paraId="5E8A42E0"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4" w:space="0" w:color="auto"/>
              <w:right w:val="single" w:sz="8" w:space="0" w:color="auto"/>
            </w:tcBorders>
            <w:shd w:val="clear" w:color="000000" w:fill="DDEBF7"/>
            <w:noWrap/>
            <w:vAlign w:val="center"/>
            <w:hideMark/>
          </w:tcPr>
          <w:p w14:paraId="7934747F" w14:textId="2FA80AED"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Working Group #43</w:t>
            </w:r>
          </w:p>
        </w:tc>
        <w:tc>
          <w:tcPr>
            <w:tcW w:w="369" w:type="pct"/>
            <w:tcBorders>
              <w:top w:val="nil"/>
              <w:left w:val="nil"/>
              <w:bottom w:val="single" w:sz="4" w:space="0" w:color="auto"/>
              <w:right w:val="single" w:sz="4" w:space="0" w:color="auto"/>
            </w:tcBorders>
            <w:shd w:val="clear" w:color="000000" w:fill="DDEBF7"/>
            <w:vAlign w:val="center"/>
            <w:hideMark/>
          </w:tcPr>
          <w:p w14:paraId="6C66264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Instructions (1 day)</w:t>
            </w:r>
          </w:p>
        </w:tc>
        <w:tc>
          <w:tcPr>
            <w:tcW w:w="387" w:type="pct"/>
            <w:tcBorders>
              <w:top w:val="nil"/>
              <w:left w:val="nil"/>
              <w:bottom w:val="single" w:sz="4" w:space="0" w:color="auto"/>
              <w:right w:val="single" w:sz="4" w:space="0" w:color="auto"/>
            </w:tcBorders>
            <w:shd w:val="clear" w:color="000000" w:fill="DDEBF7"/>
            <w:vAlign w:val="center"/>
            <w:hideMark/>
          </w:tcPr>
          <w:p w14:paraId="25D701E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4" w:space="0" w:color="auto"/>
              <w:right w:val="single" w:sz="4" w:space="0" w:color="auto"/>
            </w:tcBorders>
            <w:shd w:val="clear" w:color="000000" w:fill="DDEBF7"/>
            <w:vAlign w:val="center"/>
            <w:hideMark/>
          </w:tcPr>
          <w:p w14:paraId="4470D6DB"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single" w:sz="4" w:space="0" w:color="auto"/>
            </w:tcBorders>
            <w:shd w:val="clear" w:color="000000" w:fill="DDEBF7"/>
            <w:vAlign w:val="center"/>
            <w:hideMark/>
          </w:tcPr>
          <w:p w14:paraId="37EF648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First Reading (3 days)</w:t>
            </w:r>
          </w:p>
        </w:tc>
        <w:tc>
          <w:tcPr>
            <w:tcW w:w="386" w:type="pct"/>
            <w:tcBorders>
              <w:top w:val="nil"/>
              <w:left w:val="nil"/>
              <w:bottom w:val="single" w:sz="4" w:space="0" w:color="auto"/>
              <w:right w:val="single" w:sz="4" w:space="0" w:color="auto"/>
            </w:tcBorders>
            <w:shd w:val="clear" w:color="000000" w:fill="DDEBF7"/>
            <w:vAlign w:val="center"/>
            <w:hideMark/>
          </w:tcPr>
          <w:p w14:paraId="75F0682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000000" w:fill="DDEBF7"/>
            <w:vAlign w:val="center"/>
            <w:hideMark/>
          </w:tcPr>
          <w:p w14:paraId="22D7B91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4" w:space="0" w:color="auto"/>
              <w:right w:val="single" w:sz="4" w:space="0" w:color="auto"/>
            </w:tcBorders>
            <w:shd w:val="clear" w:color="000000" w:fill="DDEBF7"/>
            <w:vAlign w:val="center"/>
            <w:hideMark/>
          </w:tcPr>
          <w:p w14:paraId="48E39D6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4" w:space="0" w:color="auto"/>
              <w:right w:val="single" w:sz="8" w:space="0" w:color="auto"/>
            </w:tcBorders>
            <w:shd w:val="clear" w:color="000000" w:fill="DDEBF7"/>
            <w:vAlign w:val="center"/>
            <w:hideMark/>
          </w:tcPr>
          <w:p w14:paraId="5F1AB5F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1EC4738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554C0D83" w14:textId="77777777" w:rsidTr="00BF2A24">
        <w:trPr>
          <w:trHeight w:val="540"/>
        </w:trPr>
        <w:tc>
          <w:tcPr>
            <w:tcW w:w="190" w:type="pct"/>
            <w:vMerge/>
            <w:tcBorders>
              <w:top w:val="nil"/>
              <w:left w:val="single" w:sz="8" w:space="0" w:color="auto"/>
              <w:bottom w:val="single" w:sz="8" w:space="0" w:color="000000"/>
              <w:right w:val="single" w:sz="8" w:space="0" w:color="auto"/>
            </w:tcBorders>
            <w:vAlign w:val="center"/>
            <w:hideMark/>
          </w:tcPr>
          <w:p w14:paraId="4C1F64C5"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6B69C4C9"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#43</w:t>
            </w:r>
          </w:p>
        </w:tc>
        <w:tc>
          <w:tcPr>
            <w:tcW w:w="369" w:type="pct"/>
            <w:tcBorders>
              <w:top w:val="single" w:sz="4" w:space="0" w:color="auto"/>
              <w:left w:val="nil"/>
              <w:bottom w:val="single" w:sz="4" w:space="0" w:color="auto"/>
              <w:right w:val="nil"/>
            </w:tcBorders>
            <w:shd w:val="clear" w:color="auto" w:fill="auto"/>
            <w:noWrap/>
            <w:vAlign w:val="bottom"/>
            <w:hideMark/>
          </w:tcPr>
          <w:p w14:paraId="53AF5073"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p>
        </w:tc>
        <w:tc>
          <w:tcPr>
            <w:tcW w:w="387" w:type="pct"/>
            <w:tcBorders>
              <w:top w:val="nil"/>
              <w:left w:val="single" w:sz="4" w:space="0" w:color="auto"/>
              <w:bottom w:val="single" w:sz="4" w:space="0" w:color="auto"/>
              <w:right w:val="single" w:sz="4" w:space="0" w:color="auto"/>
            </w:tcBorders>
            <w:shd w:val="clear" w:color="auto" w:fill="auto"/>
            <w:vAlign w:val="center"/>
            <w:hideMark/>
          </w:tcPr>
          <w:p w14:paraId="07AE285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4" w:space="0" w:color="auto"/>
              <w:right w:val="single" w:sz="4" w:space="0" w:color="auto"/>
            </w:tcBorders>
            <w:shd w:val="clear" w:color="auto" w:fill="auto"/>
            <w:vAlign w:val="center"/>
            <w:hideMark/>
          </w:tcPr>
          <w:p w14:paraId="3F4D6B6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single" w:sz="4" w:space="0" w:color="auto"/>
            </w:tcBorders>
            <w:shd w:val="clear" w:color="auto" w:fill="auto"/>
            <w:vAlign w:val="center"/>
            <w:hideMark/>
          </w:tcPr>
          <w:p w14:paraId="181E9FF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days)</w:t>
            </w:r>
          </w:p>
        </w:tc>
        <w:tc>
          <w:tcPr>
            <w:tcW w:w="386" w:type="pct"/>
            <w:tcBorders>
              <w:top w:val="nil"/>
              <w:left w:val="nil"/>
              <w:bottom w:val="single" w:sz="4" w:space="0" w:color="auto"/>
              <w:right w:val="single" w:sz="4" w:space="0" w:color="auto"/>
            </w:tcBorders>
            <w:shd w:val="clear" w:color="auto" w:fill="auto"/>
            <w:vAlign w:val="center"/>
            <w:hideMark/>
          </w:tcPr>
          <w:p w14:paraId="69ECAEF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(1 day)</w:t>
            </w:r>
          </w:p>
        </w:tc>
        <w:tc>
          <w:tcPr>
            <w:tcW w:w="387" w:type="pct"/>
            <w:tcBorders>
              <w:top w:val="nil"/>
              <w:left w:val="nil"/>
              <w:bottom w:val="single" w:sz="4" w:space="0" w:color="auto"/>
              <w:right w:val="single" w:sz="4" w:space="0" w:color="auto"/>
            </w:tcBorders>
            <w:shd w:val="clear" w:color="auto" w:fill="auto"/>
            <w:vAlign w:val="center"/>
            <w:hideMark/>
          </w:tcPr>
          <w:p w14:paraId="3801DFF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days)</w:t>
            </w:r>
          </w:p>
        </w:tc>
        <w:tc>
          <w:tcPr>
            <w:tcW w:w="538" w:type="pct"/>
            <w:tcBorders>
              <w:top w:val="nil"/>
              <w:left w:val="nil"/>
              <w:bottom w:val="single" w:sz="4" w:space="0" w:color="auto"/>
              <w:right w:val="single" w:sz="4" w:space="0" w:color="auto"/>
            </w:tcBorders>
            <w:shd w:val="clear" w:color="auto" w:fill="auto"/>
            <w:vAlign w:val="center"/>
            <w:hideMark/>
          </w:tcPr>
          <w:p w14:paraId="3AFA38E9"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4" w:space="0" w:color="auto"/>
              <w:right w:val="single" w:sz="8" w:space="0" w:color="auto"/>
            </w:tcBorders>
            <w:shd w:val="clear" w:color="auto" w:fill="auto"/>
            <w:noWrap/>
            <w:vAlign w:val="bottom"/>
            <w:hideMark/>
          </w:tcPr>
          <w:p w14:paraId="2C661A3D" w14:textId="77777777" w:rsidR="002A2F68" w:rsidRPr="00CA6785" w:rsidRDefault="002A2F68" w:rsidP="002A2F68">
            <w:pPr>
              <w:suppressAutoHyphens w:val="0"/>
              <w:spacing w:line="240" w:lineRule="auto"/>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64095699" w14:textId="77777777" w:rsidR="002A2F68" w:rsidRPr="00CA6785" w:rsidRDefault="002A2F68" w:rsidP="002A2F68">
            <w:pPr>
              <w:suppressAutoHyphens w:val="0"/>
              <w:spacing w:line="240" w:lineRule="auto"/>
              <w:rPr>
                <w:rFonts w:eastAsia="Times New Roman"/>
                <w:spacing w:val="0"/>
                <w:w w:val="100"/>
                <w:kern w:val="0"/>
                <w:sz w:val="16"/>
                <w:szCs w:val="16"/>
                <w:lang w:val="en-US"/>
              </w:rPr>
            </w:pPr>
          </w:p>
        </w:tc>
      </w:tr>
      <w:tr w:rsidR="002A2F68" w:rsidRPr="00CA6785" w14:paraId="4F4483E2"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61AF43F0"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vMerge/>
            <w:tcBorders>
              <w:top w:val="nil"/>
              <w:left w:val="single" w:sz="8" w:space="0" w:color="auto"/>
              <w:bottom w:val="single" w:sz="4" w:space="0" w:color="000000"/>
              <w:right w:val="single" w:sz="8" w:space="0" w:color="auto"/>
            </w:tcBorders>
            <w:vAlign w:val="center"/>
            <w:hideMark/>
          </w:tcPr>
          <w:p w14:paraId="1BCE36DD"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4041" w:type="pct"/>
            <w:gridSpan w:val="8"/>
            <w:tcBorders>
              <w:top w:val="single" w:sz="4" w:space="0" w:color="auto"/>
              <w:left w:val="nil"/>
              <w:bottom w:val="nil"/>
              <w:right w:val="single" w:sz="8" w:space="0" w:color="000000"/>
            </w:tcBorders>
            <w:shd w:val="clear" w:color="000000" w:fill="E2EFDA"/>
            <w:vAlign w:val="center"/>
            <w:hideMark/>
          </w:tcPr>
          <w:p w14:paraId="511B8C9C"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Commission #55 - Approval in Principle of Code of Conduct</w:t>
            </w:r>
          </w:p>
        </w:tc>
        <w:tc>
          <w:tcPr>
            <w:tcW w:w="195" w:type="pct"/>
            <w:tcBorders>
              <w:top w:val="nil"/>
              <w:left w:val="nil"/>
              <w:bottom w:val="nil"/>
              <w:right w:val="nil"/>
            </w:tcBorders>
            <w:shd w:val="clear" w:color="auto" w:fill="auto"/>
            <w:noWrap/>
            <w:vAlign w:val="center"/>
            <w:hideMark/>
          </w:tcPr>
          <w:p w14:paraId="28EE0BB9"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p>
        </w:tc>
      </w:tr>
      <w:tr w:rsidR="002A2F68" w:rsidRPr="00CA6785" w14:paraId="3320199D"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1284607A"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4" w:space="0" w:color="auto"/>
              <w:right w:val="single" w:sz="8" w:space="0" w:color="auto"/>
            </w:tcBorders>
            <w:shd w:val="clear" w:color="000000" w:fill="DDEBF7"/>
            <w:noWrap/>
            <w:vAlign w:val="center"/>
            <w:hideMark/>
          </w:tcPr>
          <w:p w14:paraId="7B75E6F5" w14:textId="19F3AB16"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Working Group #44</w:t>
            </w:r>
          </w:p>
        </w:tc>
        <w:tc>
          <w:tcPr>
            <w:tcW w:w="369" w:type="pct"/>
            <w:tcBorders>
              <w:top w:val="single" w:sz="4" w:space="0" w:color="auto"/>
              <w:left w:val="nil"/>
              <w:bottom w:val="single" w:sz="4" w:space="0" w:color="auto"/>
              <w:right w:val="single" w:sz="4" w:space="0" w:color="auto"/>
            </w:tcBorders>
            <w:shd w:val="clear" w:color="000000" w:fill="DDEBF7"/>
            <w:vAlign w:val="center"/>
            <w:hideMark/>
          </w:tcPr>
          <w:p w14:paraId="752A3F8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single" w:sz="4" w:space="0" w:color="auto"/>
              <w:left w:val="nil"/>
              <w:bottom w:val="single" w:sz="4" w:space="0" w:color="auto"/>
              <w:right w:val="single" w:sz="4" w:space="0" w:color="auto"/>
            </w:tcBorders>
            <w:shd w:val="clear" w:color="000000" w:fill="DDEBF7"/>
            <w:vAlign w:val="center"/>
            <w:hideMark/>
          </w:tcPr>
          <w:p w14:paraId="70D35DD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single" w:sz="4" w:space="0" w:color="auto"/>
              <w:left w:val="nil"/>
              <w:bottom w:val="single" w:sz="4" w:space="0" w:color="auto"/>
              <w:right w:val="single" w:sz="4" w:space="0" w:color="auto"/>
            </w:tcBorders>
            <w:shd w:val="clear" w:color="000000" w:fill="DDEBF7"/>
            <w:vAlign w:val="center"/>
            <w:hideMark/>
          </w:tcPr>
          <w:p w14:paraId="77C374B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single" w:sz="4" w:space="0" w:color="auto"/>
              <w:left w:val="nil"/>
              <w:bottom w:val="single" w:sz="4" w:space="0" w:color="auto"/>
              <w:right w:val="single" w:sz="4" w:space="0" w:color="auto"/>
            </w:tcBorders>
            <w:shd w:val="clear" w:color="000000" w:fill="DDEBF7"/>
            <w:vAlign w:val="center"/>
            <w:hideMark/>
          </w:tcPr>
          <w:p w14:paraId="2062781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single" w:sz="4" w:space="0" w:color="auto"/>
              <w:left w:val="nil"/>
              <w:bottom w:val="single" w:sz="4" w:space="0" w:color="auto"/>
              <w:right w:val="single" w:sz="4" w:space="0" w:color="auto"/>
            </w:tcBorders>
            <w:shd w:val="clear" w:color="000000" w:fill="DDEBF7"/>
            <w:vAlign w:val="center"/>
            <w:hideMark/>
          </w:tcPr>
          <w:p w14:paraId="7CA4CBF6"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single" w:sz="4" w:space="0" w:color="auto"/>
              <w:left w:val="nil"/>
              <w:bottom w:val="single" w:sz="4" w:space="0" w:color="auto"/>
              <w:right w:val="single" w:sz="4" w:space="0" w:color="auto"/>
            </w:tcBorders>
            <w:shd w:val="clear" w:color="000000" w:fill="DDEBF7"/>
            <w:vAlign w:val="center"/>
            <w:hideMark/>
          </w:tcPr>
          <w:p w14:paraId="59318783"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First Reading (3 days)</w:t>
            </w:r>
          </w:p>
        </w:tc>
        <w:tc>
          <w:tcPr>
            <w:tcW w:w="538" w:type="pct"/>
            <w:tcBorders>
              <w:top w:val="single" w:sz="4" w:space="0" w:color="auto"/>
              <w:left w:val="nil"/>
              <w:bottom w:val="single" w:sz="4" w:space="0" w:color="auto"/>
              <w:right w:val="single" w:sz="4" w:space="0" w:color="auto"/>
            </w:tcBorders>
            <w:shd w:val="clear" w:color="000000" w:fill="DDEBF7"/>
            <w:vAlign w:val="center"/>
            <w:hideMark/>
          </w:tcPr>
          <w:p w14:paraId="5C28A333"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single" w:sz="4" w:space="0" w:color="auto"/>
              <w:left w:val="nil"/>
              <w:bottom w:val="single" w:sz="4" w:space="0" w:color="auto"/>
              <w:right w:val="single" w:sz="8" w:space="0" w:color="auto"/>
            </w:tcBorders>
            <w:shd w:val="clear" w:color="000000" w:fill="DDEBF7"/>
            <w:vAlign w:val="center"/>
            <w:hideMark/>
          </w:tcPr>
          <w:p w14:paraId="1E09C9F9"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Instructions (1 day)</w:t>
            </w:r>
          </w:p>
        </w:tc>
        <w:tc>
          <w:tcPr>
            <w:tcW w:w="195" w:type="pct"/>
            <w:tcBorders>
              <w:top w:val="nil"/>
              <w:left w:val="nil"/>
              <w:bottom w:val="nil"/>
              <w:right w:val="nil"/>
            </w:tcBorders>
            <w:shd w:val="clear" w:color="auto" w:fill="auto"/>
            <w:noWrap/>
            <w:vAlign w:val="center"/>
            <w:hideMark/>
          </w:tcPr>
          <w:p w14:paraId="7896254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42B3BFB7"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71835E32"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4" w:space="0" w:color="auto"/>
              <w:right w:val="single" w:sz="8" w:space="0" w:color="auto"/>
            </w:tcBorders>
            <w:shd w:val="clear" w:color="auto" w:fill="auto"/>
            <w:noWrap/>
            <w:vAlign w:val="center"/>
            <w:hideMark/>
          </w:tcPr>
          <w:p w14:paraId="57C18CEA"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#44</w:t>
            </w:r>
          </w:p>
        </w:tc>
        <w:tc>
          <w:tcPr>
            <w:tcW w:w="369" w:type="pct"/>
            <w:tcBorders>
              <w:top w:val="nil"/>
              <w:left w:val="nil"/>
              <w:bottom w:val="single" w:sz="4" w:space="0" w:color="auto"/>
              <w:right w:val="single" w:sz="4" w:space="0" w:color="auto"/>
            </w:tcBorders>
            <w:shd w:val="clear" w:color="auto" w:fill="auto"/>
            <w:vAlign w:val="center"/>
            <w:hideMark/>
          </w:tcPr>
          <w:p w14:paraId="3747C473"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days)</w:t>
            </w:r>
          </w:p>
        </w:tc>
        <w:tc>
          <w:tcPr>
            <w:tcW w:w="387" w:type="pct"/>
            <w:tcBorders>
              <w:top w:val="nil"/>
              <w:left w:val="nil"/>
              <w:bottom w:val="single" w:sz="4" w:space="0" w:color="auto"/>
              <w:right w:val="single" w:sz="4" w:space="0" w:color="auto"/>
            </w:tcBorders>
            <w:shd w:val="clear" w:color="auto" w:fill="auto"/>
            <w:vAlign w:val="center"/>
            <w:hideMark/>
          </w:tcPr>
          <w:p w14:paraId="574848A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4" w:space="0" w:color="auto"/>
              <w:right w:val="single" w:sz="4" w:space="0" w:color="auto"/>
            </w:tcBorders>
            <w:shd w:val="clear" w:color="auto" w:fill="auto"/>
            <w:vAlign w:val="center"/>
            <w:hideMark/>
          </w:tcPr>
          <w:p w14:paraId="0B17A5C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single" w:sz="4" w:space="0" w:color="auto"/>
            </w:tcBorders>
            <w:shd w:val="clear" w:color="auto" w:fill="auto"/>
            <w:vAlign w:val="center"/>
            <w:hideMark/>
          </w:tcPr>
          <w:p w14:paraId="253E9F5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days)</w:t>
            </w:r>
          </w:p>
        </w:tc>
        <w:tc>
          <w:tcPr>
            <w:tcW w:w="386" w:type="pct"/>
            <w:tcBorders>
              <w:top w:val="nil"/>
              <w:left w:val="nil"/>
              <w:bottom w:val="single" w:sz="4" w:space="0" w:color="auto"/>
              <w:right w:val="single" w:sz="4" w:space="0" w:color="auto"/>
            </w:tcBorders>
            <w:shd w:val="clear" w:color="auto" w:fill="auto"/>
            <w:vAlign w:val="center"/>
            <w:hideMark/>
          </w:tcPr>
          <w:p w14:paraId="6E74090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auto" w:fill="auto"/>
            <w:vAlign w:val="center"/>
            <w:hideMark/>
          </w:tcPr>
          <w:p w14:paraId="748C0AE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4" w:space="0" w:color="auto"/>
              <w:right w:val="single" w:sz="4" w:space="0" w:color="auto"/>
            </w:tcBorders>
            <w:shd w:val="clear" w:color="auto" w:fill="auto"/>
            <w:vAlign w:val="center"/>
            <w:hideMark/>
          </w:tcPr>
          <w:p w14:paraId="3B8ABEA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days)</w:t>
            </w:r>
          </w:p>
        </w:tc>
        <w:tc>
          <w:tcPr>
            <w:tcW w:w="729" w:type="pct"/>
            <w:tcBorders>
              <w:top w:val="nil"/>
              <w:left w:val="nil"/>
              <w:bottom w:val="single" w:sz="4" w:space="0" w:color="auto"/>
              <w:right w:val="single" w:sz="8" w:space="0" w:color="auto"/>
            </w:tcBorders>
            <w:shd w:val="clear" w:color="auto" w:fill="auto"/>
            <w:noWrap/>
            <w:vAlign w:val="bottom"/>
            <w:hideMark/>
          </w:tcPr>
          <w:p w14:paraId="54C0967C" w14:textId="77777777" w:rsidR="002A2F68" w:rsidRPr="00CA6785" w:rsidRDefault="002A2F68" w:rsidP="002A2F68">
            <w:pPr>
              <w:suppressAutoHyphens w:val="0"/>
              <w:spacing w:line="240" w:lineRule="auto"/>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7B59E504" w14:textId="77777777" w:rsidR="002A2F68" w:rsidRPr="00CA6785" w:rsidRDefault="002A2F68" w:rsidP="002A2F68">
            <w:pPr>
              <w:suppressAutoHyphens w:val="0"/>
              <w:spacing w:line="240" w:lineRule="auto"/>
              <w:rPr>
                <w:rFonts w:eastAsia="Times New Roman"/>
                <w:spacing w:val="0"/>
                <w:w w:val="100"/>
                <w:kern w:val="0"/>
                <w:sz w:val="16"/>
                <w:szCs w:val="16"/>
                <w:lang w:val="en-US"/>
              </w:rPr>
            </w:pPr>
          </w:p>
        </w:tc>
      </w:tr>
      <w:tr w:rsidR="002A2F68" w:rsidRPr="00CA6785" w14:paraId="13C997FD"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04CEB3AA"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4" w:space="0" w:color="auto"/>
              <w:right w:val="single" w:sz="8" w:space="0" w:color="auto"/>
            </w:tcBorders>
            <w:shd w:val="clear" w:color="000000" w:fill="DDEBF7"/>
            <w:noWrap/>
            <w:vAlign w:val="center"/>
            <w:hideMark/>
          </w:tcPr>
          <w:p w14:paraId="08CF2E9E" w14:textId="2C529C81"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Working Group #45</w:t>
            </w:r>
          </w:p>
        </w:tc>
        <w:tc>
          <w:tcPr>
            <w:tcW w:w="369" w:type="pct"/>
            <w:tcBorders>
              <w:top w:val="nil"/>
              <w:left w:val="nil"/>
              <w:bottom w:val="single" w:sz="4" w:space="0" w:color="auto"/>
              <w:right w:val="single" w:sz="4" w:space="0" w:color="auto"/>
            </w:tcBorders>
            <w:shd w:val="clear" w:color="000000" w:fill="DDEBF7"/>
            <w:vAlign w:val="center"/>
            <w:hideMark/>
          </w:tcPr>
          <w:p w14:paraId="0F3C1D2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First Reading (2 days)</w:t>
            </w:r>
          </w:p>
        </w:tc>
        <w:tc>
          <w:tcPr>
            <w:tcW w:w="387" w:type="pct"/>
            <w:tcBorders>
              <w:top w:val="nil"/>
              <w:left w:val="nil"/>
              <w:bottom w:val="single" w:sz="4" w:space="0" w:color="auto"/>
              <w:right w:val="single" w:sz="4" w:space="0" w:color="auto"/>
            </w:tcBorders>
            <w:shd w:val="clear" w:color="000000" w:fill="DDEBF7"/>
            <w:vAlign w:val="center"/>
            <w:hideMark/>
          </w:tcPr>
          <w:p w14:paraId="1037D63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4" w:space="0" w:color="auto"/>
              <w:right w:val="single" w:sz="4" w:space="0" w:color="auto"/>
            </w:tcBorders>
            <w:shd w:val="clear" w:color="000000" w:fill="DDEBF7"/>
            <w:vAlign w:val="center"/>
            <w:hideMark/>
          </w:tcPr>
          <w:p w14:paraId="4920A19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single" w:sz="4" w:space="0" w:color="auto"/>
            </w:tcBorders>
            <w:shd w:val="clear" w:color="000000" w:fill="DDEBF7"/>
            <w:vAlign w:val="center"/>
            <w:hideMark/>
          </w:tcPr>
          <w:p w14:paraId="03E2FF03"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First Reading (resumed) (2 days)</w:t>
            </w:r>
          </w:p>
        </w:tc>
        <w:tc>
          <w:tcPr>
            <w:tcW w:w="386" w:type="pct"/>
            <w:tcBorders>
              <w:top w:val="nil"/>
              <w:left w:val="nil"/>
              <w:bottom w:val="single" w:sz="4" w:space="0" w:color="auto"/>
              <w:right w:val="single" w:sz="4" w:space="0" w:color="auto"/>
            </w:tcBorders>
            <w:shd w:val="clear" w:color="000000" w:fill="DDEBF7"/>
            <w:vAlign w:val="center"/>
            <w:hideMark/>
          </w:tcPr>
          <w:p w14:paraId="365DC69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000000" w:fill="DDEBF7"/>
            <w:vAlign w:val="center"/>
            <w:hideMark/>
          </w:tcPr>
          <w:p w14:paraId="4697968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4" w:space="0" w:color="auto"/>
              <w:right w:val="single" w:sz="4" w:space="0" w:color="auto"/>
            </w:tcBorders>
            <w:shd w:val="clear" w:color="000000" w:fill="DDEBF7"/>
            <w:vAlign w:val="center"/>
            <w:hideMark/>
          </w:tcPr>
          <w:p w14:paraId="4076511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4" w:space="0" w:color="auto"/>
              <w:right w:val="single" w:sz="8" w:space="0" w:color="auto"/>
            </w:tcBorders>
            <w:shd w:val="clear" w:color="000000" w:fill="DDEBF7"/>
            <w:vAlign w:val="center"/>
            <w:hideMark/>
          </w:tcPr>
          <w:p w14:paraId="1611EB53"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487D8E5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0B391E41" w14:textId="77777777" w:rsidTr="002A2F68">
        <w:trPr>
          <w:trHeight w:val="705"/>
        </w:trPr>
        <w:tc>
          <w:tcPr>
            <w:tcW w:w="190" w:type="pct"/>
            <w:vMerge/>
            <w:tcBorders>
              <w:top w:val="nil"/>
              <w:left w:val="single" w:sz="8" w:space="0" w:color="auto"/>
              <w:bottom w:val="single" w:sz="8" w:space="0" w:color="000000"/>
              <w:right w:val="single" w:sz="8" w:space="0" w:color="auto"/>
            </w:tcBorders>
            <w:vAlign w:val="center"/>
            <w:hideMark/>
          </w:tcPr>
          <w:p w14:paraId="37D8813A"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8" w:space="0" w:color="auto"/>
              <w:right w:val="single" w:sz="8" w:space="0" w:color="auto"/>
            </w:tcBorders>
            <w:shd w:val="clear" w:color="auto" w:fill="auto"/>
            <w:noWrap/>
            <w:vAlign w:val="center"/>
            <w:hideMark/>
          </w:tcPr>
          <w:p w14:paraId="07E27061"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#45</w:t>
            </w:r>
          </w:p>
        </w:tc>
        <w:tc>
          <w:tcPr>
            <w:tcW w:w="369" w:type="pct"/>
            <w:tcBorders>
              <w:top w:val="nil"/>
              <w:left w:val="nil"/>
              <w:bottom w:val="single" w:sz="8" w:space="0" w:color="auto"/>
              <w:right w:val="single" w:sz="4" w:space="0" w:color="auto"/>
            </w:tcBorders>
            <w:shd w:val="clear" w:color="auto" w:fill="auto"/>
            <w:vAlign w:val="center"/>
            <w:hideMark/>
          </w:tcPr>
          <w:p w14:paraId="14FDF8B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w:t>
            </w:r>
          </w:p>
        </w:tc>
        <w:tc>
          <w:tcPr>
            <w:tcW w:w="387" w:type="pct"/>
            <w:tcBorders>
              <w:top w:val="nil"/>
              <w:left w:val="nil"/>
              <w:bottom w:val="single" w:sz="8" w:space="0" w:color="auto"/>
              <w:right w:val="single" w:sz="4" w:space="0" w:color="auto"/>
            </w:tcBorders>
            <w:shd w:val="clear" w:color="auto" w:fill="auto"/>
            <w:vAlign w:val="center"/>
            <w:hideMark/>
          </w:tcPr>
          <w:p w14:paraId="6E3AE575" w14:textId="6B2DB7A1"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Other Meetings (1 day)</w:t>
            </w:r>
          </w:p>
        </w:tc>
        <w:tc>
          <w:tcPr>
            <w:tcW w:w="461" w:type="pct"/>
            <w:tcBorders>
              <w:top w:val="nil"/>
              <w:left w:val="nil"/>
              <w:bottom w:val="single" w:sz="8" w:space="0" w:color="auto"/>
              <w:right w:val="single" w:sz="4" w:space="0" w:color="auto"/>
            </w:tcBorders>
            <w:shd w:val="clear" w:color="auto" w:fill="auto"/>
            <w:vAlign w:val="center"/>
            <w:hideMark/>
          </w:tcPr>
          <w:p w14:paraId="6481B21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8" w:space="0" w:color="auto"/>
              <w:right w:val="single" w:sz="4" w:space="0" w:color="auto"/>
            </w:tcBorders>
            <w:shd w:val="clear" w:color="auto" w:fill="auto"/>
            <w:vAlign w:val="center"/>
            <w:hideMark/>
          </w:tcPr>
          <w:p w14:paraId="5E98F3B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days)</w:t>
            </w:r>
          </w:p>
        </w:tc>
        <w:tc>
          <w:tcPr>
            <w:tcW w:w="386" w:type="pct"/>
            <w:tcBorders>
              <w:top w:val="nil"/>
              <w:left w:val="nil"/>
              <w:bottom w:val="single" w:sz="8" w:space="0" w:color="auto"/>
              <w:right w:val="single" w:sz="4" w:space="0" w:color="auto"/>
            </w:tcBorders>
            <w:shd w:val="clear" w:color="auto" w:fill="auto"/>
            <w:vAlign w:val="center"/>
            <w:hideMark/>
          </w:tcPr>
          <w:p w14:paraId="2CC9AC03"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8" w:space="0" w:color="auto"/>
              <w:right w:val="single" w:sz="4" w:space="0" w:color="auto"/>
            </w:tcBorders>
            <w:shd w:val="clear" w:color="auto" w:fill="auto"/>
            <w:vAlign w:val="center"/>
            <w:hideMark/>
          </w:tcPr>
          <w:p w14:paraId="4FD8B95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days)</w:t>
            </w:r>
          </w:p>
        </w:tc>
        <w:tc>
          <w:tcPr>
            <w:tcW w:w="538" w:type="pct"/>
            <w:tcBorders>
              <w:top w:val="nil"/>
              <w:left w:val="nil"/>
              <w:bottom w:val="single" w:sz="8" w:space="0" w:color="auto"/>
              <w:right w:val="single" w:sz="4" w:space="0" w:color="auto"/>
            </w:tcBorders>
            <w:shd w:val="clear" w:color="auto" w:fill="auto"/>
            <w:vAlign w:val="center"/>
            <w:hideMark/>
          </w:tcPr>
          <w:p w14:paraId="484B3F0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8" w:space="0" w:color="auto"/>
              <w:right w:val="single" w:sz="8" w:space="0" w:color="auto"/>
            </w:tcBorders>
            <w:shd w:val="clear" w:color="auto" w:fill="auto"/>
            <w:vAlign w:val="center"/>
            <w:hideMark/>
          </w:tcPr>
          <w:p w14:paraId="09BDFC7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Inter-Sessional Meeting (2 days)</w:t>
            </w:r>
          </w:p>
        </w:tc>
        <w:tc>
          <w:tcPr>
            <w:tcW w:w="195" w:type="pct"/>
            <w:tcBorders>
              <w:top w:val="nil"/>
              <w:left w:val="nil"/>
              <w:bottom w:val="nil"/>
              <w:right w:val="nil"/>
            </w:tcBorders>
            <w:shd w:val="clear" w:color="auto" w:fill="auto"/>
            <w:noWrap/>
            <w:vAlign w:val="center"/>
            <w:hideMark/>
          </w:tcPr>
          <w:p w14:paraId="588BEE1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50979290" w14:textId="77777777" w:rsidTr="002A2F68">
        <w:trPr>
          <w:trHeight w:val="540"/>
        </w:trPr>
        <w:tc>
          <w:tcPr>
            <w:tcW w:w="19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94A64CD"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2023</w:t>
            </w:r>
          </w:p>
        </w:tc>
        <w:tc>
          <w:tcPr>
            <w:tcW w:w="575" w:type="pct"/>
            <w:tcBorders>
              <w:top w:val="nil"/>
              <w:left w:val="nil"/>
              <w:bottom w:val="single" w:sz="4" w:space="0" w:color="auto"/>
              <w:right w:val="single" w:sz="8" w:space="0" w:color="auto"/>
            </w:tcBorders>
            <w:shd w:val="clear" w:color="000000" w:fill="DDEBF7"/>
            <w:noWrap/>
            <w:vAlign w:val="center"/>
            <w:hideMark/>
          </w:tcPr>
          <w:p w14:paraId="2609E75D"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Working Group #46</w:t>
            </w:r>
          </w:p>
        </w:tc>
        <w:tc>
          <w:tcPr>
            <w:tcW w:w="369" w:type="pct"/>
            <w:tcBorders>
              <w:top w:val="single" w:sz="4" w:space="0" w:color="auto"/>
              <w:left w:val="nil"/>
              <w:bottom w:val="single" w:sz="4" w:space="0" w:color="auto"/>
              <w:right w:val="single" w:sz="4" w:space="0" w:color="auto"/>
            </w:tcBorders>
            <w:shd w:val="clear" w:color="000000" w:fill="DDEBF7"/>
            <w:vAlign w:val="center"/>
            <w:hideMark/>
          </w:tcPr>
          <w:p w14:paraId="64FD9AE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Second Reading (2 days)</w:t>
            </w:r>
          </w:p>
        </w:tc>
        <w:tc>
          <w:tcPr>
            <w:tcW w:w="387" w:type="pct"/>
            <w:tcBorders>
              <w:top w:val="nil"/>
              <w:left w:val="nil"/>
              <w:bottom w:val="single" w:sz="4" w:space="0" w:color="auto"/>
              <w:right w:val="single" w:sz="4" w:space="0" w:color="auto"/>
            </w:tcBorders>
            <w:shd w:val="clear" w:color="000000" w:fill="DDEBF7"/>
            <w:vAlign w:val="center"/>
            <w:hideMark/>
          </w:tcPr>
          <w:p w14:paraId="702D3C2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single" w:sz="4" w:space="0" w:color="auto"/>
              <w:left w:val="nil"/>
              <w:bottom w:val="single" w:sz="4" w:space="0" w:color="auto"/>
              <w:right w:val="single" w:sz="4" w:space="0" w:color="auto"/>
            </w:tcBorders>
            <w:shd w:val="clear" w:color="000000" w:fill="DDEBF7"/>
            <w:vAlign w:val="center"/>
            <w:hideMark/>
          </w:tcPr>
          <w:p w14:paraId="12699E0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single" w:sz="8" w:space="0" w:color="auto"/>
              <w:left w:val="nil"/>
              <w:bottom w:val="single" w:sz="4" w:space="0" w:color="auto"/>
              <w:right w:val="single" w:sz="4" w:space="0" w:color="auto"/>
            </w:tcBorders>
            <w:shd w:val="clear" w:color="000000" w:fill="DDEBF7"/>
            <w:vAlign w:val="center"/>
            <w:hideMark/>
          </w:tcPr>
          <w:p w14:paraId="78DF4D53"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nil"/>
              <w:left w:val="nil"/>
              <w:bottom w:val="single" w:sz="4" w:space="0" w:color="auto"/>
              <w:right w:val="single" w:sz="4" w:space="0" w:color="auto"/>
            </w:tcBorders>
            <w:shd w:val="clear" w:color="000000" w:fill="DDEBF7"/>
            <w:vAlign w:val="center"/>
            <w:hideMark/>
          </w:tcPr>
          <w:p w14:paraId="29A6558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First Reading (2 days)</w:t>
            </w:r>
          </w:p>
        </w:tc>
        <w:tc>
          <w:tcPr>
            <w:tcW w:w="387" w:type="pct"/>
            <w:tcBorders>
              <w:top w:val="nil"/>
              <w:left w:val="nil"/>
              <w:bottom w:val="single" w:sz="4" w:space="0" w:color="auto"/>
              <w:right w:val="single" w:sz="4" w:space="0" w:color="auto"/>
            </w:tcBorders>
            <w:shd w:val="clear" w:color="000000" w:fill="DDEBF7"/>
            <w:vAlign w:val="center"/>
            <w:hideMark/>
          </w:tcPr>
          <w:p w14:paraId="6D2ADC26"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4" w:space="0" w:color="auto"/>
              <w:right w:val="single" w:sz="4" w:space="0" w:color="auto"/>
            </w:tcBorders>
            <w:shd w:val="clear" w:color="000000" w:fill="DDEBF7"/>
            <w:vAlign w:val="center"/>
            <w:hideMark/>
          </w:tcPr>
          <w:p w14:paraId="204C970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4" w:space="0" w:color="auto"/>
              <w:right w:val="single" w:sz="8" w:space="0" w:color="auto"/>
            </w:tcBorders>
            <w:shd w:val="clear" w:color="000000" w:fill="DDEBF7"/>
            <w:vAlign w:val="center"/>
            <w:hideMark/>
          </w:tcPr>
          <w:p w14:paraId="354B309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20935E5B"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051CB5C4"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61DE7F6B"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4" w:space="0" w:color="auto"/>
              <w:right w:val="single" w:sz="8" w:space="0" w:color="auto"/>
            </w:tcBorders>
            <w:shd w:val="clear" w:color="auto" w:fill="auto"/>
            <w:noWrap/>
            <w:vAlign w:val="center"/>
            <w:hideMark/>
          </w:tcPr>
          <w:p w14:paraId="2FCB154C"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#46</w:t>
            </w:r>
          </w:p>
        </w:tc>
        <w:tc>
          <w:tcPr>
            <w:tcW w:w="369" w:type="pct"/>
            <w:tcBorders>
              <w:top w:val="nil"/>
              <w:left w:val="nil"/>
              <w:bottom w:val="single" w:sz="4" w:space="0" w:color="auto"/>
              <w:right w:val="single" w:sz="4" w:space="0" w:color="auto"/>
            </w:tcBorders>
            <w:shd w:val="clear" w:color="auto" w:fill="auto"/>
            <w:vAlign w:val="center"/>
            <w:hideMark/>
          </w:tcPr>
          <w:p w14:paraId="1CFCCDE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nil"/>
              <w:right w:val="nil"/>
            </w:tcBorders>
            <w:shd w:val="clear" w:color="auto" w:fill="auto"/>
            <w:noWrap/>
            <w:vAlign w:val="bottom"/>
            <w:hideMark/>
          </w:tcPr>
          <w:p w14:paraId="2973700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c>
          <w:tcPr>
            <w:tcW w:w="461" w:type="pct"/>
            <w:tcBorders>
              <w:top w:val="nil"/>
              <w:left w:val="single" w:sz="4" w:space="0" w:color="auto"/>
              <w:bottom w:val="single" w:sz="4" w:space="0" w:color="auto"/>
              <w:right w:val="single" w:sz="4" w:space="0" w:color="auto"/>
            </w:tcBorders>
            <w:shd w:val="clear" w:color="auto" w:fill="auto"/>
            <w:vAlign w:val="center"/>
            <w:hideMark/>
          </w:tcPr>
          <w:p w14:paraId="4C9DB25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single" w:sz="4" w:space="0" w:color="auto"/>
            </w:tcBorders>
            <w:shd w:val="clear" w:color="auto" w:fill="auto"/>
            <w:vAlign w:val="center"/>
            <w:hideMark/>
          </w:tcPr>
          <w:p w14:paraId="58CF2F09"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1F4C430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days)</w:t>
            </w:r>
          </w:p>
        </w:tc>
        <w:tc>
          <w:tcPr>
            <w:tcW w:w="387" w:type="pct"/>
            <w:tcBorders>
              <w:top w:val="nil"/>
              <w:left w:val="nil"/>
              <w:bottom w:val="single" w:sz="4" w:space="0" w:color="auto"/>
              <w:right w:val="single" w:sz="4" w:space="0" w:color="auto"/>
            </w:tcBorders>
            <w:shd w:val="clear" w:color="auto" w:fill="auto"/>
            <w:vAlign w:val="center"/>
            <w:hideMark/>
          </w:tcPr>
          <w:p w14:paraId="4BB4972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4" w:space="0" w:color="auto"/>
              <w:right w:val="single" w:sz="4" w:space="0" w:color="auto"/>
            </w:tcBorders>
            <w:shd w:val="clear" w:color="auto" w:fill="auto"/>
            <w:vAlign w:val="center"/>
            <w:hideMark/>
          </w:tcPr>
          <w:p w14:paraId="6A174F5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4" w:space="0" w:color="auto"/>
              <w:right w:val="single" w:sz="8" w:space="0" w:color="auto"/>
            </w:tcBorders>
            <w:shd w:val="clear" w:color="auto" w:fill="auto"/>
            <w:vAlign w:val="center"/>
            <w:hideMark/>
          </w:tcPr>
          <w:p w14:paraId="1B4BA1D6"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3F8C516E"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55E09844"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3975DAA6"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4" w:space="0" w:color="auto"/>
              <w:right w:val="single" w:sz="8" w:space="0" w:color="auto"/>
            </w:tcBorders>
            <w:shd w:val="clear" w:color="000000" w:fill="DDEBF7"/>
            <w:noWrap/>
            <w:vAlign w:val="center"/>
            <w:hideMark/>
          </w:tcPr>
          <w:p w14:paraId="7951DFDA" w14:textId="676149B4"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Working Group #47</w:t>
            </w:r>
          </w:p>
        </w:tc>
        <w:tc>
          <w:tcPr>
            <w:tcW w:w="369" w:type="pct"/>
            <w:tcBorders>
              <w:top w:val="nil"/>
              <w:left w:val="nil"/>
              <w:bottom w:val="single" w:sz="4" w:space="0" w:color="auto"/>
              <w:right w:val="single" w:sz="4" w:space="0" w:color="auto"/>
            </w:tcBorders>
            <w:shd w:val="clear" w:color="000000" w:fill="DDEBF7"/>
            <w:vAlign w:val="center"/>
            <w:hideMark/>
          </w:tcPr>
          <w:p w14:paraId="5505AE5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single" w:sz="4" w:space="0" w:color="auto"/>
              <w:left w:val="nil"/>
              <w:bottom w:val="single" w:sz="4" w:space="0" w:color="auto"/>
              <w:right w:val="single" w:sz="4" w:space="0" w:color="auto"/>
            </w:tcBorders>
            <w:shd w:val="clear" w:color="000000" w:fill="DDEBF7"/>
            <w:vAlign w:val="center"/>
            <w:hideMark/>
          </w:tcPr>
          <w:p w14:paraId="55FD710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Instructions (1 day)</w:t>
            </w:r>
          </w:p>
        </w:tc>
        <w:tc>
          <w:tcPr>
            <w:tcW w:w="461" w:type="pct"/>
            <w:tcBorders>
              <w:top w:val="nil"/>
              <w:left w:val="nil"/>
              <w:bottom w:val="single" w:sz="4" w:space="0" w:color="auto"/>
              <w:right w:val="single" w:sz="4" w:space="0" w:color="auto"/>
            </w:tcBorders>
            <w:shd w:val="clear" w:color="000000" w:fill="DDEBF7"/>
            <w:vAlign w:val="center"/>
            <w:hideMark/>
          </w:tcPr>
          <w:p w14:paraId="76E51EC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single" w:sz="4" w:space="0" w:color="auto"/>
            </w:tcBorders>
            <w:shd w:val="clear" w:color="000000" w:fill="DDEBF7"/>
            <w:vAlign w:val="center"/>
            <w:hideMark/>
          </w:tcPr>
          <w:p w14:paraId="4EDBD72C" w14:textId="5CAA019B"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Second Reading (3 days)</w:t>
            </w:r>
          </w:p>
        </w:tc>
        <w:tc>
          <w:tcPr>
            <w:tcW w:w="386" w:type="pct"/>
            <w:tcBorders>
              <w:top w:val="nil"/>
              <w:left w:val="nil"/>
              <w:bottom w:val="single" w:sz="4" w:space="0" w:color="auto"/>
              <w:right w:val="single" w:sz="4" w:space="0" w:color="auto"/>
            </w:tcBorders>
            <w:shd w:val="clear" w:color="000000" w:fill="DDEBF7"/>
            <w:vAlign w:val="center"/>
            <w:hideMark/>
          </w:tcPr>
          <w:p w14:paraId="62DA831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000000" w:fill="DDEBF7"/>
            <w:vAlign w:val="center"/>
            <w:hideMark/>
          </w:tcPr>
          <w:p w14:paraId="73E39D2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4" w:space="0" w:color="auto"/>
              <w:right w:val="single" w:sz="4" w:space="0" w:color="auto"/>
            </w:tcBorders>
            <w:shd w:val="clear" w:color="000000" w:fill="DDEBF7"/>
            <w:vAlign w:val="center"/>
            <w:hideMark/>
          </w:tcPr>
          <w:p w14:paraId="7E101FC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4" w:space="0" w:color="auto"/>
              <w:right w:val="single" w:sz="8" w:space="0" w:color="auto"/>
            </w:tcBorders>
            <w:shd w:val="clear" w:color="000000" w:fill="DDEBF7"/>
            <w:vAlign w:val="center"/>
            <w:hideMark/>
          </w:tcPr>
          <w:p w14:paraId="4B9F197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vAlign w:val="center"/>
            <w:hideMark/>
          </w:tcPr>
          <w:p w14:paraId="319FADF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4176681B"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243E5EDE"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07CA2F49"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#47</w:t>
            </w:r>
          </w:p>
        </w:tc>
        <w:tc>
          <w:tcPr>
            <w:tcW w:w="369" w:type="pct"/>
            <w:tcBorders>
              <w:top w:val="nil"/>
              <w:left w:val="nil"/>
              <w:bottom w:val="single" w:sz="4" w:space="0" w:color="auto"/>
              <w:right w:val="single" w:sz="4" w:space="0" w:color="auto"/>
            </w:tcBorders>
            <w:shd w:val="clear" w:color="auto" w:fill="auto"/>
            <w:vAlign w:val="center"/>
            <w:hideMark/>
          </w:tcPr>
          <w:p w14:paraId="7284C5AE"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auto" w:fill="auto"/>
            <w:vAlign w:val="center"/>
            <w:hideMark/>
          </w:tcPr>
          <w:p w14:paraId="6AA08CF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4" w:space="0" w:color="auto"/>
              <w:right w:val="single" w:sz="4" w:space="0" w:color="auto"/>
            </w:tcBorders>
            <w:shd w:val="clear" w:color="auto" w:fill="auto"/>
            <w:vAlign w:val="center"/>
            <w:hideMark/>
          </w:tcPr>
          <w:p w14:paraId="2C4C90C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single" w:sz="4" w:space="0" w:color="auto"/>
            </w:tcBorders>
            <w:shd w:val="clear" w:color="auto" w:fill="auto"/>
            <w:vAlign w:val="center"/>
            <w:hideMark/>
          </w:tcPr>
          <w:p w14:paraId="105C2E1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3B6005F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auto" w:fill="auto"/>
            <w:vAlign w:val="center"/>
            <w:hideMark/>
          </w:tcPr>
          <w:p w14:paraId="6DD27D2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days)</w:t>
            </w:r>
          </w:p>
        </w:tc>
        <w:tc>
          <w:tcPr>
            <w:tcW w:w="538" w:type="pct"/>
            <w:tcBorders>
              <w:top w:val="nil"/>
              <w:left w:val="nil"/>
              <w:bottom w:val="single" w:sz="4" w:space="0" w:color="auto"/>
              <w:right w:val="single" w:sz="4" w:space="0" w:color="auto"/>
            </w:tcBorders>
            <w:shd w:val="clear" w:color="auto" w:fill="auto"/>
            <w:vAlign w:val="center"/>
            <w:hideMark/>
          </w:tcPr>
          <w:p w14:paraId="3F17E429" w14:textId="56C4E04F"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days)</w:t>
            </w:r>
          </w:p>
        </w:tc>
        <w:tc>
          <w:tcPr>
            <w:tcW w:w="729" w:type="pct"/>
            <w:tcBorders>
              <w:top w:val="nil"/>
              <w:left w:val="nil"/>
              <w:bottom w:val="single" w:sz="4" w:space="0" w:color="auto"/>
              <w:right w:val="single" w:sz="8" w:space="0" w:color="auto"/>
            </w:tcBorders>
            <w:shd w:val="clear" w:color="auto" w:fill="auto"/>
            <w:vAlign w:val="center"/>
            <w:hideMark/>
          </w:tcPr>
          <w:p w14:paraId="1298CC2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vAlign w:val="center"/>
            <w:hideMark/>
          </w:tcPr>
          <w:p w14:paraId="0ADC535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2464737D"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7684A76D"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vMerge/>
            <w:tcBorders>
              <w:top w:val="nil"/>
              <w:left w:val="single" w:sz="8" w:space="0" w:color="auto"/>
              <w:bottom w:val="single" w:sz="4" w:space="0" w:color="000000"/>
              <w:right w:val="single" w:sz="8" w:space="0" w:color="auto"/>
            </w:tcBorders>
            <w:vAlign w:val="center"/>
            <w:hideMark/>
          </w:tcPr>
          <w:p w14:paraId="5A17F5B6"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4041" w:type="pct"/>
            <w:gridSpan w:val="8"/>
            <w:tcBorders>
              <w:top w:val="single" w:sz="4" w:space="0" w:color="auto"/>
              <w:left w:val="nil"/>
              <w:bottom w:val="nil"/>
              <w:right w:val="single" w:sz="8" w:space="0" w:color="000000"/>
            </w:tcBorders>
            <w:shd w:val="clear" w:color="000000" w:fill="E2EFDA"/>
            <w:vAlign w:val="center"/>
            <w:hideMark/>
          </w:tcPr>
          <w:p w14:paraId="643A1D5C"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Commission #56 - Approval in Principle of ISDS Procedural Rules Reforms and ADR Mechanisms and Dispute Prevention</w:t>
            </w:r>
          </w:p>
        </w:tc>
        <w:tc>
          <w:tcPr>
            <w:tcW w:w="195" w:type="pct"/>
            <w:tcBorders>
              <w:top w:val="nil"/>
              <w:left w:val="nil"/>
              <w:bottom w:val="nil"/>
              <w:right w:val="nil"/>
            </w:tcBorders>
            <w:shd w:val="clear" w:color="auto" w:fill="auto"/>
            <w:vAlign w:val="center"/>
            <w:hideMark/>
          </w:tcPr>
          <w:p w14:paraId="24852EE3"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p>
        </w:tc>
      </w:tr>
      <w:tr w:rsidR="002A2F68" w:rsidRPr="00CA6785" w14:paraId="2F407C7F"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3CAF3EA7"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4" w:space="0" w:color="auto"/>
              <w:right w:val="single" w:sz="8" w:space="0" w:color="auto"/>
            </w:tcBorders>
            <w:shd w:val="clear" w:color="000000" w:fill="DDEBF7"/>
            <w:noWrap/>
            <w:vAlign w:val="center"/>
            <w:hideMark/>
          </w:tcPr>
          <w:p w14:paraId="2A036802" w14:textId="3A66562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Working Group #48</w:t>
            </w:r>
          </w:p>
        </w:tc>
        <w:tc>
          <w:tcPr>
            <w:tcW w:w="369" w:type="pct"/>
            <w:tcBorders>
              <w:top w:val="single" w:sz="4" w:space="0" w:color="auto"/>
              <w:left w:val="nil"/>
              <w:bottom w:val="single" w:sz="4" w:space="0" w:color="auto"/>
              <w:right w:val="single" w:sz="4" w:space="0" w:color="auto"/>
            </w:tcBorders>
            <w:shd w:val="clear" w:color="000000" w:fill="DDEBF7"/>
            <w:vAlign w:val="center"/>
            <w:hideMark/>
          </w:tcPr>
          <w:p w14:paraId="5FB9D84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single" w:sz="4" w:space="0" w:color="auto"/>
              <w:left w:val="nil"/>
              <w:bottom w:val="single" w:sz="4" w:space="0" w:color="auto"/>
              <w:right w:val="single" w:sz="4" w:space="0" w:color="auto"/>
            </w:tcBorders>
            <w:shd w:val="clear" w:color="000000" w:fill="DDEBF7"/>
            <w:vAlign w:val="center"/>
            <w:hideMark/>
          </w:tcPr>
          <w:p w14:paraId="77AC48C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single" w:sz="4" w:space="0" w:color="auto"/>
              <w:left w:val="nil"/>
              <w:bottom w:val="single" w:sz="4" w:space="0" w:color="auto"/>
              <w:right w:val="single" w:sz="4" w:space="0" w:color="auto"/>
            </w:tcBorders>
            <w:shd w:val="clear" w:color="000000" w:fill="DDEBF7"/>
            <w:vAlign w:val="center"/>
            <w:hideMark/>
          </w:tcPr>
          <w:p w14:paraId="2770103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single" w:sz="4" w:space="0" w:color="auto"/>
              <w:left w:val="nil"/>
              <w:bottom w:val="single" w:sz="4" w:space="0" w:color="auto"/>
              <w:right w:val="single" w:sz="4" w:space="0" w:color="auto"/>
            </w:tcBorders>
            <w:shd w:val="clear" w:color="000000" w:fill="DDEBF7"/>
            <w:vAlign w:val="center"/>
            <w:hideMark/>
          </w:tcPr>
          <w:p w14:paraId="112A203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single" w:sz="4" w:space="0" w:color="auto"/>
              <w:left w:val="nil"/>
              <w:bottom w:val="single" w:sz="4" w:space="0" w:color="auto"/>
              <w:right w:val="single" w:sz="4" w:space="0" w:color="auto"/>
            </w:tcBorders>
            <w:shd w:val="clear" w:color="000000" w:fill="DDEBF7"/>
            <w:vAlign w:val="center"/>
            <w:hideMark/>
          </w:tcPr>
          <w:p w14:paraId="18228D7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single" w:sz="4" w:space="0" w:color="auto"/>
              <w:left w:val="nil"/>
              <w:bottom w:val="single" w:sz="4" w:space="0" w:color="auto"/>
              <w:right w:val="single" w:sz="4" w:space="0" w:color="auto"/>
            </w:tcBorders>
            <w:shd w:val="clear" w:color="000000" w:fill="DDEBF7"/>
            <w:vAlign w:val="center"/>
            <w:hideMark/>
          </w:tcPr>
          <w:p w14:paraId="009AAE09"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Proc. Rules (2 days)</w:t>
            </w:r>
          </w:p>
        </w:tc>
        <w:tc>
          <w:tcPr>
            <w:tcW w:w="538" w:type="pct"/>
            <w:tcBorders>
              <w:top w:val="single" w:sz="4" w:space="0" w:color="auto"/>
              <w:left w:val="nil"/>
              <w:bottom w:val="single" w:sz="4" w:space="0" w:color="auto"/>
              <w:right w:val="single" w:sz="4" w:space="0" w:color="auto"/>
            </w:tcBorders>
            <w:shd w:val="clear" w:color="000000" w:fill="DDEBF7"/>
            <w:vAlign w:val="center"/>
            <w:hideMark/>
          </w:tcPr>
          <w:p w14:paraId="4913368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Proc. Rules (2 days)</w:t>
            </w:r>
          </w:p>
        </w:tc>
        <w:tc>
          <w:tcPr>
            <w:tcW w:w="729" w:type="pct"/>
            <w:tcBorders>
              <w:top w:val="single" w:sz="4" w:space="0" w:color="auto"/>
              <w:left w:val="nil"/>
              <w:bottom w:val="single" w:sz="4" w:space="0" w:color="auto"/>
              <w:right w:val="single" w:sz="8" w:space="0" w:color="auto"/>
            </w:tcBorders>
            <w:shd w:val="clear" w:color="000000" w:fill="DDEBF7"/>
            <w:vAlign w:val="center"/>
            <w:hideMark/>
          </w:tcPr>
          <w:p w14:paraId="011FE02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3EE6972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63707644"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57F4D938"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4" w:space="0" w:color="auto"/>
              <w:right w:val="single" w:sz="8" w:space="0" w:color="auto"/>
            </w:tcBorders>
            <w:shd w:val="clear" w:color="auto" w:fill="auto"/>
            <w:noWrap/>
            <w:vAlign w:val="center"/>
            <w:hideMark/>
          </w:tcPr>
          <w:p w14:paraId="673E2550"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#48</w:t>
            </w:r>
          </w:p>
        </w:tc>
        <w:tc>
          <w:tcPr>
            <w:tcW w:w="369" w:type="pct"/>
            <w:tcBorders>
              <w:top w:val="nil"/>
              <w:left w:val="nil"/>
              <w:bottom w:val="single" w:sz="4" w:space="0" w:color="auto"/>
              <w:right w:val="single" w:sz="4" w:space="0" w:color="auto"/>
            </w:tcBorders>
            <w:shd w:val="clear" w:color="auto" w:fill="auto"/>
            <w:vAlign w:val="center"/>
            <w:hideMark/>
          </w:tcPr>
          <w:p w14:paraId="562A6473"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auto" w:fill="auto"/>
            <w:vAlign w:val="center"/>
            <w:hideMark/>
          </w:tcPr>
          <w:p w14:paraId="335C695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Inter-Sessional Meeting (2 days)</w:t>
            </w:r>
          </w:p>
        </w:tc>
        <w:tc>
          <w:tcPr>
            <w:tcW w:w="461" w:type="pct"/>
            <w:tcBorders>
              <w:top w:val="nil"/>
              <w:left w:val="nil"/>
              <w:bottom w:val="single" w:sz="4" w:space="0" w:color="auto"/>
              <w:right w:val="single" w:sz="4" w:space="0" w:color="auto"/>
            </w:tcBorders>
            <w:shd w:val="clear" w:color="auto" w:fill="auto"/>
            <w:vAlign w:val="center"/>
            <w:hideMark/>
          </w:tcPr>
          <w:p w14:paraId="7B412496"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single" w:sz="4" w:space="0" w:color="auto"/>
            </w:tcBorders>
            <w:shd w:val="clear" w:color="auto" w:fill="auto"/>
            <w:vAlign w:val="center"/>
            <w:hideMark/>
          </w:tcPr>
          <w:p w14:paraId="0D25785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nil"/>
              <w:left w:val="nil"/>
              <w:bottom w:val="nil"/>
              <w:right w:val="nil"/>
            </w:tcBorders>
            <w:shd w:val="clear" w:color="auto" w:fill="auto"/>
            <w:noWrap/>
            <w:vAlign w:val="bottom"/>
            <w:hideMark/>
          </w:tcPr>
          <w:p w14:paraId="71877AF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c>
          <w:tcPr>
            <w:tcW w:w="387" w:type="pct"/>
            <w:tcBorders>
              <w:top w:val="nil"/>
              <w:left w:val="single" w:sz="4" w:space="0" w:color="auto"/>
              <w:bottom w:val="single" w:sz="4" w:space="0" w:color="auto"/>
              <w:right w:val="single" w:sz="4" w:space="0" w:color="auto"/>
            </w:tcBorders>
            <w:shd w:val="clear" w:color="auto" w:fill="auto"/>
            <w:vAlign w:val="center"/>
            <w:hideMark/>
          </w:tcPr>
          <w:p w14:paraId="75849D1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days)</w:t>
            </w:r>
          </w:p>
        </w:tc>
        <w:tc>
          <w:tcPr>
            <w:tcW w:w="538" w:type="pct"/>
            <w:tcBorders>
              <w:top w:val="nil"/>
              <w:left w:val="nil"/>
              <w:bottom w:val="single" w:sz="4" w:space="0" w:color="auto"/>
              <w:right w:val="single" w:sz="4" w:space="0" w:color="auto"/>
            </w:tcBorders>
            <w:shd w:val="clear" w:color="auto" w:fill="auto"/>
            <w:vAlign w:val="center"/>
            <w:hideMark/>
          </w:tcPr>
          <w:p w14:paraId="7B8B228A" w14:textId="48D091C3"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days)</w:t>
            </w:r>
          </w:p>
        </w:tc>
        <w:tc>
          <w:tcPr>
            <w:tcW w:w="729" w:type="pct"/>
            <w:tcBorders>
              <w:top w:val="nil"/>
              <w:left w:val="nil"/>
              <w:bottom w:val="single" w:sz="4" w:space="0" w:color="auto"/>
              <w:right w:val="single" w:sz="8" w:space="0" w:color="auto"/>
            </w:tcBorders>
            <w:shd w:val="clear" w:color="auto" w:fill="auto"/>
            <w:vAlign w:val="center"/>
            <w:hideMark/>
          </w:tcPr>
          <w:p w14:paraId="23B90856"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0C819CFE"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2E467E42"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6C75FF2B"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4" w:space="0" w:color="auto"/>
              <w:right w:val="single" w:sz="8" w:space="0" w:color="auto"/>
            </w:tcBorders>
            <w:shd w:val="clear" w:color="000000" w:fill="DDEBF7"/>
            <w:noWrap/>
            <w:vAlign w:val="center"/>
            <w:hideMark/>
          </w:tcPr>
          <w:p w14:paraId="05CB071E" w14:textId="0CA86D60"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Working Group #49</w:t>
            </w:r>
          </w:p>
        </w:tc>
        <w:tc>
          <w:tcPr>
            <w:tcW w:w="369" w:type="pct"/>
            <w:tcBorders>
              <w:top w:val="nil"/>
              <w:left w:val="nil"/>
              <w:bottom w:val="single" w:sz="4" w:space="0" w:color="auto"/>
              <w:right w:val="single" w:sz="4" w:space="0" w:color="auto"/>
            </w:tcBorders>
            <w:shd w:val="clear" w:color="000000" w:fill="DDEBF7"/>
            <w:vAlign w:val="center"/>
            <w:hideMark/>
          </w:tcPr>
          <w:p w14:paraId="58DCABF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000000" w:fill="DDEBF7"/>
            <w:vAlign w:val="center"/>
            <w:hideMark/>
          </w:tcPr>
          <w:p w14:paraId="24BEFB8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4" w:space="0" w:color="auto"/>
              <w:right w:val="single" w:sz="4" w:space="0" w:color="auto"/>
            </w:tcBorders>
            <w:shd w:val="clear" w:color="000000" w:fill="DDEBF7"/>
            <w:vAlign w:val="center"/>
            <w:hideMark/>
          </w:tcPr>
          <w:p w14:paraId="4DC5269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single" w:sz="4" w:space="0" w:color="auto"/>
            </w:tcBorders>
            <w:shd w:val="clear" w:color="000000" w:fill="DDEBF7"/>
            <w:vAlign w:val="center"/>
            <w:hideMark/>
          </w:tcPr>
          <w:p w14:paraId="1F673F7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single" w:sz="4" w:space="0" w:color="auto"/>
              <w:left w:val="nil"/>
              <w:bottom w:val="single" w:sz="4" w:space="0" w:color="auto"/>
              <w:right w:val="single" w:sz="4" w:space="0" w:color="auto"/>
            </w:tcBorders>
            <w:shd w:val="clear" w:color="000000" w:fill="DDEBF7"/>
            <w:vAlign w:val="center"/>
            <w:hideMark/>
          </w:tcPr>
          <w:p w14:paraId="56F95C7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Second Reading (3 days)</w:t>
            </w:r>
          </w:p>
        </w:tc>
        <w:tc>
          <w:tcPr>
            <w:tcW w:w="387" w:type="pct"/>
            <w:tcBorders>
              <w:top w:val="nil"/>
              <w:left w:val="nil"/>
              <w:bottom w:val="single" w:sz="4" w:space="0" w:color="auto"/>
              <w:right w:val="single" w:sz="4" w:space="0" w:color="auto"/>
            </w:tcBorders>
            <w:shd w:val="clear" w:color="000000" w:fill="DDEBF7"/>
            <w:vAlign w:val="center"/>
            <w:hideMark/>
          </w:tcPr>
          <w:p w14:paraId="375D2496"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4" w:space="0" w:color="auto"/>
              <w:right w:val="single" w:sz="4" w:space="0" w:color="auto"/>
            </w:tcBorders>
            <w:shd w:val="clear" w:color="000000" w:fill="DDEBF7"/>
            <w:vAlign w:val="center"/>
            <w:hideMark/>
          </w:tcPr>
          <w:p w14:paraId="0B5162C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4" w:space="0" w:color="auto"/>
              <w:right w:val="single" w:sz="8" w:space="0" w:color="auto"/>
            </w:tcBorders>
            <w:shd w:val="clear" w:color="000000" w:fill="DDEBF7"/>
            <w:vAlign w:val="center"/>
            <w:hideMark/>
          </w:tcPr>
          <w:p w14:paraId="4C47A01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Instructions (1 days)</w:t>
            </w:r>
          </w:p>
        </w:tc>
        <w:tc>
          <w:tcPr>
            <w:tcW w:w="195" w:type="pct"/>
            <w:tcBorders>
              <w:top w:val="nil"/>
              <w:left w:val="nil"/>
              <w:bottom w:val="nil"/>
              <w:right w:val="nil"/>
            </w:tcBorders>
            <w:shd w:val="clear" w:color="auto" w:fill="auto"/>
            <w:noWrap/>
            <w:vAlign w:val="center"/>
            <w:hideMark/>
          </w:tcPr>
          <w:p w14:paraId="72D69CB3"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1A11CF32" w14:textId="77777777" w:rsidTr="008E3FB5">
        <w:trPr>
          <w:trHeight w:val="540"/>
        </w:trPr>
        <w:tc>
          <w:tcPr>
            <w:tcW w:w="190" w:type="pct"/>
            <w:vMerge/>
            <w:tcBorders>
              <w:top w:val="nil"/>
              <w:left w:val="single" w:sz="8" w:space="0" w:color="auto"/>
              <w:bottom w:val="single" w:sz="8" w:space="0" w:color="000000"/>
              <w:right w:val="single" w:sz="8" w:space="0" w:color="auto"/>
            </w:tcBorders>
            <w:vAlign w:val="center"/>
            <w:hideMark/>
          </w:tcPr>
          <w:p w14:paraId="61666DEF"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8" w:space="0" w:color="auto"/>
              <w:right w:val="single" w:sz="8" w:space="0" w:color="auto"/>
            </w:tcBorders>
            <w:shd w:val="clear" w:color="auto" w:fill="auto"/>
            <w:noWrap/>
            <w:vAlign w:val="center"/>
            <w:hideMark/>
          </w:tcPr>
          <w:p w14:paraId="3194605D"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#49</w:t>
            </w:r>
          </w:p>
        </w:tc>
        <w:tc>
          <w:tcPr>
            <w:tcW w:w="369" w:type="pct"/>
            <w:tcBorders>
              <w:top w:val="nil"/>
              <w:left w:val="nil"/>
              <w:bottom w:val="single" w:sz="8" w:space="0" w:color="auto"/>
              <w:right w:val="single" w:sz="4" w:space="0" w:color="auto"/>
            </w:tcBorders>
            <w:shd w:val="clear" w:color="auto" w:fill="auto"/>
            <w:vAlign w:val="center"/>
            <w:hideMark/>
          </w:tcPr>
          <w:p w14:paraId="244190E6"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8" w:space="0" w:color="auto"/>
              <w:right w:val="single" w:sz="4" w:space="0" w:color="auto"/>
            </w:tcBorders>
            <w:shd w:val="clear" w:color="auto" w:fill="auto"/>
            <w:vAlign w:val="center"/>
            <w:hideMark/>
          </w:tcPr>
          <w:p w14:paraId="02609B7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(1 day)</w:t>
            </w:r>
          </w:p>
        </w:tc>
        <w:tc>
          <w:tcPr>
            <w:tcW w:w="461" w:type="pct"/>
            <w:tcBorders>
              <w:top w:val="nil"/>
              <w:left w:val="nil"/>
              <w:bottom w:val="single" w:sz="8" w:space="0" w:color="auto"/>
              <w:right w:val="single" w:sz="4" w:space="0" w:color="auto"/>
            </w:tcBorders>
            <w:shd w:val="clear" w:color="auto" w:fill="auto"/>
            <w:vAlign w:val="center"/>
            <w:hideMark/>
          </w:tcPr>
          <w:p w14:paraId="4F395B9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8" w:space="0" w:color="auto"/>
              <w:right w:val="single" w:sz="4" w:space="0" w:color="auto"/>
            </w:tcBorders>
            <w:shd w:val="clear" w:color="auto" w:fill="auto"/>
            <w:vAlign w:val="center"/>
            <w:hideMark/>
          </w:tcPr>
          <w:p w14:paraId="667B28D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nil"/>
              <w:left w:val="nil"/>
              <w:bottom w:val="single" w:sz="8" w:space="0" w:color="auto"/>
              <w:right w:val="single" w:sz="4" w:space="0" w:color="auto"/>
            </w:tcBorders>
            <w:shd w:val="clear" w:color="auto" w:fill="auto"/>
            <w:vAlign w:val="center"/>
            <w:hideMark/>
          </w:tcPr>
          <w:p w14:paraId="1DD9A18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8" w:space="0" w:color="auto"/>
              <w:right w:val="single" w:sz="4" w:space="0" w:color="auto"/>
            </w:tcBorders>
            <w:shd w:val="clear" w:color="auto" w:fill="auto"/>
            <w:vAlign w:val="center"/>
            <w:hideMark/>
          </w:tcPr>
          <w:p w14:paraId="4117B74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8" w:space="0" w:color="auto"/>
              <w:right w:val="single" w:sz="4" w:space="0" w:color="auto"/>
            </w:tcBorders>
            <w:shd w:val="clear" w:color="auto" w:fill="auto"/>
            <w:vAlign w:val="center"/>
            <w:hideMark/>
          </w:tcPr>
          <w:p w14:paraId="45DFE25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8" w:space="0" w:color="auto"/>
              <w:right w:val="single" w:sz="8" w:space="0" w:color="auto"/>
            </w:tcBorders>
            <w:shd w:val="clear" w:color="auto" w:fill="auto"/>
            <w:vAlign w:val="center"/>
            <w:hideMark/>
          </w:tcPr>
          <w:p w14:paraId="38FABD2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(3 days)</w:t>
            </w:r>
          </w:p>
        </w:tc>
        <w:tc>
          <w:tcPr>
            <w:tcW w:w="195" w:type="pct"/>
            <w:tcBorders>
              <w:top w:val="nil"/>
              <w:left w:val="nil"/>
              <w:bottom w:val="nil"/>
              <w:right w:val="nil"/>
            </w:tcBorders>
            <w:shd w:val="clear" w:color="auto" w:fill="auto"/>
            <w:noWrap/>
            <w:vAlign w:val="center"/>
            <w:hideMark/>
          </w:tcPr>
          <w:p w14:paraId="06377F0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61072554" w14:textId="77777777" w:rsidTr="008E3FB5">
        <w:trPr>
          <w:trHeight w:val="540"/>
        </w:trPr>
        <w:tc>
          <w:tcPr>
            <w:tcW w:w="19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384670DB"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2024</w:t>
            </w:r>
          </w:p>
        </w:tc>
        <w:tc>
          <w:tcPr>
            <w:tcW w:w="575" w:type="pct"/>
            <w:tcBorders>
              <w:top w:val="single" w:sz="8" w:space="0" w:color="auto"/>
              <w:left w:val="nil"/>
              <w:bottom w:val="single" w:sz="4" w:space="0" w:color="auto"/>
              <w:right w:val="single" w:sz="8" w:space="0" w:color="auto"/>
            </w:tcBorders>
            <w:shd w:val="clear" w:color="000000" w:fill="DDEBF7"/>
            <w:noWrap/>
            <w:vAlign w:val="center"/>
            <w:hideMark/>
          </w:tcPr>
          <w:p w14:paraId="0164442D" w14:textId="13ACCFBA"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Working Group #50</w:t>
            </w:r>
          </w:p>
        </w:tc>
        <w:tc>
          <w:tcPr>
            <w:tcW w:w="369" w:type="pct"/>
            <w:tcBorders>
              <w:top w:val="single" w:sz="8" w:space="0" w:color="auto"/>
              <w:left w:val="nil"/>
              <w:bottom w:val="single" w:sz="4" w:space="0" w:color="auto"/>
              <w:right w:val="single" w:sz="4" w:space="0" w:color="auto"/>
            </w:tcBorders>
            <w:shd w:val="clear" w:color="000000" w:fill="DDEBF7"/>
            <w:vAlign w:val="center"/>
            <w:hideMark/>
          </w:tcPr>
          <w:p w14:paraId="7E9811D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single" w:sz="8" w:space="0" w:color="auto"/>
              <w:left w:val="nil"/>
              <w:bottom w:val="single" w:sz="4" w:space="0" w:color="auto"/>
              <w:right w:val="single" w:sz="4" w:space="0" w:color="auto"/>
            </w:tcBorders>
            <w:shd w:val="clear" w:color="000000" w:fill="DDEBF7"/>
            <w:vAlign w:val="center"/>
            <w:hideMark/>
          </w:tcPr>
          <w:p w14:paraId="2AF063DB"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First Reading (1 day)</w:t>
            </w:r>
          </w:p>
        </w:tc>
        <w:tc>
          <w:tcPr>
            <w:tcW w:w="461" w:type="pct"/>
            <w:tcBorders>
              <w:top w:val="single" w:sz="8" w:space="0" w:color="auto"/>
              <w:left w:val="nil"/>
              <w:bottom w:val="single" w:sz="4" w:space="0" w:color="auto"/>
              <w:right w:val="single" w:sz="4" w:space="0" w:color="auto"/>
            </w:tcBorders>
            <w:shd w:val="clear" w:color="000000" w:fill="DDEBF7"/>
            <w:vAlign w:val="center"/>
            <w:hideMark/>
          </w:tcPr>
          <w:p w14:paraId="6333A159"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single" w:sz="8" w:space="0" w:color="auto"/>
              <w:left w:val="nil"/>
              <w:bottom w:val="single" w:sz="4" w:space="0" w:color="auto"/>
              <w:right w:val="single" w:sz="4" w:space="0" w:color="auto"/>
            </w:tcBorders>
            <w:shd w:val="clear" w:color="000000" w:fill="DDEBF7"/>
            <w:vAlign w:val="center"/>
            <w:hideMark/>
          </w:tcPr>
          <w:p w14:paraId="4EC1B689"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single" w:sz="8" w:space="0" w:color="auto"/>
              <w:left w:val="nil"/>
              <w:bottom w:val="single" w:sz="4" w:space="0" w:color="auto"/>
              <w:right w:val="single" w:sz="4" w:space="0" w:color="auto"/>
            </w:tcBorders>
            <w:shd w:val="clear" w:color="000000" w:fill="DDEBF7"/>
            <w:vAlign w:val="center"/>
            <w:hideMark/>
          </w:tcPr>
          <w:p w14:paraId="7884927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single" w:sz="8" w:space="0" w:color="auto"/>
              <w:left w:val="nil"/>
              <w:bottom w:val="single" w:sz="4" w:space="0" w:color="auto"/>
              <w:right w:val="single" w:sz="4" w:space="0" w:color="auto"/>
            </w:tcBorders>
            <w:shd w:val="clear" w:color="000000" w:fill="DDEBF7"/>
            <w:vAlign w:val="center"/>
            <w:hideMark/>
          </w:tcPr>
          <w:p w14:paraId="10F4B4C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single" w:sz="8" w:space="0" w:color="auto"/>
              <w:left w:val="nil"/>
              <w:bottom w:val="single" w:sz="4" w:space="0" w:color="auto"/>
              <w:right w:val="single" w:sz="4" w:space="0" w:color="auto"/>
            </w:tcBorders>
            <w:shd w:val="clear" w:color="000000" w:fill="DDEBF7"/>
            <w:vAlign w:val="center"/>
            <w:hideMark/>
          </w:tcPr>
          <w:p w14:paraId="16C726F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Second Reading (3 days)</w:t>
            </w:r>
          </w:p>
        </w:tc>
        <w:tc>
          <w:tcPr>
            <w:tcW w:w="729" w:type="pct"/>
            <w:tcBorders>
              <w:top w:val="single" w:sz="8" w:space="0" w:color="auto"/>
              <w:left w:val="nil"/>
              <w:bottom w:val="single" w:sz="4" w:space="0" w:color="auto"/>
              <w:right w:val="single" w:sz="8" w:space="0" w:color="auto"/>
            </w:tcBorders>
            <w:shd w:val="clear" w:color="000000" w:fill="DDEBF7"/>
            <w:vAlign w:val="center"/>
            <w:hideMark/>
          </w:tcPr>
          <w:p w14:paraId="712E4C7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vAlign w:val="center"/>
            <w:hideMark/>
          </w:tcPr>
          <w:p w14:paraId="183915D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2ED2CE81" w14:textId="77777777" w:rsidTr="008E3FB5">
        <w:trPr>
          <w:trHeight w:val="540"/>
        </w:trPr>
        <w:tc>
          <w:tcPr>
            <w:tcW w:w="190" w:type="pct"/>
            <w:vMerge/>
            <w:tcBorders>
              <w:top w:val="nil"/>
              <w:left w:val="single" w:sz="8" w:space="0" w:color="auto"/>
              <w:bottom w:val="single" w:sz="8" w:space="0" w:color="000000"/>
              <w:right w:val="single" w:sz="8" w:space="0" w:color="auto"/>
            </w:tcBorders>
            <w:vAlign w:val="center"/>
            <w:hideMark/>
          </w:tcPr>
          <w:p w14:paraId="6A2FF402"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single" w:sz="4" w:space="0" w:color="auto"/>
              <w:left w:val="nil"/>
              <w:bottom w:val="single" w:sz="4" w:space="0" w:color="auto"/>
              <w:right w:val="single" w:sz="8" w:space="0" w:color="auto"/>
            </w:tcBorders>
            <w:shd w:val="clear" w:color="auto" w:fill="auto"/>
            <w:noWrap/>
            <w:vAlign w:val="center"/>
            <w:hideMark/>
          </w:tcPr>
          <w:p w14:paraId="4CB0F187"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#50</w:t>
            </w:r>
          </w:p>
        </w:tc>
        <w:tc>
          <w:tcPr>
            <w:tcW w:w="369" w:type="pct"/>
            <w:tcBorders>
              <w:top w:val="single" w:sz="4" w:space="0" w:color="auto"/>
              <w:left w:val="nil"/>
              <w:bottom w:val="single" w:sz="4" w:space="0" w:color="auto"/>
              <w:right w:val="single" w:sz="4" w:space="0" w:color="auto"/>
            </w:tcBorders>
            <w:shd w:val="clear" w:color="auto" w:fill="auto"/>
            <w:vAlign w:val="center"/>
            <w:hideMark/>
          </w:tcPr>
          <w:p w14:paraId="3B2EAB19"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0866BCD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(2 days)</w:t>
            </w:r>
          </w:p>
        </w:tc>
        <w:tc>
          <w:tcPr>
            <w:tcW w:w="461" w:type="pct"/>
            <w:tcBorders>
              <w:top w:val="single" w:sz="4" w:space="0" w:color="auto"/>
              <w:left w:val="nil"/>
              <w:bottom w:val="single" w:sz="4" w:space="0" w:color="auto"/>
              <w:right w:val="single" w:sz="4" w:space="0" w:color="auto"/>
            </w:tcBorders>
            <w:shd w:val="clear" w:color="auto" w:fill="auto"/>
            <w:vAlign w:val="center"/>
            <w:hideMark/>
          </w:tcPr>
          <w:p w14:paraId="686861DE"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single" w:sz="4" w:space="0" w:color="auto"/>
              <w:left w:val="nil"/>
              <w:bottom w:val="single" w:sz="4" w:space="0" w:color="auto"/>
              <w:right w:val="single" w:sz="4" w:space="0" w:color="auto"/>
            </w:tcBorders>
            <w:shd w:val="clear" w:color="auto" w:fill="auto"/>
            <w:vAlign w:val="center"/>
            <w:hideMark/>
          </w:tcPr>
          <w:p w14:paraId="077F7DF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single" w:sz="4" w:space="0" w:color="auto"/>
              <w:left w:val="nil"/>
              <w:bottom w:val="single" w:sz="4" w:space="0" w:color="auto"/>
              <w:right w:val="single" w:sz="4" w:space="0" w:color="auto"/>
            </w:tcBorders>
            <w:shd w:val="clear" w:color="auto" w:fill="auto"/>
            <w:vAlign w:val="center"/>
            <w:hideMark/>
          </w:tcPr>
          <w:p w14:paraId="410FE09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single" w:sz="4" w:space="0" w:color="auto"/>
              <w:left w:val="nil"/>
              <w:bottom w:val="single" w:sz="4" w:space="0" w:color="auto"/>
              <w:right w:val="single" w:sz="4" w:space="0" w:color="auto"/>
            </w:tcBorders>
            <w:shd w:val="clear" w:color="auto" w:fill="auto"/>
            <w:vAlign w:val="center"/>
            <w:hideMark/>
          </w:tcPr>
          <w:p w14:paraId="1927F0B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single" w:sz="4" w:space="0" w:color="auto"/>
              <w:left w:val="nil"/>
              <w:bottom w:val="single" w:sz="4" w:space="0" w:color="auto"/>
              <w:right w:val="single" w:sz="4" w:space="0" w:color="auto"/>
            </w:tcBorders>
            <w:shd w:val="clear" w:color="auto" w:fill="auto"/>
            <w:vAlign w:val="center"/>
            <w:hideMark/>
          </w:tcPr>
          <w:p w14:paraId="2C4ACA5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single" w:sz="4" w:space="0" w:color="auto"/>
              <w:left w:val="nil"/>
              <w:bottom w:val="single" w:sz="4" w:space="0" w:color="auto"/>
              <w:right w:val="single" w:sz="8" w:space="0" w:color="auto"/>
            </w:tcBorders>
            <w:shd w:val="clear" w:color="auto" w:fill="auto"/>
            <w:vAlign w:val="center"/>
            <w:hideMark/>
          </w:tcPr>
          <w:p w14:paraId="4C40487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(3 days)</w:t>
            </w:r>
          </w:p>
        </w:tc>
        <w:tc>
          <w:tcPr>
            <w:tcW w:w="195" w:type="pct"/>
            <w:tcBorders>
              <w:top w:val="nil"/>
              <w:left w:val="nil"/>
              <w:bottom w:val="nil"/>
              <w:right w:val="nil"/>
            </w:tcBorders>
            <w:shd w:val="clear" w:color="auto" w:fill="auto"/>
            <w:noWrap/>
            <w:vAlign w:val="center"/>
            <w:hideMark/>
          </w:tcPr>
          <w:p w14:paraId="5929ACB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7DF0B643"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6848FA49"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4" w:space="0" w:color="auto"/>
              <w:right w:val="single" w:sz="8" w:space="0" w:color="auto"/>
            </w:tcBorders>
            <w:shd w:val="clear" w:color="000000" w:fill="DDEBF7"/>
            <w:noWrap/>
            <w:vAlign w:val="center"/>
            <w:hideMark/>
          </w:tcPr>
          <w:p w14:paraId="52B6B10A" w14:textId="769E31D9"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Working Group #51</w:t>
            </w:r>
          </w:p>
        </w:tc>
        <w:tc>
          <w:tcPr>
            <w:tcW w:w="369" w:type="pct"/>
            <w:tcBorders>
              <w:top w:val="nil"/>
              <w:left w:val="nil"/>
              <w:bottom w:val="single" w:sz="4" w:space="0" w:color="auto"/>
              <w:right w:val="single" w:sz="4" w:space="0" w:color="auto"/>
            </w:tcBorders>
            <w:shd w:val="clear" w:color="000000" w:fill="DDEBF7"/>
            <w:vAlign w:val="center"/>
            <w:hideMark/>
          </w:tcPr>
          <w:p w14:paraId="45B2A366"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000000" w:fill="DDEBF7"/>
            <w:vAlign w:val="center"/>
            <w:hideMark/>
          </w:tcPr>
          <w:p w14:paraId="713366EE"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4" w:space="0" w:color="auto"/>
              <w:right w:val="single" w:sz="4" w:space="0" w:color="auto"/>
            </w:tcBorders>
            <w:shd w:val="clear" w:color="000000" w:fill="DDEBF7"/>
            <w:vAlign w:val="center"/>
            <w:hideMark/>
          </w:tcPr>
          <w:p w14:paraId="5C00A15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single" w:sz="4" w:space="0" w:color="auto"/>
            </w:tcBorders>
            <w:shd w:val="clear" w:color="000000" w:fill="DDEBF7"/>
            <w:vAlign w:val="center"/>
            <w:hideMark/>
          </w:tcPr>
          <w:p w14:paraId="1F3B2BA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nil"/>
              <w:left w:val="nil"/>
              <w:bottom w:val="single" w:sz="4" w:space="0" w:color="auto"/>
              <w:right w:val="single" w:sz="4" w:space="0" w:color="auto"/>
            </w:tcBorders>
            <w:shd w:val="clear" w:color="000000" w:fill="DDEBF7"/>
            <w:vAlign w:val="center"/>
            <w:hideMark/>
          </w:tcPr>
          <w:p w14:paraId="3C06685B"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000000" w:fill="DDEBF7"/>
            <w:vAlign w:val="center"/>
            <w:hideMark/>
          </w:tcPr>
          <w:p w14:paraId="5CDE37D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Second Reading (3 days)</w:t>
            </w:r>
          </w:p>
        </w:tc>
        <w:tc>
          <w:tcPr>
            <w:tcW w:w="538" w:type="pct"/>
            <w:tcBorders>
              <w:top w:val="nil"/>
              <w:left w:val="nil"/>
              <w:bottom w:val="single" w:sz="4" w:space="0" w:color="auto"/>
              <w:right w:val="single" w:sz="4" w:space="0" w:color="auto"/>
            </w:tcBorders>
            <w:shd w:val="clear" w:color="000000" w:fill="DDEBF7"/>
            <w:vAlign w:val="center"/>
            <w:hideMark/>
          </w:tcPr>
          <w:p w14:paraId="5411D3B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4" w:space="0" w:color="auto"/>
              <w:right w:val="single" w:sz="8" w:space="0" w:color="auto"/>
            </w:tcBorders>
            <w:shd w:val="clear" w:color="000000" w:fill="DDEBF7"/>
            <w:vAlign w:val="center"/>
            <w:hideMark/>
          </w:tcPr>
          <w:p w14:paraId="4AF47A7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First Reading (1 day)</w:t>
            </w:r>
          </w:p>
        </w:tc>
        <w:tc>
          <w:tcPr>
            <w:tcW w:w="195" w:type="pct"/>
            <w:tcBorders>
              <w:top w:val="nil"/>
              <w:left w:val="nil"/>
              <w:bottom w:val="nil"/>
              <w:right w:val="nil"/>
            </w:tcBorders>
            <w:shd w:val="clear" w:color="auto" w:fill="auto"/>
            <w:noWrap/>
            <w:vAlign w:val="center"/>
            <w:hideMark/>
          </w:tcPr>
          <w:p w14:paraId="200BC0D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11690460"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168D2C37"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vMerge w:val="restart"/>
            <w:tcBorders>
              <w:top w:val="nil"/>
              <w:left w:val="single" w:sz="8" w:space="0" w:color="auto"/>
              <w:bottom w:val="single" w:sz="4" w:space="0" w:color="000000"/>
              <w:right w:val="single" w:sz="8" w:space="0" w:color="auto"/>
            </w:tcBorders>
            <w:shd w:val="clear" w:color="auto" w:fill="auto"/>
            <w:noWrap/>
            <w:vAlign w:val="center"/>
            <w:hideMark/>
          </w:tcPr>
          <w:p w14:paraId="40E607D5"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#51</w:t>
            </w:r>
          </w:p>
        </w:tc>
        <w:tc>
          <w:tcPr>
            <w:tcW w:w="369" w:type="pct"/>
            <w:tcBorders>
              <w:top w:val="nil"/>
              <w:left w:val="nil"/>
              <w:bottom w:val="single" w:sz="4" w:space="0" w:color="auto"/>
              <w:right w:val="single" w:sz="4" w:space="0" w:color="auto"/>
            </w:tcBorders>
            <w:shd w:val="clear" w:color="auto" w:fill="auto"/>
            <w:vAlign w:val="center"/>
            <w:hideMark/>
          </w:tcPr>
          <w:p w14:paraId="53C745A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auto" w:fill="auto"/>
            <w:vAlign w:val="center"/>
            <w:hideMark/>
          </w:tcPr>
          <w:p w14:paraId="1EC7F84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4" w:space="0" w:color="auto"/>
              <w:right w:val="single" w:sz="4" w:space="0" w:color="auto"/>
            </w:tcBorders>
            <w:shd w:val="clear" w:color="auto" w:fill="auto"/>
            <w:vAlign w:val="center"/>
            <w:hideMark/>
          </w:tcPr>
          <w:p w14:paraId="788B8E4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single" w:sz="4" w:space="0" w:color="auto"/>
            </w:tcBorders>
            <w:shd w:val="clear" w:color="auto" w:fill="auto"/>
            <w:vAlign w:val="center"/>
            <w:hideMark/>
          </w:tcPr>
          <w:p w14:paraId="1CDD601B"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73BCB576"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auto" w:fill="auto"/>
            <w:vAlign w:val="center"/>
            <w:hideMark/>
          </w:tcPr>
          <w:p w14:paraId="298A5EE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4" w:space="0" w:color="auto"/>
              <w:right w:val="single" w:sz="4" w:space="0" w:color="auto"/>
            </w:tcBorders>
            <w:shd w:val="clear" w:color="auto" w:fill="auto"/>
            <w:vAlign w:val="center"/>
            <w:hideMark/>
          </w:tcPr>
          <w:p w14:paraId="3C67F1F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4" w:space="0" w:color="auto"/>
              <w:right w:val="single" w:sz="8" w:space="0" w:color="auto"/>
            </w:tcBorders>
            <w:shd w:val="clear" w:color="auto" w:fill="auto"/>
            <w:vAlign w:val="center"/>
            <w:hideMark/>
          </w:tcPr>
          <w:p w14:paraId="7ABADBC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(1 day)</w:t>
            </w:r>
          </w:p>
        </w:tc>
        <w:tc>
          <w:tcPr>
            <w:tcW w:w="195" w:type="pct"/>
            <w:tcBorders>
              <w:top w:val="nil"/>
              <w:left w:val="nil"/>
              <w:bottom w:val="nil"/>
              <w:right w:val="nil"/>
            </w:tcBorders>
            <w:shd w:val="clear" w:color="auto" w:fill="auto"/>
            <w:noWrap/>
            <w:vAlign w:val="center"/>
            <w:hideMark/>
          </w:tcPr>
          <w:p w14:paraId="6D8E914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75AABA77"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04D9A2C8"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vMerge/>
            <w:tcBorders>
              <w:top w:val="nil"/>
              <w:left w:val="single" w:sz="8" w:space="0" w:color="auto"/>
              <w:bottom w:val="single" w:sz="4" w:space="0" w:color="000000"/>
              <w:right w:val="single" w:sz="8" w:space="0" w:color="auto"/>
            </w:tcBorders>
            <w:vAlign w:val="center"/>
            <w:hideMark/>
          </w:tcPr>
          <w:p w14:paraId="2C468635"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4041" w:type="pct"/>
            <w:gridSpan w:val="8"/>
            <w:tcBorders>
              <w:top w:val="single" w:sz="4" w:space="0" w:color="auto"/>
              <w:left w:val="nil"/>
              <w:bottom w:val="nil"/>
              <w:right w:val="single" w:sz="8" w:space="0" w:color="000000"/>
            </w:tcBorders>
            <w:shd w:val="clear" w:color="000000" w:fill="E2EFDA"/>
            <w:vAlign w:val="center"/>
            <w:hideMark/>
          </w:tcPr>
          <w:p w14:paraId="289777E5"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 xml:space="preserve">Commission #57- Approval in Principle of Reforms Relating to the Creation of a Multilateral Advisory Centre, Appellate </w:t>
            </w:r>
            <w:proofErr w:type="gramStart"/>
            <w:r w:rsidRPr="00CA6785">
              <w:rPr>
                <w:rFonts w:eastAsia="Times New Roman"/>
                <w:b/>
                <w:bCs/>
                <w:spacing w:val="0"/>
                <w:w w:val="100"/>
                <w:kern w:val="0"/>
                <w:sz w:val="16"/>
                <w:szCs w:val="16"/>
                <w:lang w:val="en-US"/>
              </w:rPr>
              <w:t>Mechanism</w:t>
            </w:r>
            <w:proofErr w:type="gramEnd"/>
            <w:r w:rsidRPr="00CA6785">
              <w:rPr>
                <w:rFonts w:eastAsia="Times New Roman"/>
                <w:b/>
                <w:bCs/>
                <w:spacing w:val="0"/>
                <w:w w:val="100"/>
                <w:kern w:val="0"/>
                <w:sz w:val="16"/>
                <w:szCs w:val="16"/>
                <w:lang w:val="en-US"/>
              </w:rPr>
              <w:t xml:space="preserve"> and a Multilateral Permanent Investment Court</w:t>
            </w:r>
          </w:p>
        </w:tc>
        <w:tc>
          <w:tcPr>
            <w:tcW w:w="195" w:type="pct"/>
            <w:tcBorders>
              <w:top w:val="nil"/>
              <w:left w:val="nil"/>
              <w:bottom w:val="nil"/>
              <w:right w:val="nil"/>
            </w:tcBorders>
            <w:shd w:val="clear" w:color="auto" w:fill="auto"/>
            <w:noWrap/>
            <w:vAlign w:val="center"/>
            <w:hideMark/>
          </w:tcPr>
          <w:p w14:paraId="55DF6175"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p>
        </w:tc>
      </w:tr>
      <w:tr w:rsidR="002A2F68" w:rsidRPr="00CA6785" w14:paraId="5749ADD6"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31C055D3"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4" w:space="0" w:color="auto"/>
              <w:right w:val="single" w:sz="8" w:space="0" w:color="auto"/>
            </w:tcBorders>
            <w:shd w:val="clear" w:color="000000" w:fill="DDEBF7"/>
            <w:noWrap/>
            <w:vAlign w:val="center"/>
            <w:hideMark/>
          </w:tcPr>
          <w:p w14:paraId="3AA95D63"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Working Group #52</w:t>
            </w:r>
          </w:p>
        </w:tc>
        <w:tc>
          <w:tcPr>
            <w:tcW w:w="369" w:type="pct"/>
            <w:tcBorders>
              <w:top w:val="single" w:sz="4" w:space="0" w:color="auto"/>
              <w:left w:val="nil"/>
              <w:bottom w:val="single" w:sz="4" w:space="0" w:color="auto"/>
              <w:right w:val="single" w:sz="4" w:space="0" w:color="auto"/>
            </w:tcBorders>
            <w:shd w:val="clear" w:color="000000" w:fill="DDEBF7"/>
            <w:vAlign w:val="center"/>
            <w:hideMark/>
          </w:tcPr>
          <w:p w14:paraId="0E7081B9"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single" w:sz="4" w:space="0" w:color="auto"/>
              <w:left w:val="nil"/>
              <w:bottom w:val="single" w:sz="4" w:space="0" w:color="auto"/>
              <w:right w:val="single" w:sz="4" w:space="0" w:color="auto"/>
            </w:tcBorders>
            <w:shd w:val="clear" w:color="000000" w:fill="DDEBF7"/>
            <w:vAlign w:val="center"/>
            <w:hideMark/>
          </w:tcPr>
          <w:p w14:paraId="0D2D591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Second Reading (2 days)</w:t>
            </w:r>
          </w:p>
        </w:tc>
        <w:tc>
          <w:tcPr>
            <w:tcW w:w="461" w:type="pct"/>
            <w:tcBorders>
              <w:top w:val="single" w:sz="4" w:space="0" w:color="auto"/>
              <w:left w:val="nil"/>
              <w:bottom w:val="single" w:sz="4" w:space="0" w:color="auto"/>
              <w:right w:val="single" w:sz="4" w:space="0" w:color="auto"/>
            </w:tcBorders>
            <w:shd w:val="clear" w:color="000000" w:fill="DDEBF7"/>
            <w:vAlign w:val="center"/>
            <w:hideMark/>
          </w:tcPr>
          <w:p w14:paraId="1FC0B59B"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single" w:sz="4" w:space="0" w:color="auto"/>
              <w:left w:val="nil"/>
              <w:bottom w:val="single" w:sz="4" w:space="0" w:color="auto"/>
              <w:right w:val="single" w:sz="4" w:space="0" w:color="auto"/>
            </w:tcBorders>
            <w:shd w:val="clear" w:color="000000" w:fill="DDEBF7"/>
            <w:vAlign w:val="center"/>
            <w:hideMark/>
          </w:tcPr>
          <w:p w14:paraId="3F03CFC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single" w:sz="4" w:space="0" w:color="auto"/>
              <w:left w:val="nil"/>
              <w:bottom w:val="single" w:sz="4" w:space="0" w:color="auto"/>
              <w:right w:val="single" w:sz="4" w:space="0" w:color="auto"/>
            </w:tcBorders>
            <w:shd w:val="clear" w:color="000000" w:fill="DDEBF7"/>
            <w:vAlign w:val="center"/>
            <w:hideMark/>
          </w:tcPr>
          <w:p w14:paraId="1045EDCB"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single" w:sz="4" w:space="0" w:color="auto"/>
              <w:left w:val="nil"/>
              <w:bottom w:val="single" w:sz="4" w:space="0" w:color="auto"/>
              <w:right w:val="single" w:sz="4" w:space="0" w:color="auto"/>
            </w:tcBorders>
            <w:shd w:val="clear" w:color="000000" w:fill="DDEBF7"/>
            <w:vAlign w:val="center"/>
            <w:hideMark/>
          </w:tcPr>
          <w:p w14:paraId="65C02D9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single" w:sz="4" w:space="0" w:color="auto"/>
              <w:left w:val="nil"/>
              <w:bottom w:val="single" w:sz="4" w:space="0" w:color="auto"/>
              <w:right w:val="single" w:sz="4" w:space="0" w:color="auto"/>
            </w:tcBorders>
            <w:shd w:val="clear" w:color="000000" w:fill="DDEBF7"/>
            <w:vAlign w:val="center"/>
            <w:hideMark/>
          </w:tcPr>
          <w:p w14:paraId="18A186B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single" w:sz="4" w:space="0" w:color="auto"/>
              <w:left w:val="nil"/>
              <w:bottom w:val="single" w:sz="4" w:space="0" w:color="auto"/>
              <w:right w:val="single" w:sz="8" w:space="0" w:color="auto"/>
            </w:tcBorders>
            <w:shd w:val="clear" w:color="000000" w:fill="DDEBF7"/>
            <w:vAlign w:val="center"/>
            <w:hideMark/>
          </w:tcPr>
          <w:p w14:paraId="07BB0A2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First Reading (resumed) (2 days)</w:t>
            </w:r>
          </w:p>
        </w:tc>
        <w:tc>
          <w:tcPr>
            <w:tcW w:w="195" w:type="pct"/>
            <w:tcBorders>
              <w:top w:val="nil"/>
              <w:left w:val="nil"/>
              <w:bottom w:val="nil"/>
              <w:right w:val="nil"/>
            </w:tcBorders>
            <w:shd w:val="clear" w:color="auto" w:fill="auto"/>
            <w:noWrap/>
            <w:vAlign w:val="center"/>
            <w:hideMark/>
          </w:tcPr>
          <w:p w14:paraId="2D815FE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40EBDC95"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409EC10F"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nil"/>
              <w:right w:val="single" w:sz="8" w:space="0" w:color="auto"/>
            </w:tcBorders>
            <w:shd w:val="clear" w:color="auto" w:fill="auto"/>
            <w:noWrap/>
            <w:vAlign w:val="center"/>
            <w:hideMark/>
          </w:tcPr>
          <w:p w14:paraId="25613FE2"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#52</w:t>
            </w:r>
          </w:p>
        </w:tc>
        <w:tc>
          <w:tcPr>
            <w:tcW w:w="369" w:type="pct"/>
            <w:tcBorders>
              <w:top w:val="nil"/>
              <w:left w:val="nil"/>
              <w:bottom w:val="single" w:sz="4" w:space="0" w:color="auto"/>
              <w:right w:val="single" w:sz="4" w:space="0" w:color="auto"/>
            </w:tcBorders>
            <w:shd w:val="clear" w:color="auto" w:fill="auto"/>
            <w:vAlign w:val="center"/>
            <w:hideMark/>
          </w:tcPr>
          <w:p w14:paraId="1EDC760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auto" w:fill="auto"/>
            <w:vAlign w:val="center"/>
            <w:hideMark/>
          </w:tcPr>
          <w:p w14:paraId="0AA7C0F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4" w:space="0" w:color="auto"/>
              <w:right w:val="single" w:sz="4" w:space="0" w:color="auto"/>
            </w:tcBorders>
            <w:shd w:val="clear" w:color="auto" w:fill="auto"/>
            <w:vAlign w:val="center"/>
            <w:hideMark/>
          </w:tcPr>
          <w:p w14:paraId="60A334F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single" w:sz="4" w:space="0" w:color="auto"/>
            </w:tcBorders>
            <w:shd w:val="clear" w:color="auto" w:fill="auto"/>
            <w:vAlign w:val="center"/>
            <w:hideMark/>
          </w:tcPr>
          <w:p w14:paraId="7035165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nil"/>
              <w:left w:val="nil"/>
              <w:bottom w:val="single" w:sz="4" w:space="0" w:color="auto"/>
              <w:right w:val="single" w:sz="4" w:space="0" w:color="auto"/>
            </w:tcBorders>
            <w:shd w:val="clear" w:color="auto" w:fill="auto"/>
            <w:vAlign w:val="center"/>
            <w:hideMark/>
          </w:tcPr>
          <w:p w14:paraId="3FA7038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auto" w:fill="auto"/>
            <w:vAlign w:val="center"/>
            <w:hideMark/>
          </w:tcPr>
          <w:p w14:paraId="053F896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4" w:space="0" w:color="auto"/>
              <w:right w:val="single" w:sz="4" w:space="0" w:color="auto"/>
            </w:tcBorders>
            <w:shd w:val="clear" w:color="auto" w:fill="auto"/>
            <w:vAlign w:val="center"/>
            <w:hideMark/>
          </w:tcPr>
          <w:p w14:paraId="7186AD5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4" w:space="0" w:color="auto"/>
              <w:right w:val="single" w:sz="8" w:space="0" w:color="auto"/>
            </w:tcBorders>
            <w:shd w:val="clear" w:color="auto" w:fill="auto"/>
            <w:vAlign w:val="center"/>
            <w:hideMark/>
          </w:tcPr>
          <w:p w14:paraId="56B612DE"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Drafting Group (3 days)</w:t>
            </w:r>
          </w:p>
        </w:tc>
        <w:tc>
          <w:tcPr>
            <w:tcW w:w="195" w:type="pct"/>
            <w:tcBorders>
              <w:top w:val="nil"/>
              <w:left w:val="nil"/>
              <w:bottom w:val="nil"/>
              <w:right w:val="nil"/>
            </w:tcBorders>
            <w:shd w:val="clear" w:color="auto" w:fill="auto"/>
            <w:noWrap/>
            <w:vAlign w:val="center"/>
            <w:hideMark/>
          </w:tcPr>
          <w:p w14:paraId="21FEA42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762AF586"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337A225C"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single" w:sz="4" w:space="0" w:color="auto"/>
              <w:left w:val="nil"/>
              <w:bottom w:val="single" w:sz="4" w:space="0" w:color="auto"/>
              <w:right w:val="single" w:sz="8" w:space="0" w:color="auto"/>
            </w:tcBorders>
            <w:shd w:val="clear" w:color="000000" w:fill="DDEBF7"/>
            <w:noWrap/>
            <w:vAlign w:val="center"/>
            <w:hideMark/>
          </w:tcPr>
          <w:p w14:paraId="6F850247"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Working Group #53</w:t>
            </w:r>
          </w:p>
        </w:tc>
        <w:tc>
          <w:tcPr>
            <w:tcW w:w="369" w:type="pct"/>
            <w:tcBorders>
              <w:top w:val="nil"/>
              <w:left w:val="nil"/>
              <w:bottom w:val="single" w:sz="4" w:space="0" w:color="auto"/>
              <w:right w:val="single" w:sz="4" w:space="0" w:color="auto"/>
            </w:tcBorders>
            <w:shd w:val="clear" w:color="000000" w:fill="DDEBF7"/>
            <w:vAlign w:val="center"/>
            <w:hideMark/>
          </w:tcPr>
          <w:p w14:paraId="5CB55C5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000000" w:fill="DDEBF7"/>
            <w:vAlign w:val="center"/>
            <w:hideMark/>
          </w:tcPr>
          <w:p w14:paraId="34A4943B"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4" w:space="0" w:color="auto"/>
              <w:right w:val="single" w:sz="4" w:space="0" w:color="auto"/>
            </w:tcBorders>
            <w:shd w:val="clear" w:color="000000" w:fill="DDEBF7"/>
            <w:vAlign w:val="center"/>
            <w:hideMark/>
          </w:tcPr>
          <w:p w14:paraId="28D7635E"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single" w:sz="4" w:space="0" w:color="auto"/>
            </w:tcBorders>
            <w:shd w:val="clear" w:color="000000" w:fill="DDEBF7"/>
            <w:vAlign w:val="center"/>
            <w:hideMark/>
          </w:tcPr>
          <w:p w14:paraId="6A0BCF0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nil"/>
              <w:left w:val="nil"/>
              <w:bottom w:val="single" w:sz="4" w:space="0" w:color="auto"/>
              <w:right w:val="single" w:sz="4" w:space="0" w:color="auto"/>
            </w:tcBorders>
            <w:shd w:val="clear" w:color="000000" w:fill="DDEBF7"/>
            <w:vAlign w:val="center"/>
            <w:hideMark/>
          </w:tcPr>
          <w:p w14:paraId="621172F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000000" w:fill="DDEBF7"/>
            <w:vAlign w:val="center"/>
            <w:hideMark/>
          </w:tcPr>
          <w:p w14:paraId="52745581"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4" w:space="0" w:color="auto"/>
              <w:right w:val="single" w:sz="4" w:space="0" w:color="auto"/>
            </w:tcBorders>
            <w:shd w:val="clear" w:color="000000" w:fill="DDEBF7"/>
            <w:vAlign w:val="center"/>
            <w:hideMark/>
          </w:tcPr>
          <w:p w14:paraId="540125A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4" w:space="0" w:color="auto"/>
              <w:right w:val="single" w:sz="8" w:space="0" w:color="auto"/>
            </w:tcBorders>
            <w:shd w:val="clear" w:color="000000" w:fill="DDEBF7"/>
            <w:vAlign w:val="center"/>
            <w:hideMark/>
          </w:tcPr>
          <w:p w14:paraId="4B0E782B"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Second Reading (4 Days)</w:t>
            </w:r>
          </w:p>
        </w:tc>
        <w:tc>
          <w:tcPr>
            <w:tcW w:w="195" w:type="pct"/>
            <w:tcBorders>
              <w:top w:val="nil"/>
              <w:left w:val="nil"/>
              <w:bottom w:val="nil"/>
              <w:right w:val="nil"/>
            </w:tcBorders>
            <w:shd w:val="clear" w:color="auto" w:fill="auto"/>
            <w:noWrap/>
            <w:vAlign w:val="center"/>
            <w:hideMark/>
          </w:tcPr>
          <w:p w14:paraId="0524F72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48CE012F"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691A0BC4"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8" w:space="0" w:color="auto"/>
              <w:right w:val="single" w:sz="8" w:space="0" w:color="auto"/>
            </w:tcBorders>
            <w:shd w:val="clear" w:color="auto" w:fill="auto"/>
            <w:noWrap/>
            <w:vAlign w:val="center"/>
            <w:hideMark/>
          </w:tcPr>
          <w:p w14:paraId="2742423C"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#53</w:t>
            </w:r>
          </w:p>
        </w:tc>
        <w:tc>
          <w:tcPr>
            <w:tcW w:w="369" w:type="pct"/>
            <w:tcBorders>
              <w:top w:val="nil"/>
              <w:left w:val="nil"/>
              <w:bottom w:val="single" w:sz="8" w:space="0" w:color="auto"/>
              <w:right w:val="single" w:sz="4" w:space="0" w:color="auto"/>
            </w:tcBorders>
            <w:shd w:val="clear" w:color="auto" w:fill="auto"/>
            <w:vAlign w:val="center"/>
            <w:hideMark/>
          </w:tcPr>
          <w:p w14:paraId="33F3BE1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8" w:space="0" w:color="auto"/>
              <w:right w:val="single" w:sz="4" w:space="0" w:color="auto"/>
            </w:tcBorders>
            <w:shd w:val="clear" w:color="auto" w:fill="auto"/>
            <w:vAlign w:val="center"/>
            <w:hideMark/>
          </w:tcPr>
          <w:p w14:paraId="28CFEDA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8" w:space="0" w:color="auto"/>
              <w:right w:val="single" w:sz="4" w:space="0" w:color="auto"/>
            </w:tcBorders>
            <w:shd w:val="clear" w:color="auto" w:fill="auto"/>
            <w:vAlign w:val="center"/>
            <w:hideMark/>
          </w:tcPr>
          <w:p w14:paraId="4BDC876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8" w:space="0" w:color="auto"/>
              <w:right w:val="single" w:sz="4" w:space="0" w:color="auto"/>
            </w:tcBorders>
            <w:shd w:val="clear" w:color="auto" w:fill="auto"/>
            <w:vAlign w:val="center"/>
            <w:hideMark/>
          </w:tcPr>
          <w:p w14:paraId="6642E6DC"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nil"/>
              <w:left w:val="nil"/>
              <w:bottom w:val="single" w:sz="8" w:space="0" w:color="auto"/>
              <w:right w:val="single" w:sz="4" w:space="0" w:color="auto"/>
            </w:tcBorders>
            <w:shd w:val="clear" w:color="auto" w:fill="auto"/>
            <w:vAlign w:val="center"/>
            <w:hideMark/>
          </w:tcPr>
          <w:p w14:paraId="2F9F767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8" w:space="0" w:color="auto"/>
              <w:right w:val="single" w:sz="4" w:space="0" w:color="auto"/>
            </w:tcBorders>
            <w:shd w:val="clear" w:color="auto" w:fill="auto"/>
            <w:vAlign w:val="center"/>
            <w:hideMark/>
          </w:tcPr>
          <w:p w14:paraId="1390865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8" w:space="0" w:color="auto"/>
              <w:right w:val="single" w:sz="4" w:space="0" w:color="auto"/>
            </w:tcBorders>
            <w:shd w:val="clear" w:color="auto" w:fill="auto"/>
            <w:vAlign w:val="center"/>
            <w:hideMark/>
          </w:tcPr>
          <w:p w14:paraId="2A7E08DA"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8" w:space="0" w:color="auto"/>
              <w:right w:val="single" w:sz="8" w:space="0" w:color="auto"/>
            </w:tcBorders>
            <w:shd w:val="clear" w:color="auto" w:fill="auto"/>
            <w:vAlign w:val="center"/>
            <w:hideMark/>
          </w:tcPr>
          <w:p w14:paraId="40265FD9"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1B37DAB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537603AD" w14:textId="77777777" w:rsidTr="002A2F68">
        <w:trPr>
          <w:trHeight w:val="540"/>
        </w:trPr>
        <w:tc>
          <w:tcPr>
            <w:tcW w:w="190" w:type="pct"/>
            <w:vMerge w:val="restart"/>
            <w:tcBorders>
              <w:top w:val="nil"/>
              <w:left w:val="single" w:sz="8" w:space="0" w:color="auto"/>
              <w:bottom w:val="single" w:sz="8" w:space="0" w:color="000000"/>
              <w:right w:val="single" w:sz="8" w:space="0" w:color="auto"/>
            </w:tcBorders>
            <w:shd w:val="clear" w:color="auto" w:fill="auto"/>
            <w:noWrap/>
            <w:vAlign w:val="center"/>
            <w:hideMark/>
          </w:tcPr>
          <w:p w14:paraId="22104117"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2025</w:t>
            </w:r>
          </w:p>
        </w:tc>
        <w:tc>
          <w:tcPr>
            <w:tcW w:w="575" w:type="pct"/>
            <w:tcBorders>
              <w:top w:val="nil"/>
              <w:left w:val="nil"/>
              <w:bottom w:val="single" w:sz="4" w:space="0" w:color="auto"/>
              <w:right w:val="single" w:sz="8" w:space="0" w:color="auto"/>
            </w:tcBorders>
            <w:shd w:val="clear" w:color="000000" w:fill="DDEBF7"/>
            <w:noWrap/>
            <w:vAlign w:val="center"/>
            <w:hideMark/>
          </w:tcPr>
          <w:p w14:paraId="649DE11A"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Working Group #54</w:t>
            </w:r>
          </w:p>
        </w:tc>
        <w:tc>
          <w:tcPr>
            <w:tcW w:w="4041" w:type="pct"/>
            <w:gridSpan w:val="8"/>
            <w:tcBorders>
              <w:top w:val="single" w:sz="8" w:space="0" w:color="auto"/>
              <w:left w:val="nil"/>
              <w:bottom w:val="single" w:sz="4" w:space="0" w:color="auto"/>
              <w:right w:val="single" w:sz="8" w:space="0" w:color="000000"/>
            </w:tcBorders>
            <w:shd w:val="clear" w:color="000000" w:fill="DDEBF7"/>
            <w:noWrap/>
            <w:vAlign w:val="center"/>
            <w:hideMark/>
          </w:tcPr>
          <w:p w14:paraId="17D182CE"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Held in Reserve</w:t>
            </w:r>
          </w:p>
        </w:tc>
        <w:tc>
          <w:tcPr>
            <w:tcW w:w="195" w:type="pct"/>
            <w:tcBorders>
              <w:top w:val="nil"/>
              <w:left w:val="nil"/>
              <w:bottom w:val="nil"/>
              <w:right w:val="nil"/>
            </w:tcBorders>
            <w:shd w:val="clear" w:color="auto" w:fill="auto"/>
            <w:noWrap/>
            <w:vAlign w:val="center"/>
            <w:hideMark/>
          </w:tcPr>
          <w:p w14:paraId="5B93E2F0"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p>
        </w:tc>
      </w:tr>
      <w:tr w:rsidR="002A2F68" w:rsidRPr="00CA6785" w14:paraId="6BD57792"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7177F2AA"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4" w:space="0" w:color="auto"/>
              <w:right w:val="single" w:sz="8" w:space="0" w:color="auto"/>
            </w:tcBorders>
            <w:shd w:val="clear" w:color="auto" w:fill="auto"/>
            <w:noWrap/>
            <w:vAlign w:val="center"/>
            <w:hideMark/>
          </w:tcPr>
          <w:p w14:paraId="21A55666"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Inter-Sessional #54</w:t>
            </w:r>
          </w:p>
        </w:tc>
        <w:tc>
          <w:tcPr>
            <w:tcW w:w="369" w:type="pct"/>
            <w:tcBorders>
              <w:top w:val="nil"/>
              <w:left w:val="nil"/>
              <w:bottom w:val="single" w:sz="4" w:space="0" w:color="auto"/>
              <w:right w:val="single" w:sz="4" w:space="0" w:color="auto"/>
            </w:tcBorders>
            <w:shd w:val="clear" w:color="auto" w:fill="auto"/>
            <w:vAlign w:val="center"/>
            <w:hideMark/>
          </w:tcPr>
          <w:p w14:paraId="5EF05D9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auto" w:fill="auto"/>
            <w:vAlign w:val="center"/>
            <w:hideMark/>
          </w:tcPr>
          <w:p w14:paraId="4643888E"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461" w:type="pct"/>
            <w:tcBorders>
              <w:top w:val="nil"/>
              <w:left w:val="nil"/>
              <w:bottom w:val="single" w:sz="4" w:space="0" w:color="auto"/>
              <w:right w:val="single" w:sz="4" w:space="0" w:color="auto"/>
            </w:tcBorders>
            <w:shd w:val="clear" w:color="auto" w:fill="auto"/>
            <w:vAlign w:val="center"/>
            <w:hideMark/>
          </w:tcPr>
          <w:p w14:paraId="27DA7E7D"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84" w:type="pct"/>
            <w:tcBorders>
              <w:top w:val="nil"/>
              <w:left w:val="nil"/>
              <w:bottom w:val="single" w:sz="4" w:space="0" w:color="auto"/>
              <w:right w:val="nil"/>
            </w:tcBorders>
            <w:shd w:val="clear" w:color="auto" w:fill="auto"/>
            <w:vAlign w:val="center"/>
            <w:hideMark/>
          </w:tcPr>
          <w:p w14:paraId="04333F28"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6" w:type="pct"/>
            <w:tcBorders>
              <w:top w:val="nil"/>
              <w:left w:val="single" w:sz="4" w:space="0" w:color="auto"/>
              <w:bottom w:val="single" w:sz="4" w:space="0" w:color="auto"/>
              <w:right w:val="single" w:sz="4" w:space="0" w:color="auto"/>
            </w:tcBorders>
            <w:shd w:val="clear" w:color="auto" w:fill="auto"/>
            <w:vAlign w:val="center"/>
            <w:hideMark/>
          </w:tcPr>
          <w:p w14:paraId="3D0A886B"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387" w:type="pct"/>
            <w:tcBorders>
              <w:top w:val="nil"/>
              <w:left w:val="nil"/>
              <w:bottom w:val="single" w:sz="4" w:space="0" w:color="auto"/>
              <w:right w:val="single" w:sz="4" w:space="0" w:color="auto"/>
            </w:tcBorders>
            <w:shd w:val="clear" w:color="auto" w:fill="auto"/>
            <w:vAlign w:val="center"/>
            <w:hideMark/>
          </w:tcPr>
          <w:p w14:paraId="5820552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538" w:type="pct"/>
            <w:tcBorders>
              <w:top w:val="nil"/>
              <w:left w:val="nil"/>
              <w:bottom w:val="single" w:sz="4" w:space="0" w:color="auto"/>
              <w:right w:val="single" w:sz="4" w:space="0" w:color="auto"/>
            </w:tcBorders>
            <w:shd w:val="clear" w:color="auto" w:fill="auto"/>
            <w:vAlign w:val="center"/>
            <w:hideMark/>
          </w:tcPr>
          <w:p w14:paraId="6B6E87C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729" w:type="pct"/>
            <w:tcBorders>
              <w:top w:val="nil"/>
              <w:left w:val="nil"/>
              <w:bottom w:val="single" w:sz="4" w:space="0" w:color="auto"/>
              <w:right w:val="single" w:sz="8" w:space="0" w:color="auto"/>
            </w:tcBorders>
            <w:shd w:val="clear" w:color="auto" w:fill="auto"/>
            <w:vAlign w:val="center"/>
            <w:hideMark/>
          </w:tcPr>
          <w:p w14:paraId="0A5D1294"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r w:rsidRPr="00CA6785">
              <w:rPr>
                <w:rFonts w:eastAsia="Times New Roman"/>
                <w:spacing w:val="0"/>
                <w:w w:val="100"/>
                <w:kern w:val="0"/>
                <w:sz w:val="16"/>
                <w:szCs w:val="16"/>
                <w:lang w:val="en-US"/>
              </w:rPr>
              <w:t> </w:t>
            </w:r>
          </w:p>
        </w:tc>
        <w:tc>
          <w:tcPr>
            <w:tcW w:w="195" w:type="pct"/>
            <w:tcBorders>
              <w:top w:val="nil"/>
              <w:left w:val="nil"/>
              <w:bottom w:val="nil"/>
              <w:right w:val="nil"/>
            </w:tcBorders>
            <w:shd w:val="clear" w:color="auto" w:fill="auto"/>
            <w:noWrap/>
            <w:vAlign w:val="center"/>
            <w:hideMark/>
          </w:tcPr>
          <w:p w14:paraId="2F9E6D57"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r>
      <w:tr w:rsidR="002A2F68" w:rsidRPr="00CA6785" w14:paraId="107B9FB9" w14:textId="77777777" w:rsidTr="002A2F68">
        <w:trPr>
          <w:trHeight w:val="540"/>
        </w:trPr>
        <w:tc>
          <w:tcPr>
            <w:tcW w:w="190" w:type="pct"/>
            <w:vMerge/>
            <w:tcBorders>
              <w:top w:val="nil"/>
              <w:left w:val="single" w:sz="8" w:space="0" w:color="auto"/>
              <w:bottom w:val="single" w:sz="8" w:space="0" w:color="000000"/>
              <w:right w:val="single" w:sz="8" w:space="0" w:color="auto"/>
            </w:tcBorders>
            <w:vAlign w:val="center"/>
            <w:hideMark/>
          </w:tcPr>
          <w:p w14:paraId="77591B7D" w14:textId="77777777" w:rsidR="002A2F68" w:rsidRPr="00CA6785" w:rsidRDefault="002A2F68" w:rsidP="002A2F68">
            <w:pPr>
              <w:suppressAutoHyphens w:val="0"/>
              <w:spacing w:line="240" w:lineRule="auto"/>
              <w:rPr>
                <w:rFonts w:eastAsia="Times New Roman"/>
                <w:b/>
                <w:bCs/>
                <w:spacing w:val="0"/>
                <w:w w:val="100"/>
                <w:kern w:val="0"/>
                <w:sz w:val="16"/>
                <w:szCs w:val="16"/>
                <w:lang w:val="en-US"/>
              </w:rPr>
            </w:pPr>
          </w:p>
        </w:tc>
        <w:tc>
          <w:tcPr>
            <w:tcW w:w="575" w:type="pct"/>
            <w:tcBorders>
              <w:top w:val="nil"/>
              <w:left w:val="nil"/>
              <w:bottom w:val="single" w:sz="8" w:space="0" w:color="auto"/>
              <w:right w:val="single" w:sz="8" w:space="0" w:color="auto"/>
            </w:tcBorders>
            <w:shd w:val="clear" w:color="auto" w:fill="auto"/>
            <w:noWrap/>
            <w:vAlign w:val="center"/>
            <w:hideMark/>
          </w:tcPr>
          <w:p w14:paraId="30808991"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 </w:t>
            </w:r>
          </w:p>
        </w:tc>
        <w:tc>
          <w:tcPr>
            <w:tcW w:w="4041" w:type="pct"/>
            <w:gridSpan w:val="8"/>
            <w:tcBorders>
              <w:top w:val="single" w:sz="4" w:space="0" w:color="auto"/>
              <w:left w:val="nil"/>
              <w:bottom w:val="single" w:sz="8" w:space="0" w:color="auto"/>
              <w:right w:val="single" w:sz="8" w:space="0" w:color="000000"/>
            </w:tcBorders>
            <w:shd w:val="clear" w:color="000000" w:fill="E2EFDA"/>
            <w:vAlign w:val="center"/>
            <w:hideMark/>
          </w:tcPr>
          <w:p w14:paraId="4E2A3C98"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 xml:space="preserve">Commission #58 - Finalization of all reforms </w:t>
            </w:r>
          </w:p>
        </w:tc>
        <w:tc>
          <w:tcPr>
            <w:tcW w:w="195" w:type="pct"/>
            <w:tcBorders>
              <w:top w:val="nil"/>
              <w:left w:val="nil"/>
              <w:bottom w:val="nil"/>
              <w:right w:val="nil"/>
            </w:tcBorders>
            <w:shd w:val="clear" w:color="auto" w:fill="auto"/>
            <w:noWrap/>
            <w:vAlign w:val="center"/>
            <w:hideMark/>
          </w:tcPr>
          <w:p w14:paraId="4563608B"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p>
        </w:tc>
      </w:tr>
      <w:tr w:rsidR="002A2F68" w:rsidRPr="00CA6785" w14:paraId="73F2AE0C" w14:textId="77777777" w:rsidTr="002A2F68">
        <w:trPr>
          <w:trHeight w:val="500"/>
        </w:trPr>
        <w:tc>
          <w:tcPr>
            <w:tcW w:w="190" w:type="pct"/>
            <w:tcBorders>
              <w:top w:val="nil"/>
              <w:left w:val="nil"/>
              <w:bottom w:val="nil"/>
              <w:right w:val="nil"/>
            </w:tcBorders>
            <w:shd w:val="clear" w:color="auto" w:fill="auto"/>
            <w:noWrap/>
            <w:vAlign w:val="bottom"/>
            <w:hideMark/>
          </w:tcPr>
          <w:p w14:paraId="4C183F60"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c>
          <w:tcPr>
            <w:tcW w:w="575" w:type="pct"/>
            <w:tcBorders>
              <w:top w:val="nil"/>
              <w:left w:val="nil"/>
              <w:bottom w:val="nil"/>
              <w:right w:val="nil"/>
            </w:tcBorders>
            <w:shd w:val="clear" w:color="auto" w:fill="auto"/>
            <w:noWrap/>
            <w:vAlign w:val="center"/>
            <w:hideMark/>
          </w:tcPr>
          <w:p w14:paraId="59441D17" w14:textId="77777777" w:rsidR="002A2F68" w:rsidRPr="00CA6785" w:rsidRDefault="002A2F68" w:rsidP="002A2F68">
            <w:pPr>
              <w:suppressAutoHyphens w:val="0"/>
              <w:spacing w:line="240" w:lineRule="auto"/>
              <w:rPr>
                <w:rFonts w:eastAsia="Times New Roman"/>
                <w:spacing w:val="0"/>
                <w:w w:val="100"/>
                <w:kern w:val="0"/>
                <w:sz w:val="16"/>
                <w:szCs w:val="16"/>
                <w:lang w:val="en-US"/>
              </w:rPr>
            </w:pPr>
          </w:p>
        </w:tc>
        <w:tc>
          <w:tcPr>
            <w:tcW w:w="369" w:type="pct"/>
            <w:tcBorders>
              <w:top w:val="nil"/>
              <w:left w:val="nil"/>
              <w:bottom w:val="nil"/>
              <w:right w:val="nil"/>
            </w:tcBorders>
            <w:shd w:val="clear" w:color="auto" w:fill="auto"/>
            <w:noWrap/>
            <w:vAlign w:val="center"/>
            <w:hideMark/>
          </w:tcPr>
          <w:p w14:paraId="251CE5AE"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c>
          <w:tcPr>
            <w:tcW w:w="387" w:type="pct"/>
            <w:tcBorders>
              <w:top w:val="nil"/>
              <w:left w:val="nil"/>
              <w:bottom w:val="nil"/>
              <w:right w:val="nil"/>
            </w:tcBorders>
            <w:shd w:val="clear" w:color="auto" w:fill="auto"/>
            <w:noWrap/>
            <w:vAlign w:val="center"/>
            <w:hideMark/>
          </w:tcPr>
          <w:p w14:paraId="60A41462"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c>
          <w:tcPr>
            <w:tcW w:w="461" w:type="pct"/>
            <w:tcBorders>
              <w:top w:val="nil"/>
              <w:left w:val="nil"/>
              <w:bottom w:val="nil"/>
              <w:right w:val="nil"/>
            </w:tcBorders>
            <w:shd w:val="clear" w:color="auto" w:fill="auto"/>
            <w:noWrap/>
            <w:vAlign w:val="center"/>
            <w:hideMark/>
          </w:tcPr>
          <w:p w14:paraId="11AEDB15"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c>
          <w:tcPr>
            <w:tcW w:w="784" w:type="pct"/>
            <w:tcBorders>
              <w:top w:val="nil"/>
              <w:left w:val="nil"/>
              <w:bottom w:val="nil"/>
              <w:right w:val="nil"/>
            </w:tcBorders>
            <w:shd w:val="clear" w:color="auto" w:fill="auto"/>
            <w:noWrap/>
            <w:vAlign w:val="center"/>
            <w:hideMark/>
          </w:tcPr>
          <w:p w14:paraId="7C17622F"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c>
          <w:tcPr>
            <w:tcW w:w="386" w:type="pct"/>
            <w:tcBorders>
              <w:top w:val="nil"/>
              <w:left w:val="nil"/>
              <w:bottom w:val="nil"/>
              <w:right w:val="nil"/>
            </w:tcBorders>
            <w:shd w:val="clear" w:color="auto" w:fill="auto"/>
            <w:noWrap/>
            <w:vAlign w:val="center"/>
            <w:hideMark/>
          </w:tcPr>
          <w:p w14:paraId="281E8FB3"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c>
          <w:tcPr>
            <w:tcW w:w="387" w:type="pct"/>
            <w:tcBorders>
              <w:top w:val="nil"/>
              <w:left w:val="nil"/>
              <w:bottom w:val="nil"/>
              <w:right w:val="nil"/>
            </w:tcBorders>
            <w:shd w:val="clear" w:color="auto" w:fill="auto"/>
            <w:noWrap/>
            <w:vAlign w:val="center"/>
            <w:hideMark/>
          </w:tcPr>
          <w:p w14:paraId="377B8BC9"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c>
          <w:tcPr>
            <w:tcW w:w="538" w:type="pct"/>
            <w:tcBorders>
              <w:top w:val="nil"/>
              <w:left w:val="nil"/>
              <w:bottom w:val="nil"/>
              <w:right w:val="nil"/>
            </w:tcBorders>
            <w:shd w:val="clear" w:color="auto" w:fill="auto"/>
            <w:noWrap/>
            <w:vAlign w:val="center"/>
            <w:hideMark/>
          </w:tcPr>
          <w:p w14:paraId="19AE7BFB"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c>
          <w:tcPr>
            <w:tcW w:w="729" w:type="pct"/>
            <w:tcBorders>
              <w:top w:val="nil"/>
              <w:left w:val="nil"/>
              <w:bottom w:val="nil"/>
              <w:right w:val="nil"/>
            </w:tcBorders>
            <w:shd w:val="clear" w:color="auto" w:fill="auto"/>
            <w:noWrap/>
            <w:vAlign w:val="center"/>
            <w:hideMark/>
          </w:tcPr>
          <w:p w14:paraId="55D71D7B" w14:textId="77777777" w:rsidR="002A2F68" w:rsidRPr="00CA6785" w:rsidRDefault="002A2F68" w:rsidP="002A2F68">
            <w:pPr>
              <w:suppressAutoHyphens w:val="0"/>
              <w:spacing w:line="240" w:lineRule="auto"/>
              <w:jc w:val="center"/>
              <w:rPr>
                <w:rFonts w:eastAsia="Times New Roman"/>
                <w:spacing w:val="0"/>
                <w:w w:val="100"/>
                <w:kern w:val="0"/>
                <w:sz w:val="16"/>
                <w:szCs w:val="16"/>
                <w:lang w:val="en-US"/>
              </w:rPr>
            </w:pPr>
          </w:p>
        </w:tc>
        <w:tc>
          <w:tcPr>
            <w:tcW w:w="195" w:type="pct"/>
            <w:tcBorders>
              <w:top w:val="single" w:sz="8" w:space="0" w:color="auto"/>
              <w:left w:val="single" w:sz="8" w:space="0" w:color="auto"/>
              <w:bottom w:val="single" w:sz="8" w:space="0" w:color="auto"/>
              <w:right w:val="single" w:sz="8" w:space="0" w:color="auto"/>
            </w:tcBorders>
            <w:shd w:val="clear" w:color="000000" w:fill="F2F2F2"/>
            <w:noWrap/>
            <w:vAlign w:val="center"/>
            <w:hideMark/>
          </w:tcPr>
          <w:p w14:paraId="3892D498"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Total</w:t>
            </w:r>
          </w:p>
        </w:tc>
      </w:tr>
      <w:tr w:rsidR="002A2F68" w:rsidRPr="00CA6785" w14:paraId="5D9018AC" w14:textId="77777777" w:rsidTr="002A2F68">
        <w:trPr>
          <w:trHeight w:val="540"/>
        </w:trPr>
        <w:tc>
          <w:tcPr>
            <w:tcW w:w="190" w:type="pct"/>
            <w:tcBorders>
              <w:top w:val="nil"/>
              <w:left w:val="nil"/>
              <w:bottom w:val="nil"/>
              <w:right w:val="nil"/>
            </w:tcBorders>
            <w:shd w:val="clear" w:color="auto" w:fill="auto"/>
            <w:noWrap/>
            <w:vAlign w:val="bottom"/>
            <w:hideMark/>
          </w:tcPr>
          <w:p w14:paraId="400BF29A"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p>
        </w:tc>
        <w:tc>
          <w:tcPr>
            <w:tcW w:w="575" w:type="pct"/>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2566DBAF"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 xml:space="preserve"> Working Group days</w:t>
            </w:r>
          </w:p>
        </w:tc>
        <w:tc>
          <w:tcPr>
            <w:tcW w:w="369" w:type="pct"/>
            <w:tcBorders>
              <w:top w:val="single" w:sz="8" w:space="0" w:color="auto"/>
              <w:left w:val="nil"/>
              <w:bottom w:val="single" w:sz="4" w:space="0" w:color="auto"/>
              <w:right w:val="single" w:sz="4" w:space="0" w:color="auto"/>
            </w:tcBorders>
            <w:shd w:val="clear" w:color="auto" w:fill="auto"/>
            <w:noWrap/>
            <w:vAlign w:val="center"/>
            <w:hideMark/>
          </w:tcPr>
          <w:p w14:paraId="760684F7"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5</w:t>
            </w:r>
          </w:p>
        </w:tc>
        <w:tc>
          <w:tcPr>
            <w:tcW w:w="387" w:type="pct"/>
            <w:tcBorders>
              <w:top w:val="single" w:sz="8" w:space="0" w:color="auto"/>
              <w:left w:val="nil"/>
              <w:bottom w:val="single" w:sz="4" w:space="0" w:color="auto"/>
              <w:right w:val="single" w:sz="4" w:space="0" w:color="auto"/>
            </w:tcBorders>
            <w:shd w:val="clear" w:color="auto" w:fill="auto"/>
            <w:noWrap/>
            <w:vAlign w:val="center"/>
            <w:hideMark/>
          </w:tcPr>
          <w:p w14:paraId="7327E100"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4</w:t>
            </w:r>
          </w:p>
        </w:tc>
        <w:tc>
          <w:tcPr>
            <w:tcW w:w="461" w:type="pct"/>
            <w:tcBorders>
              <w:top w:val="single" w:sz="8" w:space="0" w:color="auto"/>
              <w:left w:val="nil"/>
              <w:bottom w:val="single" w:sz="4" w:space="0" w:color="auto"/>
              <w:right w:val="single" w:sz="4" w:space="0" w:color="auto"/>
            </w:tcBorders>
            <w:shd w:val="clear" w:color="auto" w:fill="auto"/>
            <w:vAlign w:val="center"/>
            <w:hideMark/>
          </w:tcPr>
          <w:p w14:paraId="5BEFC525"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4</w:t>
            </w:r>
          </w:p>
        </w:tc>
        <w:tc>
          <w:tcPr>
            <w:tcW w:w="784" w:type="pct"/>
            <w:tcBorders>
              <w:top w:val="single" w:sz="8" w:space="0" w:color="auto"/>
              <w:left w:val="nil"/>
              <w:bottom w:val="single" w:sz="4" w:space="0" w:color="auto"/>
              <w:right w:val="single" w:sz="4" w:space="0" w:color="auto"/>
            </w:tcBorders>
            <w:shd w:val="clear" w:color="auto" w:fill="auto"/>
            <w:vAlign w:val="center"/>
            <w:hideMark/>
          </w:tcPr>
          <w:p w14:paraId="186AF7EE"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9</w:t>
            </w:r>
          </w:p>
        </w:tc>
        <w:tc>
          <w:tcPr>
            <w:tcW w:w="386" w:type="pct"/>
            <w:tcBorders>
              <w:top w:val="single" w:sz="8" w:space="0" w:color="auto"/>
              <w:left w:val="nil"/>
              <w:bottom w:val="single" w:sz="4" w:space="0" w:color="auto"/>
              <w:right w:val="single" w:sz="4" w:space="0" w:color="auto"/>
            </w:tcBorders>
            <w:shd w:val="clear" w:color="auto" w:fill="auto"/>
            <w:vAlign w:val="center"/>
            <w:hideMark/>
          </w:tcPr>
          <w:p w14:paraId="5AB636FB"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6</w:t>
            </w:r>
          </w:p>
        </w:tc>
        <w:tc>
          <w:tcPr>
            <w:tcW w:w="387" w:type="pct"/>
            <w:tcBorders>
              <w:top w:val="single" w:sz="8" w:space="0" w:color="auto"/>
              <w:left w:val="nil"/>
              <w:bottom w:val="single" w:sz="4" w:space="0" w:color="auto"/>
              <w:right w:val="single" w:sz="4" w:space="0" w:color="auto"/>
            </w:tcBorders>
            <w:shd w:val="clear" w:color="auto" w:fill="auto"/>
            <w:vAlign w:val="center"/>
            <w:hideMark/>
          </w:tcPr>
          <w:p w14:paraId="1B682D01"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10</w:t>
            </w:r>
          </w:p>
        </w:tc>
        <w:tc>
          <w:tcPr>
            <w:tcW w:w="538" w:type="pct"/>
            <w:tcBorders>
              <w:top w:val="single" w:sz="8" w:space="0" w:color="auto"/>
              <w:left w:val="nil"/>
              <w:bottom w:val="single" w:sz="4" w:space="0" w:color="auto"/>
              <w:right w:val="single" w:sz="4" w:space="0" w:color="auto"/>
            </w:tcBorders>
            <w:shd w:val="clear" w:color="auto" w:fill="auto"/>
            <w:vAlign w:val="center"/>
            <w:hideMark/>
          </w:tcPr>
          <w:p w14:paraId="06932F79"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10</w:t>
            </w:r>
          </w:p>
        </w:tc>
        <w:tc>
          <w:tcPr>
            <w:tcW w:w="729" w:type="pct"/>
            <w:tcBorders>
              <w:top w:val="single" w:sz="8" w:space="0" w:color="auto"/>
              <w:left w:val="nil"/>
              <w:bottom w:val="single" w:sz="4" w:space="0" w:color="auto"/>
              <w:right w:val="single" w:sz="8" w:space="0" w:color="auto"/>
            </w:tcBorders>
            <w:shd w:val="clear" w:color="auto" w:fill="auto"/>
            <w:noWrap/>
            <w:vAlign w:val="center"/>
            <w:hideMark/>
          </w:tcPr>
          <w:p w14:paraId="5790D999"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9</w:t>
            </w:r>
          </w:p>
        </w:tc>
        <w:tc>
          <w:tcPr>
            <w:tcW w:w="195" w:type="pct"/>
            <w:tcBorders>
              <w:top w:val="nil"/>
              <w:left w:val="nil"/>
              <w:bottom w:val="single" w:sz="4" w:space="0" w:color="auto"/>
              <w:right w:val="single" w:sz="8" w:space="0" w:color="auto"/>
            </w:tcBorders>
            <w:shd w:val="clear" w:color="auto" w:fill="auto"/>
            <w:vAlign w:val="center"/>
            <w:hideMark/>
          </w:tcPr>
          <w:p w14:paraId="6AF8959A"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57</w:t>
            </w:r>
          </w:p>
        </w:tc>
      </w:tr>
      <w:tr w:rsidR="002A2F68" w:rsidRPr="00CA6785" w14:paraId="70F1008A" w14:textId="77777777" w:rsidTr="002A2F68">
        <w:trPr>
          <w:trHeight w:val="540"/>
        </w:trPr>
        <w:tc>
          <w:tcPr>
            <w:tcW w:w="190" w:type="pct"/>
            <w:tcBorders>
              <w:top w:val="nil"/>
              <w:left w:val="nil"/>
              <w:bottom w:val="nil"/>
              <w:right w:val="nil"/>
            </w:tcBorders>
            <w:shd w:val="clear" w:color="auto" w:fill="auto"/>
            <w:noWrap/>
            <w:vAlign w:val="bottom"/>
            <w:hideMark/>
          </w:tcPr>
          <w:p w14:paraId="7C0F75B1"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p>
        </w:tc>
        <w:tc>
          <w:tcPr>
            <w:tcW w:w="575" w:type="pct"/>
            <w:tcBorders>
              <w:top w:val="nil"/>
              <w:left w:val="single" w:sz="8" w:space="0" w:color="auto"/>
              <w:bottom w:val="double" w:sz="6" w:space="0" w:color="auto"/>
              <w:right w:val="single" w:sz="4" w:space="0" w:color="auto"/>
            </w:tcBorders>
            <w:shd w:val="clear" w:color="000000" w:fill="F2F2F2"/>
            <w:noWrap/>
            <w:vAlign w:val="center"/>
            <w:hideMark/>
          </w:tcPr>
          <w:p w14:paraId="78230720"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 xml:space="preserve"> Other Meetings days</w:t>
            </w:r>
          </w:p>
        </w:tc>
        <w:tc>
          <w:tcPr>
            <w:tcW w:w="369" w:type="pct"/>
            <w:tcBorders>
              <w:top w:val="nil"/>
              <w:left w:val="nil"/>
              <w:bottom w:val="double" w:sz="6" w:space="0" w:color="auto"/>
              <w:right w:val="single" w:sz="4" w:space="0" w:color="auto"/>
            </w:tcBorders>
            <w:shd w:val="clear" w:color="auto" w:fill="auto"/>
            <w:noWrap/>
            <w:vAlign w:val="center"/>
            <w:hideMark/>
          </w:tcPr>
          <w:p w14:paraId="72D55254"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9</w:t>
            </w:r>
          </w:p>
        </w:tc>
        <w:tc>
          <w:tcPr>
            <w:tcW w:w="387" w:type="pct"/>
            <w:tcBorders>
              <w:top w:val="nil"/>
              <w:left w:val="nil"/>
              <w:bottom w:val="double" w:sz="6" w:space="0" w:color="auto"/>
              <w:right w:val="single" w:sz="4" w:space="0" w:color="auto"/>
            </w:tcBorders>
            <w:shd w:val="clear" w:color="auto" w:fill="auto"/>
            <w:noWrap/>
            <w:vAlign w:val="center"/>
            <w:hideMark/>
          </w:tcPr>
          <w:p w14:paraId="7CC45C85"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7</w:t>
            </w:r>
          </w:p>
        </w:tc>
        <w:tc>
          <w:tcPr>
            <w:tcW w:w="461" w:type="pct"/>
            <w:tcBorders>
              <w:top w:val="nil"/>
              <w:left w:val="nil"/>
              <w:bottom w:val="double" w:sz="6" w:space="0" w:color="auto"/>
              <w:right w:val="single" w:sz="4" w:space="0" w:color="auto"/>
            </w:tcBorders>
            <w:shd w:val="clear" w:color="auto" w:fill="auto"/>
            <w:vAlign w:val="center"/>
            <w:hideMark/>
          </w:tcPr>
          <w:p w14:paraId="141E4BD6"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4</w:t>
            </w:r>
          </w:p>
        </w:tc>
        <w:tc>
          <w:tcPr>
            <w:tcW w:w="784" w:type="pct"/>
            <w:tcBorders>
              <w:top w:val="nil"/>
              <w:left w:val="nil"/>
              <w:bottom w:val="double" w:sz="6" w:space="0" w:color="auto"/>
              <w:right w:val="single" w:sz="4" w:space="0" w:color="auto"/>
            </w:tcBorders>
            <w:shd w:val="clear" w:color="auto" w:fill="auto"/>
            <w:vAlign w:val="center"/>
            <w:hideMark/>
          </w:tcPr>
          <w:p w14:paraId="69500B69"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11</w:t>
            </w:r>
          </w:p>
        </w:tc>
        <w:tc>
          <w:tcPr>
            <w:tcW w:w="386" w:type="pct"/>
            <w:tcBorders>
              <w:top w:val="nil"/>
              <w:left w:val="nil"/>
              <w:bottom w:val="double" w:sz="6" w:space="0" w:color="auto"/>
              <w:right w:val="single" w:sz="4" w:space="0" w:color="auto"/>
            </w:tcBorders>
            <w:shd w:val="clear" w:color="auto" w:fill="auto"/>
            <w:vAlign w:val="center"/>
            <w:hideMark/>
          </w:tcPr>
          <w:p w14:paraId="3ED29D9A"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9</w:t>
            </w:r>
          </w:p>
        </w:tc>
        <w:tc>
          <w:tcPr>
            <w:tcW w:w="387" w:type="pct"/>
            <w:tcBorders>
              <w:top w:val="nil"/>
              <w:left w:val="nil"/>
              <w:bottom w:val="double" w:sz="6" w:space="0" w:color="auto"/>
              <w:right w:val="single" w:sz="4" w:space="0" w:color="auto"/>
            </w:tcBorders>
            <w:shd w:val="clear" w:color="auto" w:fill="auto"/>
            <w:vAlign w:val="center"/>
            <w:hideMark/>
          </w:tcPr>
          <w:p w14:paraId="30F4EA59"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12</w:t>
            </w:r>
          </w:p>
        </w:tc>
        <w:tc>
          <w:tcPr>
            <w:tcW w:w="538" w:type="pct"/>
            <w:tcBorders>
              <w:top w:val="nil"/>
              <w:left w:val="nil"/>
              <w:bottom w:val="double" w:sz="6" w:space="0" w:color="auto"/>
              <w:right w:val="single" w:sz="4" w:space="0" w:color="auto"/>
            </w:tcBorders>
            <w:shd w:val="clear" w:color="auto" w:fill="auto"/>
            <w:vAlign w:val="center"/>
            <w:hideMark/>
          </w:tcPr>
          <w:p w14:paraId="3ECF2429"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12</w:t>
            </w:r>
          </w:p>
        </w:tc>
        <w:tc>
          <w:tcPr>
            <w:tcW w:w="729" w:type="pct"/>
            <w:tcBorders>
              <w:top w:val="nil"/>
              <w:left w:val="nil"/>
              <w:bottom w:val="double" w:sz="6" w:space="0" w:color="auto"/>
              <w:right w:val="single" w:sz="8" w:space="0" w:color="auto"/>
            </w:tcBorders>
            <w:shd w:val="clear" w:color="auto" w:fill="auto"/>
            <w:noWrap/>
            <w:vAlign w:val="center"/>
            <w:hideMark/>
          </w:tcPr>
          <w:p w14:paraId="2BAB0BD7"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14</w:t>
            </w:r>
          </w:p>
        </w:tc>
        <w:tc>
          <w:tcPr>
            <w:tcW w:w="195" w:type="pct"/>
            <w:tcBorders>
              <w:top w:val="nil"/>
              <w:left w:val="single" w:sz="8" w:space="0" w:color="auto"/>
              <w:bottom w:val="double" w:sz="6" w:space="0" w:color="auto"/>
              <w:right w:val="single" w:sz="8" w:space="0" w:color="auto"/>
            </w:tcBorders>
            <w:shd w:val="clear" w:color="auto" w:fill="auto"/>
            <w:vAlign w:val="center"/>
            <w:hideMark/>
          </w:tcPr>
          <w:p w14:paraId="5BF213DE"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78</w:t>
            </w:r>
          </w:p>
        </w:tc>
      </w:tr>
      <w:tr w:rsidR="002A2F68" w:rsidRPr="00CA6785" w14:paraId="4B6B9040" w14:textId="77777777" w:rsidTr="002A2F68">
        <w:trPr>
          <w:trHeight w:val="540"/>
        </w:trPr>
        <w:tc>
          <w:tcPr>
            <w:tcW w:w="190" w:type="pct"/>
            <w:tcBorders>
              <w:top w:val="nil"/>
              <w:left w:val="nil"/>
              <w:bottom w:val="nil"/>
              <w:right w:val="nil"/>
            </w:tcBorders>
            <w:shd w:val="clear" w:color="auto" w:fill="auto"/>
            <w:noWrap/>
            <w:vAlign w:val="bottom"/>
            <w:hideMark/>
          </w:tcPr>
          <w:p w14:paraId="68AEA69E"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p>
        </w:tc>
        <w:tc>
          <w:tcPr>
            <w:tcW w:w="575" w:type="pct"/>
            <w:tcBorders>
              <w:top w:val="nil"/>
              <w:left w:val="single" w:sz="8" w:space="0" w:color="auto"/>
              <w:bottom w:val="single" w:sz="8" w:space="0" w:color="auto"/>
              <w:right w:val="single" w:sz="4" w:space="0" w:color="auto"/>
            </w:tcBorders>
            <w:shd w:val="clear" w:color="000000" w:fill="F2F2F2"/>
            <w:noWrap/>
            <w:vAlign w:val="center"/>
            <w:hideMark/>
          </w:tcPr>
          <w:p w14:paraId="0F3AD83D"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 xml:space="preserve">Subtotal </w:t>
            </w:r>
          </w:p>
        </w:tc>
        <w:tc>
          <w:tcPr>
            <w:tcW w:w="369" w:type="pct"/>
            <w:tcBorders>
              <w:top w:val="nil"/>
              <w:left w:val="nil"/>
              <w:bottom w:val="single" w:sz="8" w:space="0" w:color="auto"/>
              <w:right w:val="single" w:sz="4" w:space="0" w:color="auto"/>
            </w:tcBorders>
            <w:shd w:val="clear" w:color="auto" w:fill="auto"/>
            <w:noWrap/>
            <w:vAlign w:val="center"/>
            <w:hideMark/>
          </w:tcPr>
          <w:p w14:paraId="5F8651A8"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14</w:t>
            </w:r>
          </w:p>
        </w:tc>
        <w:tc>
          <w:tcPr>
            <w:tcW w:w="387" w:type="pct"/>
            <w:tcBorders>
              <w:top w:val="nil"/>
              <w:left w:val="nil"/>
              <w:bottom w:val="single" w:sz="8" w:space="0" w:color="auto"/>
              <w:right w:val="single" w:sz="4" w:space="0" w:color="auto"/>
            </w:tcBorders>
            <w:shd w:val="clear" w:color="auto" w:fill="auto"/>
            <w:noWrap/>
            <w:vAlign w:val="center"/>
            <w:hideMark/>
          </w:tcPr>
          <w:p w14:paraId="3EF78E65"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11</w:t>
            </w:r>
          </w:p>
        </w:tc>
        <w:tc>
          <w:tcPr>
            <w:tcW w:w="461" w:type="pct"/>
            <w:tcBorders>
              <w:top w:val="nil"/>
              <w:left w:val="nil"/>
              <w:bottom w:val="single" w:sz="8" w:space="0" w:color="auto"/>
              <w:right w:val="single" w:sz="4" w:space="0" w:color="auto"/>
            </w:tcBorders>
            <w:shd w:val="clear" w:color="auto" w:fill="auto"/>
            <w:noWrap/>
            <w:vAlign w:val="center"/>
            <w:hideMark/>
          </w:tcPr>
          <w:p w14:paraId="3A1E95E7"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8</w:t>
            </w:r>
          </w:p>
        </w:tc>
        <w:tc>
          <w:tcPr>
            <w:tcW w:w="784" w:type="pct"/>
            <w:tcBorders>
              <w:top w:val="nil"/>
              <w:left w:val="nil"/>
              <w:bottom w:val="single" w:sz="8" w:space="0" w:color="auto"/>
              <w:right w:val="single" w:sz="4" w:space="0" w:color="auto"/>
            </w:tcBorders>
            <w:shd w:val="clear" w:color="auto" w:fill="auto"/>
            <w:vAlign w:val="center"/>
            <w:hideMark/>
          </w:tcPr>
          <w:p w14:paraId="42699742"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20</w:t>
            </w:r>
          </w:p>
        </w:tc>
        <w:tc>
          <w:tcPr>
            <w:tcW w:w="386" w:type="pct"/>
            <w:tcBorders>
              <w:top w:val="nil"/>
              <w:left w:val="nil"/>
              <w:bottom w:val="single" w:sz="8" w:space="0" w:color="auto"/>
              <w:right w:val="single" w:sz="4" w:space="0" w:color="auto"/>
            </w:tcBorders>
            <w:shd w:val="clear" w:color="auto" w:fill="auto"/>
            <w:vAlign w:val="center"/>
            <w:hideMark/>
          </w:tcPr>
          <w:p w14:paraId="67DC9EBC"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15</w:t>
            </w:r>
          </w:p>
        </w:tc>
        <w:tc>
          <w:tcPr>
            <w:tcW w:w="387" w:type="pct"/>
            <w:tcBorders>
              <w:top w:val="nil"/>
              <w:left w:val="nil"/>
              <w:bottom w:val="single" w:sz="8" w:space="0" w:color="auto"/>
              <w:right w:val="single" w:sz="4" w:space="0" w:color="auto"/>
            </w:tcBorders>
            <w:shd w:val="clear" w:color="auto" w:fill="auto"/>
            <w:vAlign w:val="center"/>
            <w:hideMark/>
          </w:tcPr>
          <w:p w14:paraId="15C27162"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22</w:t>
            </w:r>
          </w:p>
        </w:tc>
        <w:tc>
          <w:tcPr>
            <w:tcW w:w="538" w:type="pct"/>
            <w:tcBorders>
              <w:top w:val="nil"/>
              <w:left w:val="nil"/>
              <w:bottom w:val="single" w:sz="8" w:space="0" w:color="auto"/>
              <w:right w:val="single" w:sz="4" w:space="0" w:color="auto"/>
            </w:tcBorders>
            <w:shd w:val="clear" w:color="auto" w:fill="auto"/>
            <w:vAlign w:val="center"/>
            <w:hideMark/>
          </w:tcPr>
          <w:p w14:paraId="5F848355"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22</w:t>
            </w:r>
          </w:p>
        </w:tc>
        <w:tc>
          <w:tcPr>
            <w:tcW w:w="729" w:type="pct"/>
            <w:tcBorders>
              <w:top w:val="nil"/>
              <w:left w:val="nil"/>
              <w:bottom w:val="single" w:sz="8" w:space="0" w:color="auto"/>
              <w:right w:val="single" w:sz="8" w:space="0" w:color="auto"/>
            </w:tcBorders>
            <w:shd w:val="clear" w:color="auto" w:fill="auto"/>
            <w:noWrap/>
            <w:vAlign w:val="center"/>
            <w:hideMark/>
          </w:tcPr>
          <w:p w14:paraId="79AF3FB3"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23</w:t>
            </w:r>
          </w:p>
        </w:tc>
        <w:tc>
          <w:tcPr>
            <w:tcW w:w="195" w:type="pct"/>
            <w:tcBorders>
              <w:top w:val="nil"/>
              <w:left w:val="nil"/>
              <w:bottom w:val="single" w:sz="8" w:space="0" w:color="auto"/>
              <w:right w:val="single" w:sz="8" w:space="0" w:color="auto"/>
            </w:tcBorders>
            <w:shd w:val="clear" w:color="auto" w:fill="auto"/>
            <w:vAlign w:val="center"/>
            <w:hideMark/>
          </w:tcPr>
          <w:p w14:paraId="532B9E7A" w14:textId="77777777" w:rsidR="002A2F68" w:rsidRPr="00CA6785" w:rsidRDefault="002A2F68" w:rsidP="002A2F68">
            <w:pPr>
              <w:suppressAutoHyphens w:val="0"/>
              <w:spacing w:line="240" w:lineRule="auto"/>
              <w:jc w:val="center"/>
              <w:rPr>
                <w:rFonts w:eastAsia="Times New Roman"/>
                <w:b/>
                <w:bCs/>
                <w:spacing w:val="0"/>
                <w:w w:val="100"/>
                <w:kern w:val="0"/>
                <w:sz w:val="16"/>
                <w:szCs w:val="16"/>
                <w:lang w:val="en-US"/>
              </w:rPr>
            </w:pPr>
            <w:r w:rsidRPr="00CA6785">
              <w:rPr>
                <w:rFonts w:eastAsia="Times New Roman"/>
                <w:b/>
                <w:bCs/>
                <w:spacing w:val="0"/>
                <w:w w:val="100"/>
                <w:kern w:val="0"/>
                <w:sz w:val="16"/>
                <w:szCs w:val="16"/>
                <w:lang w:val="en-US"/>
              </w:rPr>
              <w:t>135</w:t>
            </w:r>
          </w:p>
        </w:tc>
      </w:tr>
    </w:tbl>
    <w:p w14:paraId="43A408C7" w14:textId="06F19902" w:rsidR="006F67F9" w:rsidRPr="00CA6785" w:rsidRDefault="006F67F9" w:rsidP="008E2513">
      <w:pPr>
        <w:pStyle w:val="SingleTxt"/>
        <w:keepNext/>
        <w:keepLines/>
      </w:pPr>
      <w:bookmarkStart w:id="7" w:name="_Toc39607756"/>
    </w:p>
    <w:p w14:paraId="7D87859D" w14:textId="531DD876" w:rsidR="006F67F9" w:rsidRPr="00CA6785" w:rsidRDefault="006F67F9" w:rsidP="008E2513">
      <w:pPr>
        <w:pStyle w:val="SingleTxt"/>
        <w:keepNext/>
        <w:keepLines/>
      </w:pPr>
    </w:p>
    <w:p w14:paraId="436AE12E" w14:textId="77777777" w:rsidR="006F67F9" w:rsidRPr="00CA6785" w:rsidRDefault="006F67F9" w:rsidP="008E2513">
      <w:pPr>
        <w:pStyle w:val="SingleTxt"/>
        <w:keepNext/>
        <w:keepLines/>
        <w:sectPr w:rsidR="006F67F9" w:rsidRPr="00CA6785" w:rsidSect="006F67F9">
          <w:endnotePr>
            <w:numFmt w:val="decimal"/>
          </w:endnotePr>
          <w:pgSz w:w="16834" w:h="11909" w:orient="landscape"/>
          <w:pgMar w:top="1032" w:right="1440" w:bottom="1032" w:left="1151" w:header="432" w:footer="504" w:gutter="0"/>
          <w:cols w:space="720"/>
          <w:noEndnote/>
          <w:docGrid w:linePitch="360"/>
        </w:sectPr>
      </w:pPr>
    </w:p>
    <w:p w14:paraId="59353CEC" w14:textId="1280739D" w:rsidR="006F67F9" w:rsidRPr="00CA6785" w:rsidRDefault="00150878" w:rsidP="008E2513">
      <w:pPr>
        <w:keepNext/>
        <w:keepLines/>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b/>
          <w:bCs/>
        </w:rPr>
      </w:pPr>
      <w:r w:rsidRPr="00CA6785">
        <w:rPr>
          <w:b/>
          <w:bCs/>
        </w:rPr>
        <w:lastRenderedPageBreak/>
        <w:t xml:space="preserve">2. </w:t>
      </w:r>
      <w:r w:rsidR="008D539F" w:rsidRPr="00CA6785">
        <w:rPr>
          <w:b/>
          <w:bCs/>
        </w:rPr>
        <w:t xml:space="preserve">Commentary </w:t>
      </w:r>
      <w:r w:rsidRPr="00CA6785">
        <w:rPr>
          <w:b/>
          <w:bCs/>
        </w:rPr>
        <w:t>to</w:t>
      </w:r>
      <w:r w:rsidR="006F67F9" w:rsidRPr="00CA6785">
        <w:rPr>
          <w:b/>
          <w:bCs/>
        </w:rPr>
        <w:t xml:space="preserve"> the Work Plan </w:t>
      </w:r>
    </w:p>
    <w:p w14:paraId="33E63235" w14:textId="6C560768" w:rsidR="009C11F9" w:rsidRPr="00CA6785" w:rsidRDefault="008D539F" w:rsidP="008E2513">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Based on the inputs received from delegations, t</w:t>
      </w:r>
      <w:r w:rsidR="000C2D5C" w:rsidRPr="00CA6785">
        <w:t xml:space="preserve">he Work Plan was prepared </w:t>
      </w:r>
      <w:proofErr w:type="gramStart"/>
      <w:r w:rsidR="000C2D5C" w:rsidRPr="00CA6785">
        <w:t>in light of the fact that</w:t>
      </w:r>
      <w:proofErr w:type="gramEnd"/>
      <w:r w:rsidR="000C2D5C" w:rsidRPr="00CA6785">
        <w:t xml:space="preserve"> a </w:t>
      </w:r>
      <w:r w:rsidR="009C11F9" w:rsidRPr="00CA6785">
        <w:t xml:space="preserve">detailed </w:t>
      </w:r>
      <w:r w:rsidR="000C2D5C" w:rsidRPr="00CA6785">
        <w:t xml:space="preserve">schedule of work would be necessary </w:t>
      </w:r>
      <w:r w:rsidR="009C11F9" w:rsidRPr="00CA6785">
        <w:t xml:space="preserve">to determine whether there was a need to </w:t>
      </w:r>
      <w:r w:rsidR="000C2D5C" w:rsidRPr="00CA6785">
        <w:t xml:space="preserve">request </w:t>
      </w:r>
      <w:r w:rsidR="009C11F9" w:rsidRPr="00CA6785">
        <w:t xml:space="preserve">additional resources to support </w:t>
      </w:r>
      <w:r w:rsidR="000C2D5C" w:rsidRPr="00CA6785">
        <w:t>the ISDS project. In short, the Work Plan provides the basis for</w:t>
      </w:r>
      <w:r w:rsidR="00F70F8F" w:rsidRPr="00CA6785">
        <w:t xml:space="preserve"> identifying necessary </w:t>
      </w:r>
      <w:r w:rsidR="009C11F9" w:rsidRPr="00CA6785">
        <w:t xml:space="preserve">resources, </w:t>
      </w:r>
      <w:r w:rsidR="00F70F8F" w:rsidRPr="00CA6785">
        <w:t>allocating existing resources and requesting any additional resources</w:t>
      </w:r>
      <w:r w:rsidR="000C2D5C" w:rsidRPr="00CA6785">
        <w:t>.</w:t>
      </w:r>
      <w:r w:rsidR="002A2F68" w:rsidRPr="00CA6785">
        <w:t xml:space="preserve"> </w:t>
      </w:r>
    </w:p>
    <w:p w14:paraId="7FFA3737" w14:textId="7E4996A3" w:rsidR="000C2D5C" w:rsidRPr="00CA6785" w:rsidRDefault="000C2D5C" w:rsidP="008E2513">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 xml:space="preserve">The Work Plan is only </w:t>
      </w:r>
      <w:proofErr w:type="gramStart"/>
      <w:r w:rsidRPr="00CA6785">
        <w:t>notional</w:t>
      </w:r>
      <w:proofErr w:type="gramEnd"/>
      <w:r w:rsidRPr="00CA6785">
        <w:t xml:space="preserve"> and adjustments will need to be made as the work progresses. </w:t>
      </w:r>
      <w:r w:rsidR="00F70F8F" w:rsidRPr="00CA6785">
        <w:t>It can serve as a basis for the monitoring of the progress made by the Working Group and thus ensure both</w:t>
      </w:r>
      <w:r w:rsidRPr="00CA6785">
        <w:t xml:space="preserve"> predictability and flexibility.</w:t>
      </w:r>
      <w:r w:rsidR="002A2F68" w:rsidRPr="00CA6785">
        <w:t xml:space="preserve"> </w:t>
      </w:r>
      <w:r w:rsidR="00F70F8F" w:rsidRPr="00CA6785">
        <w:t>The Work Plan takes into consideration the need to develop multiple reform options simultaneously, while maintaining a balance between structural reforms and non-structural reforms.</w:t>
      </w:r>
    </w:p>
    <w:p w14:paraId="16F43D67" w14:textId="2B764BB9" w:rsidR="00E720F1" w:rsidRPr="00CA6785" w:rsidRDefault="000C2D5C" w:rsidP="008E2513">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Establishing an end date</w:t>
      </w:r>
      <w:r w:rsidR="008D539F" w:rsidRPr="00CA6785">
        <w:t xml:space="preserve"> or a goal</w:t>
      </w:r>
      <w:r w:rsidRPr="00CA6785">
        <w:t xml:space="preserve"> </w:t>
      </w:r>
      <w:r w:rsidR="00E720F1" w:rsidRPr="00CA6785">
        <w:t>is important in any project planning</w:t>
      </w:r>
      <w:r w:rsidR="009C11F9" w:rsidRPr="00CA6785">
        <w:t>. </w:t>
      </w:r>
      <w:r w:rsidR="00E720F1" w:rsidRPr="00CA6785">
        <w:t xml:space="preserve">The Work Plan foresees an end date of 2025 based on existing and </w:t>
      </w:r>
      <w:r w:rsidR="00F70F8F" w:rsidRPr="00CA6785">
        <w:t>a</w:t>
      </w:r>
      <w:r w:rsidR="00E720F1" w:rsidRPr="00CA6785">
        <w:t>dditional resources</w:t>
      </w:r>
      <w:r w:rsidR="00F70F8F" w:rsidRPr="00CA6785">
        <w:t>, which would be approximately 8 years after the ISDS project begun in 2017</w:t>
      </w:r>
      <w:r w:rsidR="008D539F" w:rsidRPr="00CA6785">
        <w:t>.</w:t>
      </w:r>
      <w:r w:rsidR="00F70F8F" w:rsidRPr="00CA6785">
        <w:t xml:space="preserve"> This is largely in line with a detailed assessment of previous legislative projects carried out by the Commission. And </w:t>
      </w:r>
      <w:r w:rsidR="00E720F1" w:rsidRPr="00CA6785">
        <w:t xml:space="preserve">it </w:t>
      </w:r>
      <w:proofErr w:type="gramStart"/>
      <w:r w:rsidR="00E720F1" w:rsidRPr="00CA6785">
        <w:t>takes into account</w:t>
      </w:r>
      <w:proofErr w:type="gramEnd"/>
      <w:r w:rsidR="00E720F1" w:rsidRPr="00CA6785">
        <w:t xml:space="preserve"> that request</w:t>
      </w:r>
      <w:r w:rsidR="00F874E3" w:rsidRPr="00CA6785">
        <w:t>s</w:t>
      </w:r>
      <w:r w:rsidR="00E720F1" w:rsidRPr="00CA6785">
        <w:t xml:space="preserve"> for additional resources should be limited </w:t>
      </w:r>
      <w:r w:rsidR="006E18DD" w:rsidRPr="00CA6785">
        <w:t>in time</w:t>
      </w:r>
      <w:r w:rsidR="009C0A74" w:rsidRPr="00CA6785">
        <w:t>, in light of the prevailing liquidity crisis in the United Nations</w:t>
      </w:r>
      <w:r w:rsidR="006E18DD" w:rsidRPr="00CA6785">
        <w:t xml:space="preserve">. </w:t>
      </w:r>
    </w:p>
    <w:p w14:paraId="6D6B59A1" w14:textId="6C624E70" w:rsidR="006F67F9" w:rsidRPr="00CA6785" w:rsidRDefault="006F67F9" w:rsidP="000D2C79">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The Work Plan envisages work to be undertake</w:t>
      </w:r>
      <w:r w:rsidR="002F0AA8" w:rsidRPr="00CA6785">
        <w:t>n</w:t>
      </w:r>
      <w:r w:rsidRPr="00CA6785">
        <w:t xml:space="preserve"> </w:t>
      </w:r>
      <w:r w:rsidR="00150878" w:rsidRPr="00CA6785">
        <w:t xml:space="preserve">through </w:t>
      </w:r>
      <w:r w:rsidRPr="00CA6785">
        <w:t>Working Group session</w:t>
      </w:r>
      <w:r w:rsidR="00150878" w:rsidRPr="00CA6785">
        <w:t>s</w:t>
      </w:r>
      <w:r w:rsidRPr="00CA6785">
        <w:t xml:space="preserve"> as well as </w:t>
      </w:r>
      <w:r w:rsidR="00667EC1" w:rsidRPr="00CA6785">
        <w:t xml:space="preserve">using various other means </w:t>
      </w:r>
      <w:proofErr w:type="spellStart"/>
      <w:r w:rsidRPr="00CA6785">
        <w:t>intersessionally</w:t>
      </w:r>
      <w:proofErr w:type="spellEnd"/>
      <w:r w:rsidR="00965622" w:rsidRPr="00CA6785">
        <w:t>.</w:t>
      </w:r>
      <w:r w:rsidR="002A2F68" w:rsidRPr="00CA6785">
        <w:t xml:space="preserve"> </w:t>
      </w:r>
      <w:r w:rsidR="009C0A74" w:rsidRPr="00CA6785">
        <w:t xml:space="preserve">The Work Plan </w:t>
      </w:r>
      <w:r w:rsidR="002F0AA8" w:rsidRPr="00CA6785">
        <w:t>also foresees that certain reform options would be subject to approval in principal by the Commission in a staggered manner</w:t>
      </w:r>
      <w:r w:rsidR="00667EC1" w:rsidRPr="00CA6785">
        <w:t xml:space="preserve"> beginning in 2022. </w:t>
      </w:r>
      <w:r w:rsidR="00F874E3" w:rsidRPr="00CA6785">
        <w:t xml:space="preserve">As is clear from the </w:t>
      </w:r>
      <w:r w:rsidR="000D7D65" w:rsidRPr="00CA6785">
        <w:t>Work P</w:t>
      </w:r>
      <w:r w:rsidR="00F874E3" w:rsidRPr="00CA6785">
        <w:t xml:space="preserve">lan, this </w:t>
      </w:r>
      <w:r w:rsidR="009C0A74" w:rsidRPr="00CA6785">
        <w:t>c</w:t>
      </w:r>
      <w:r w:rsidR="00F874E3" w:rsidRPr="00CA6785">
        <w:t xml:space="preserve">ould ease the workload on the Commission in 2025, as reaching such agreement in principle at earlier sessions </w:t>
      </w:r>
      <w:r w:rsidR="009C0A74" w:rsidRPr="00CA6785">
        <w:t>w</w:t>
      </w:r>
      <w:r w:rsidR="00F874E3" w:rsidRPr="00CA6785">
        <w:t xml:space="preserve">ould make it possible to </w:t>
      </w:r>
      <w:r w:rsidR="000D7D65" w:rsidRPr="00CA6785">
        <w:t>formally</w:t>
      </w:r>
      <w:r w:rsidR="00F874E3" w:rsidRPr="00CA6785">
        <w:t xml:space="preserve"> adopt </w:t>
      </w:r>
      <w:r w:rsidR="009C0A74" w:rsidRPr="00CA6785">
        <w:t xml:space="preserve">all of the </w:t>
      </w:r>
      <w:r w:rsidR="00F874E3" w:rsidRPr="00CA6785">
        <w:t xml:space="preserve">reform </w:t>
      </w:r>
      <w:r w:rsidR="009C0A74" w:rsidRPr="00CA6785">
        <w:t xml:space="preserve">options </w:t>
      </w:r>
      <w:r w:rsidR="000D7D65" w:rsidRPr="00CA6785">
        <w:t>more efficiently</w:t>
      </w:r>
      <w:r w:rsidR="00F874E3" w:rsidRPr="00CA6785">
        <w:t xml:space="preserve"> at</w:t>
      </w:r>
      <w:r w:rsidR="008D539F" w:rsidRPr="00CA6785">
        <w:t xml:space="preserve"> the Commission in 2025. </w:t>
      </w:r>
    </w:p>
    <w:p w14:paraId="299106B8" w14:textId="3F7E8243" w:rsidR="002F0AA8" w:rsidRPr="00CA6785" w:rsidRDefault="006F67F9" w:rsidP="008E2513">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 xml:space="preserve">According to the Work Plan, </w:t>
      </w:r>
      <w:r w:rsidR="002F0AA8" w:rsidRPr="00CA6785">
        <w:t xml:space="preserve">a total of 57 days of </w:t>
      </w:r>
      <w:r w:rsidR="006E18DD" w:rsidRPr="00CA6785">
        <w:t xml:space="preserve">Working Group </w:t>
      </w:r>
      <w:r w:rsidR="008D539F" w:rsidRPr="00CA6785">
        <w:t xml:space="preserve">session </w:t>
      </w:r>
      <w:r w:rsidR="002F0AA8" w:rsidRPr="00CA6785">
        <w:t>would be required to complete the ISDS Project</w:t>
      </w:r>
      <w:r w:rsidR="006E18DD" w:rsidRPr="00CA6785">
        <w:t xml:space="preserve"> (exclusive of days for the adoption of reports)</w:t>
      </w:r>
      <w:r w:rsidR="002F0AA8" w:rsidRPr="00CA6785">
        <w:t>.</w:t>
      </w:r>
      <w:r w:rsidR="002F0AA8" w:rsidRPr="00CA6785">
        <w:rPr>
          <w:vertAlign w:val="superscript"/>
        </w:rPr>
        <w:footnoteReference w:id="3"/>
      </w:r>
      <w:r w:rsidR="002A2F68" w:rsidRPr="00CA6785">
        <w:t xml:space="preserve"> </w:t>
      </w:r>
      <w:r w:rsidR="002F0AA8" w:rsidRPr="00CA6785">
        <w:t xml:space="preserve">This </w:t>
      </w:r>
      <w:r w:rsidR="006E18DD" w:rsidRPr="00CA6785">
        <w:t>c</w:t>
      </w:r>
      <w:r w:rsidR="002F0AA8" w:rsidRPr="00CA6785">
        <w:t xml:space="preserve">ould be carried out in 15 </w:t>
      </w:r>
      <w:r w:rsidR="00150878" w:rsidRPr="00CA6785">
        <w:t xml:space="preserve">one-week </w:t>
      </w:r>
      <w:r w:rsidR="002F0AA8" w:rsidRPr="00CA6785">
        <w:t xml:space="preserve">sessions of the Working Group over a period of 5 years beginning in 2021. </w:t>
      </w:r>
    </w:p>
    <w:p w14:paraId="41021CE1" w14:textId="16B5BA72" w:rsidR="008E2513" w:rsidRPr="00CA6785" w:rsidRDefault="006E18DD" w:rsidP="008E2513">
      <w:pPr>
        <w:keepNext/>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 </w:t>
      </w:r>
      <w:r w:rsidR="002F0AA8" w:rsidRPr="00CA6785">
        <w:t>The Work Plan also foresees the use of other means</w:t>
      </w:r>
      <w:r w:rsidR="008E2513" w:rsidRPr="00CA6785">
        <w:t xml:space="preserve"> or informal meetings</w:t>
      </w:r>
      <w:r w:rsidR="002F0AA8" w:rsidRPr="00CA6785">
        <w:t xml:space="preserve"> (inter-sessional meetings</w:t>
      </w:r>
      <w:r w:rsidR="00150878" w:rsidRPr="00CA6785">
        <w:t xml:space="preserve">, </w:t>
      </w:r>
      <w:r w:rsidR="002F0AA8" w:rsidRPr="00CA6785">
        <w:t>drafting groups</w:t>
      </w:r>
      <w:r w:rsidR="00150878" w:rsidRPr="00CA6785">
        <w:t>, joint work with other organization</w:t>
      </w:r>
      <w:r w:rsidR="009C0A74" w:rsidRPr="00CA6785">
        <w:t xml:space="preserve"> as well as supporting webinars</w:t>
      </w:r>
      <w:r w:rsidR="002F0AA8" w:rsidRPr="00CA6785">
        <w:t>) during the intersessional period</w:t>
      </w:r>
      <w:r w:rsidR="009C0A74" w:rsidRPr="00CA6785">
        <w:t xml:space="preserve"> to further enhance the efficiency </w:t>
      </w:r>
      <w:r w:rsidR="008E2513" w:rsidRPr="00CA6785">
        <w:t>of</w:t>
      </w:r>
      <w:r w:rsidR="009C0A74" w:rsidRPr="00CA6785">
        <w:t xml:space="preserve"> deliberations while maintaining the role of the Working Group. </w:t>
      </w:r>
      <w:r w:rsidR="008E2513" w:rsidRPr="00CA6785">
        <w:t xml:space="preserve">In other words, they aim to reduce the overall time required at a formal Working Group session by </w:t>
      </w:r>
      <w:r w:rsidR="000D2C79" w:rsidRPr="00CA6785">
        <w:t>facilitat</w:t>
      </w:r>
      <w:r w:rsidR="008E2513" w:rsidRPr="00CA6785">
        <w:t>ing</w:t>
      </w:r>
      <w:r w:rsidR="000D2C79" w:rsidRPr="00CA6785">
        <w:t xml:space="preserve"> a better understanding of the different positions of the delegations and keep</w:t>
      </w:r>
      <w:r w:rsidR="008E2513" w:rsidRPr="00CA6785">
        <w:t>ing</w:t>
      </w:r>
      <w:r w:rsidR="000D2C79" w:rsidRPr="00CA6785">
        <w:t xml:space="preserve"> them informed of, and engaged in, the ongoing deliberations. They also provide the opportunity to overcome disagreements and to develop options for consideration by the Working Group. Overall, they assist in building consensus, thus ensuring that formal meetings are reserved for those issues, which require more extensive deliberations. </w:t>
      </w:r>
      <w:r w:rsidR="008E2513" w:rsidRPr="00CA6785">
        <w:t xml:space="preserve">The Working Group may wish to recall a series of informal webinars and consultations organized or facilitated by the Secretariat following the </w:t>
      </w:r>
      <w:r w:rsidR="008E2513" w:rsidRPr="00CA6785">
        <w:lastRenderedPageBreak/>
        <w:t>global outbreak of the COVID-19 pandemic on a number of the reform options, some of which led to a more informed discussion during the thirty-ninth session.</w:t>
      </w:r>
      <w:r w:rsidR="002A2F68" w:rsidRPr="00CA6785">
        <w:t xml:space="preserve"> </w:t>
      </w:r>
    </w:p>
    <w:p w14:paraId="2C1898E0" w14:textId="27DF556A" w:rsidR="008E2513" w:rsidRPr="00CA6785" w:rsidRDefault="008E2513" w:rsidP="008E2513">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The Working Group may wish to note that the Commission had invited delegations to resort to informal consultations prior to actual meetings, thus reserving conference time only for those issues which required extensive deliberation.</w:t>
      </w:r>
      <w:r w:rsidRPr="00CA6785">
        <w:rPr>
          <w:vertAlign w:val="superscript"/>
        </w:rPr>
        <w:footnoteReference w:id="4"/>
      </w:r>
      <w:r w:rsidRPr="00CA6785">
        <w:t xml:space="preserve"> At the same time, the Working Group should recognize the limitations of informal meetings, in particular, the lack of interpretation in all official languages of the United Nations.</w:t>
      </w:r>
      <w:r w:rsidR="002A2F68" w:rsidRPr="00CA6785">
        <w:t xml:space="preserve"> </w:t>
      </w:r>
    </w:p>
    <w:p w14:paraId="0594324E" w14:textId="0C704BEB" w:rsidR="007821B2" w:rsidRPr="00CA6785" w:rsidRDefault="00150878" w:rsidP="008E2513">
      <w:pPr>
        <w:keepNext/>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The</w:t>
      </w:r>
      <w:r w:rsidR="009C0A74" w:rsidRPr="00CA6785">
        <w:t xml:space="preserve"> Work Plan foresees </w:t>
      </w:r>
      <w:r w:rsidR="002F0AA8" w:rsidRPr="00CA6785">
        <w:t xml:space="preserve">78 </w:t>
      </w:r>
      <w:r w:rsidR="008E2513" w:rsidRPr="00CA6785">
        <w:t xml:space="preserve">informal </w:t>
      </w:r>
      <w:r w:rsidR="009C0A74" w:rsidRPr="00CA6785">
        <w:t xml:space="preserve">meetings </w:t>
      </w:r>
      <w:r w:rsidRPr="00CA6785">
        <w:t>in total.</w:t>
      </w:r>
      <w:r w:rsidR="008E2513" w:rsidRPr="00CA6785">
        <w:t xml:space="preserve"> </w:t>
      </w:r>
      <w:r w:rsidR="007821B2" w:rsidRPr="00CA6785">
        <w:t xml:space="preserve">As of the submission date of this note, </w:t>
      </w:r>
      <w:r w:rsidR="008A434E" w:rsidRPr="00CA6785">
        <w:t>an</w:t>
      </w:r>
      <w:r w:rsidR="007821B2" w:rsidRPr="00CA6785">
        <w:t xml:space="preserve"> inter-sessional meeting </w:t>
      </w:r>
      <w:r w:rsidR="008A434E" w:rsidRPr="00CA6785">
        <w:t xml:space="preserve">is scheduled </w:t>
      </w:r>
      <w:r w:rsidRPr="00CA6785">
        <w:t>in the second half of 2020</w:t>
      </w:r>
      <w:r w:rsidR="004C3B1F" w:rsidRPr="00CA6785">
        <w:t xml:space="preserve"> </w:t>
      </w:r>
      <w:r w:rsidR="008A434E" w:rsidRPr="00CA6785">
        <w:t xml:space="preserve">in </w:t>
      </w:r>
      <w:r w:rsidR="007821B2" w:rsidRPr="00CA6785">
        <w:t xml:space="preserve">Hong Kong, China. </w:t>
      </w:r>
      <w:proofErr w:type="gramStart"/>
      <w:r w:rsidR="007821B2" w:rsidRPr="00CA6785">
        <w:t>Similar to</w:t>
      </w:r>
      <w:proofErr w:type="gramEnd"/>
      <w:r w:rsidR="007821B2" w:rsidRPr="00CA6785">
        <w:t xml:space="preserve"> the previous inter-sessional meetings, it is expected </w:t>
      </w:r>
      <w:r w:rsidR="008A434E" w:rsidRPr="00CA6785">
        <w:t>that</w:t>
      </w:r>
      <w:r w:rsidR="007821B2" w:rsidRPr="00CA6785">
        <w:t xml:space="preserve"> the host State would report the </w:t>
      </w:r>
      <w:r w:rsidR="00D076E0" w:rsidRPr="00CA6785">
        <w:t xml:space="preserve">outcome </w:t>
      </w:r>
      <w:r w:rsidR="007821B2" w:rsidRPr="00CA6785">
        <w:t xml:space="preserve">of </w:t>
      </w:r>
      <w:r w:rsidR="008A434E" w:rsidRPr="00CA6785">
        <w:t xml:space="preserve">such </w:t>
      </w:r>
      <w:r w:rsidR="007821B2" w:rsidRPr="00CA6785">
        <w:t xml:space="preserve">meetings to the Working Group. However, unlike previous inter-sessional meetings which focused on the regional context, the proposed inter-sessional meeting would aim </w:t>
      </w:r>
      <w:r w:rsidR="00667EC1" w:rsidRPr="00CA6785">
        <w:t xml:space="preserve">at furthering the discussions on </w:t>
      </w:r>
      <w:r w:rsidR="007821B2" w:rsidRPr="00CA6785">
        <w:t>specific reform options</w:t>
      </w:r>
      <w:r w:rsidR="008A434E" w:rsidRPr="00CA6785">
        <w:t>, f</w:t>
      </w:r>
      <w:r w:rsidR="007821B2" w:rsidRPr="00CA6785">
        <w:t xml:space="preserve">or example, on investment mediation and dispute prevention. </w:t>
      </w:r>
    </w:p>
    <w:p w14:paraId="215A89EB" w14:textId="07284BC2" w:rsidR="007821B2" w:rsidRPr="00CA6785" w:rsidRDefault="007821B2" w:rsidP="000D2C79">
      <w:pPr>
        <w:keepNext/>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Joint work or meetings with other organizations are also envisaged</w:t>
      </w:r>
      <w:r w:rsidR="004C3B1F" w:rsidRPr="00CA6785">
        <w:t xml:space="preserve"> in the Work Plan</w:t>
      </w:r>
      <w:r w:rsidRPr="00CA6785">
        <w:t xml:space="preserve">. For example, on the code of conduct, </w:t>
      </w:r>
      <w:r w:rsidR="00150878" w:rsidRPr="00CA6785">
        <w:t xml:space="preserve">a joint meeting with ICSID is planned for the first half of 2021. Similarly, a joint meeting on shareholder claims and reflective loss is planned in cooperation with the </w:t>
      </w:r>
      <w:r w:rsidRPr="00CA6785">
        <w:t xml:space="preserve">Organization for Economic Cooperation and Development (OECD). </w:t>
      </w:r>
    </w:p>
    <w:p w14:paraId="023E780E" w14:textId="026B8A22" w:rsidR="008E2513" w:rsidRPr="00CA6785" w:rsidRDefault="000D2C79"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 xml:space="preserve">The Work Plan suggests that these informal meetings are more actively utilized in 2021 and 2022 as they can be quite useful in information sharing and initial drafting. As the work progresses and the Working Group is called upon to make decisions, the number of informal meetings is scheduled to decrease. </w:t>
      </w:r>
    </w:p>
    <w:p w14:paraId="35FDF6D4" w14:textId="77777777" w:rsidR="008E2513" w:rsidRPr="00CA6785" w:rsidRDefault="008E2513" w:rsidP="00902A56">
      <w:pPr>
        <w:suppressAutoHyphens w:val="0"/>
        <w:spacing w:after="200" w:line="276" w:lineRule="auto"/>
      </w:pPr>
      <w:r w:rsidRPr="00CA6785">
        <w:br w:type="page"/>
      </w:r>
    </w:p>
    <w:p w14:paraId="29FFBFB4" w14:textId="77777777" w:rsidR="006F67F9" w:rsidRPr="00CA6785" w:rsidRDefault="006F67F9" w:rsidP="00902A56">
      <w:pPr>
        <w:pStyle w:val="SingleTxt"/>
        <w:spacing w:after="0" w:line="120" w:lineRule="atLeast"/>
        <w:rPr>
          <w:sz w:val="10"/>
        </w:rPr>
      </w:pPr>
      <w:bookmarkStart w:id="8" w:name="_Hlk37249326"/>
      <w:bookmarkStart w:id="9" w:name="_Hlk37249346"/>
    </w:p>
    <w:p w14:paraId="536A31F5" w14:textId="4FEEA04A" w:rsidR="006F67F9" w:rsidRPr="00CA6785" w:rsidRDefault="006F67F9" w:rsidP="00902A56">
      <w:pPr>
        <w:pStyle w:val="HCh"/>
        <w:keepNext w:val="0"/>
        <w:keepLines w:val="0"/>
        <w:ind w:left="1267" w:right="1260" w:hanging="1267"/>
      </w:pPr>
      <w:r w:rsidRPr="00CA6785">
        <w:tab/>
      </w:r>
      <w:bookmarkStart w:id="10" w:name="_Toc39607759"/>
      <w:r w:rsidRPr="00CA6785">
        <w:t>I</w:t>
      </w:r>
      <w:r w:rsidR="005914AB" w:rsidRPr="00CA6785">
        <w:t>II</w:t>
      </w:r>
      <w:r w:rsidRPr="00CA6785">
        <w:t>.</w:t>
      </w:r>
      <w:r w:rsidRPr="00CA6785">
        <w:tab/>
      </w:r>
      <w:bookmarkEnd w:id="8"/>
      <w:bookmarkEnd w:id="10"/>
      <w:r w:rsidR="00150878" w:rsidRPr="00CA6785">
        <w:t xml:space="preserve">Resourcing plan </w:t>
      </w:r>
    </w:p>
    <w:p w14:paraId="2C0B6E7B" w14:textId="77777777" w:rsidR="006F67F9" w:rsidRPr="00CA6785" w:rsidRDefault="006F67F9" w:rsidP="00902A56">
      <w:pPr>
        <w:pStyle w:val="SingleTxt"/>
        <w:spacing w:after="0" w:line="120" w:lineRule="atLeast"/>
        <w:rPr>
          <w:sz w:val="10"/>
        </w:rPr>
      </w:pPr>
    </w:p>
    <w:bookmarkEnd w:id="9"/>
    <w:p w14:paraId="4065261E" w14:textId="35C75534" w:rsidR="00902A56" w:rsidRPr="00CA6785" w:rsidRDefault="00902A56" w:rsidP="00902A56">
      <w:pPr>
        <w:pStyle w:val="SingleTxt"/>
        <w:ind w:right="1267"/>
        <w:rPr>
          <w:b/>
          <w:bCs/>
          <w:spacing w:val="0"/>
          <w:w w:val="100"/>
        </w:rPr>
      </w:pPr>
    </w:p>
    <w:p w14:paraId="0B3C0BB9" w14:textId="0B2BCD78" w:rsidR="005914AB" w:rsidRPr="00CA6785" w:rsidRDefault="00902A56" w:rsidP="00902A56">
      <w:pPr>
        <w:pStyle w:val="SingleTxt"/>
        <w:ind w:right="1267"/>
        <w:rPr>
          <w:b/>
          <w:bCs/>
          <w:spacing w:val="0"/>
          <w:w w:val="100"/>
        </w:rPr>
      </w:pPr>
      <w:r w:rsidRPr="00CA6785">
        <w:rPr>
          <w:b/>
          <w:bCs/>
          <w:spacing w:val="0"/>
          <w:w w:val="100"/>
        </w:rPr>
        <w:t xml:space="preserve">1. </w:t>
      </w:r>
      <w:r w:rsidR="005914AB" w:rsidRPr="00CA6785">
        <w:rPr>
          <w:b/>
          <w:bCs/>
          <w:spacing w:val="0"/>
          <w:w w:val="100"/>
        </w:rPr>
        <w:t xml:space="preserve">Resources utilized </w:t>
      </w:r>
      <w:r w:rsidR="00BE2B0E" w:rsidRPr="00CA6785">
        <w:rPr>
          <w:b/>
          <w:bCs/>
          <w:spacing w:val="0"/>
          <w:w w:val="100"/>
        </w:rPr>
        <w:t>from 2017-2020</w:t>
      </w:r>
      <w:r w:rsidR="005914AB" w:rsidRPr="00CA6785">
        <w:rPr>
          <w:b/>
          <w:bCs/>
          <w:spacing w:val="0"/>
          <w:w w:val="100"/>
        </w:rPr>
        <w:t xml:space="preserve"> </w:t>
      </w:r>
    </w:p>
    <w:p w14:paraId="6390F61B" w14:textId="5E916C58" w:rsidR="005914AB" w:rsidRPr="00CA6785" w:rsidRDefault="005914AB"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rPr>
          <w:spacing w:val="0"/>
          <w:w w:val="100"/>
        </w:rPr>
        <w:t xml:space="preserve">In </w:t>
      </w:r>
      <w:r w:rsidRPr="00CA6785">
        <w:t xml:space="preserve">2017, the Working Group was entrusted with a broad mandate to work on the ISDS project. Since then, the Working Group has held seven </w:t>
      </w:r>
      <w:r w:rsidR="004C3B1F" w:rsidRPr="00CA6785">
        <w:t>one-w</w:t>
      </w:r>
      <w:r w:rsidRPr="00CA6785">
        <w:t xml:space="preserve">eek sessions. During the first four sessions, the Working Group identified and discussed concerns regarding ISDS, and further considered that reform was desirable </w:t>
      </w:r>
      <w:proofErr w:type="gramStart"/>
      <w:r w:rsidRPr="00CA6785">
        <w:t>in light of</w:t>
      </w:r>
      <w:proofErr w:type="gramEnd"/>
      <w:r w:rsidRPr="00CA6785">
        <w:t xml:space="preserve"> the identified concerns.</w:t>
      </w:r>
      <w:r w:rsidRPr="00CA6785">
        <w:rPr>
          <w:vertAlign w:val="superscript"/>
        </w:rPr>
        <w:footnoteReference w:id="5"/>
      </w:r>
      <w:r w:rsidRPr="00CA6785">
        <w:t xml:space="preserve"> </w:t>
      </w:r>
      <w:r w:rsidR="003B54EF" w:rsidRPr="00CA6785">
        <w:t xml:space="preserve">During the previous three sessions, the Working Group considered </w:t>
      </w:r>
      <w:r w:rsidR="004C3B1F" w:rsidRPr="00CA6785">
        <w:t>concrete</w:t>
      </w:r>
      <w:r w:rsidR="003B54EF" w:rsidRPr="00CA6785">
        <w:t xml:space="preserve"> reform solutions.</w:t>
      </w:r>
      <w:r w:rsidR="003B54EF" w:rsidRPr="00CA6785">
        <w:rPr>
          <w:vertAlign w:val="superscript"/>
        </w:rPr>
        <w:footnoteReference w:id="6"/>
      </w:r>
      <w:r w:rsidR="003B54EF" w:rsidRPr="00CA6785">
        <w:t xml:space="preserve"> </w:t>
      </w:r>
    </w:p>
    <w:p w14:paraId="74154BB8" w14:textId="521DFF01" w:rsidR="005914AB" w:rsidRPr="00CA6785" w:rsidRDefault="005914AB"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Table 1 provides an overview of the conference</w:t>
      </w:r>
      <w:r w:rsidRPr="00CA6785">
        <w:rPr>
          <w:vertAlign w:val="superscript"/>
        </w:rPr>
        <w:footnoteReference w:id="7"/>
      </w:r>
      <w:r w:rsidRPr="00CA6785">
        <w:t xml:space="preserve"> and document</w:t>
      </w:r>
      <w:r w:rsidRPr="00CA6785">
        <w:rPr>
          <w:vertAlign w:val="superscript"/>
        </w:rPr>
        <w:footnoteReference w:id="8"/>
      </w:r>
      <w:r w:rsidRPr="00CA6785">
        <w:t xml:space="preserve"> resources utilized by the Working Group </w:t>
      </w:r>
      <w:r w:rsidR="004C3B1F" w:rsidRPr="00CA6785">
        <w:t>during the seven previous sessions</w:t>
      </w:r>
      <w:r w:rsidRPr="00CA6785">
        <w:t xml:space="preserve">. The table indicates that the third phase of the ISDS Project, where multiple reform solutions are expected to be developed simultaneously, </w:t>
      </w:r>
      <w:r w:rsidR="004C3B1F" w:rsidRPr="00CA6785">
        <w:t xml:space="preserve">will likely </w:t>
      </w:r>
      <w:r w:rsidRPr="00CA6785">
        <w:t xml:space="preserve">require more resources per session. </w:t>
      </w:r>
    </w:p>
    <w:p w14:paraId="7006D710" w14:textId="77777777" w:rsidR="005914AB" w:rsidRPr="00CA6785" w:rsidRDefault="005914AB" w:rsidP="00902A56">
      <w:pPr>
        <w:pStyle w:val="SingleTxt"/>
        <w:spacing w:after="0"/>
        <w:jc w:val="left"/>
      </w:pPr>
      <w:r w:rsidRPr="00CA6785">
        <w:t>Table 1</w:t>
      </w:r>
    </w:p>
    <w:p w14:paraId="51757F84" w14:textId="436408B7" w:rsidR="005914AB" w:rsidRPr="00CA6785" w:rsidRDefault="005914AB" w:rsidP="00902A56">
      <w:pPr>
        <w:pStyle w:val="SingleTxt"/>
        <w:spacing w:after="0"/>
        <w:jc w:val="left"/>
      </w:pPr>
      <w:r w:rsidRPr="00CA6785">
        <w:rPr>
          <w:b/>
          <w:bCs/>
        </w:rPr>
        <w:t xml:space="preserve">Overview of resources utilized by </w:t>
      </w:r>
      <w:r w:rsidR="003B54EF" w:rsidRPr="00CA6785">
        <w:rPr>
          <w:b/>
          <w:bCs/>
        </w:rPr>
        <w:t xml:space="preserve">the </w:t>
      </w:r>
      <w:r w:rsidRPr="00CA6785">
        <w:rPr>
          <w:b/>
          <w:bCs/>
        </w:rPr>
        <w:t>Working Group</w:t>
      </w:r>
      <w:r w:rsidRPr="00CA6785">
        <w:rPr>
          <w:vertAlign w:val="superscript"/>
        </w:rPr>
        <w:footnoteReference w:id="9"/>
      </w:r>
    </w:p>
    <w:tbl>
      <w:tblPr>
        <w:tblStyle w:val="TableGrid"/>
        <w:tblpPr w:leftFromText="180" w:rightFromText="180" w:vertAnchor="text" w:horzAnchor="margin" w:tblpX="1250" w:tblpY="171"/>
        <w:tblW w:w="0" w:type="auto"/>
        <w:tblLook w:val="04A0" w:firstRow="1" w:lastRow="0" w:firstColumn="1" w:lastColumn="0" w:noHBand="0" w:noVBand="1"/>
      </w:tblPr>
      <w:tblGrid>
        <w:gridCol w:w="2155"/>
        <w:gridCol w:w="1159"/>
        <w:gridCol w:w="2162"/>
        <w:gridCol w:w="1899"/>
      </w:tblGrid>
      <w:tr w:rsidR="005914AB" w:rsidRPr="00CA6785" w14:paraId="253EF2F3" w14:textId="77777777" w:rsidTr="000C2D5C">
        <w:tc>
          <w:tcPr>
            <w:tcW w:w="2155" w:type="dxa"/>
            <w:tcBorders>
              <w:bottom w:val="single" w:sz="4" w:space="0" w:color="auto"/>
            </w:tcBorders>
            <w:shd w:val="pct10" w:color="auto" w:fill="auto"/>
            <w:vAlign w:val="center"/>
          </w:tcPr>
          <w:p w14:paraId="23A9CACA" w14:textId="77777777" w:rsidR="005914AB" w:rsidRPr="00CA6785" w:rsidRDefault="005914AB" w:rsidP="00902A56">
            <w:pPr>
              <w:snapToGrid w:val="0"/>
              <w:spacing w:line="210" w:lineRule="atLeast"/>
              <w:jc w:val="center"/>
              <w:rPr>
                <w:b/>
                <w:bCs/>
                <w:sz w:val="17"/>
                <w:szCs w:val="17"/>
              </w:rPr>
            </w:pPr>
          </w:p>
        </w:tc>
        <w:tc>
          <w:tcPr>
            <w:tcW w:w="1159" w:type="dxa"/>
            <w:shd w:val="pct10" w:color="auto" w:fill="auto"/>
            <w:vAlign w:val="bottom"/>
          </w:tcPr>
          <w:p w14:paraId="43D56712" w14:textId="77777777" w:rsidR="005914AB" w:rsidRPr="00CA6785" w:rsidRDefault="005914AB" w:rsidP="00902A56">
            <w:pPr>
              <w:snapToGrid w:val="0"/>
              <w:spacing w:after="40" w:line="210" w:lineRule="atLeast"/>
              <w:rPr>
                <w:b/>
                <w:bCs/>
                <w:sz w:val="17"/>
                <w:szCs w:val="17"/>
              </w:rPr>
            </w:pPr>
            <w:r w:rsidRPr="00CA6785">
              <w:rPr>
                <w:b/>
                <w:bCs/>
                <w:sz w:val="17"/>
                <w:szCs w:val="17"/>
              </w:rPr>
              <w:t>Conference resources</w:t>
            </w:r>
          </w:p>
        </w:tc>
        <w:tc>
          <w:tcPr>
            <w:tcW w:w="2162" w:type="dxa"/>
            <w:shd w:val="pct10" w:color="auto" w:fill="auto"/>
            <w:vAlign w:val="bottom"/>
          </w:tcPr>
          <w:p w14:paraId="6CE00683" w14:textId="77777777" w:rsidR="005914AB" w:rsidRPr="00CA6785" w:rsidRDefault="005914AB" w:rsidP="00902A56">
            <w:pPr>
              <w:snapToGrid w:val="0"/>
              <w:spacing w:after="40" w:line="210" w:lineRule="atLeast"/>
              <w:rPr>
                <w:b/>
                <w:bCs/>
                <w:sz w:val="17"/>
                <w:szCs w:val="17"/>
              </w:rPr>
            </w:pPr>
            <w:r w:rsidRPr="00CA6785">
              <w:rPr>
                <w:b/>
                <w:bCs/>
                <w:sz w:val="17"/>
                <w:szCs w:val="17"/>
              </w:rPr>
              <w:t>Notes by the Secretariat</w:t>
            </w:r>
          </w:p>
        </w:tc>
        <w:tc>
          <w:tcPr>
            <w:tcW w:w="1899" w:type="dxa"/>
            <w:shd w:val="pct10" w:color="auto" w:fill="auto"/>
            <w:vAlign w:val="bottom"/>
          </w:tcPr>
          <w:p w14:paraId="6966BBC9" w14:textId="77777777" w:rsidR="005914AB" w:rsidRPr="00CA6785" w:rsidRDefault="005914AB" w:rsidP="00902A56">
            <w:pPr>
              <w:snapToGrid w:val="0"/>
              <w:spacing w:after="40" w:line="210" w:lineRule="atLeast"/>
              <w:rPr>
                <w:b/>
                <w:bCs/>
                <w:sz w:val="17"/>
                <w:szCs w:val="17"/>
              </w:rPr>
            </w:pPr>
            <w:r w:rsidRPr="00CA6785">
              <w:rPr>
                <w:b/>
                <w:bCs/>
                <w:sz w:val="17"/>
                <w:szCs w:val="17"/>
              </w:rPr>
              <w:t>Submissions by States and others</w:t>
            </w:r>
            <w:r w:rsidRPr="00CA6785">
              <w:rPr>
                <w:rStyle w:val="FootnoteReference"/>
                <w:sz w:val="17"/>
                <w:szCs w:val="17"/>
              </w:rPr>
              <w:footnoteReference w:id="10"/>
            </w:r>
            <w:r w:rsidRPr="00CA6785">
              <w:rPr>
                <w:b/>
                <w:bCs/>
                <w:sz w:val="17"/>
                <w:szCs w:val="17"/>
              </w:rPr>
              <w:t xml:space="preserve"> </w:t>
            </w:r>
          </w:p>
        </w:tc>
      </w:tr>
      <w:tr w:rsidR="005914AB" w:rsidRPr="00CA6785" w14:paraId="5BF1D3CA" w14:textId="77777777" w:rsidTr="000C2D5C">
        <w:tc>
          <w:tcPr>
            <w:tcW w:w="2155" w:type="dxa"/>
            <w:shd w:val="pct10" w:color="auto" w:fill="auto"/>
          </w:tcPr>
          <w:p w14:paraId="7AFB2173" w14:textId="77777777" w:rsidR="005914AB" w:rsidRPr="00CA6785" w:rsidRDefault="005914AB" w:rsidP="00902A56">
            <w:pPr>
              <w:snapToGrid w:val="0"/>
              <w:spacing w:before="40" w:line="210" w:lineRule="atLeast"/>
              <w:rPr>
                <w:b/>
                <w:bCs/>
                <w:sz w:val="17"/>
                <w:szCs w:val="17"/>
              </w:rPr>
            </w:pPr>
            <w:r w:rsidRPr="00CA6785">
              <w:rPr>
                <w:b/>
                <w:bCs/>
                <w:sz w:val="17"/>
                <w:szCs w:val="17"/>
              </w:rPr>
              <w:t xml:space="preserve">First and second phase </w:t>
            </w:r>
          </w:p>
          <w:p w14:paraId="0F3F3C6E" w14:textId="77777777" w:rsidR="005914AB" w:rsidRPr="00CA6785" w:rsidRDefault="005914AB" w:rsidP="00902A56">
            <w:pPr>
              <w:snapToGrid w:val="0"/>
              <w:spacing w:before="40" w:after="80" w:line="210" w:lineRule="atLeast"/>
              <w:rPr>
                <w:b/>
                <w:bCs/>
                <w:sz w:val="17"/>
                <w:szCs w:val="17"/>
              </w:rPr>
            </w:pPr>
            <w:r w:rsidRPr="00CA6785">
              <w:rPr>
                <w:b/>
                <w:bCs/>
                <w:sz w:val="17"/>
                <w:szCs w:val="17"/>
              </w:rPr>
              <w:t>(34th to 37th sessions)</w:t>
            </w:r>
          </w:p>
        </w:tc>
        <w:tc>
          <w:tcPr>
            <w:tcW w:w="1159" w:type="dxa"/>
          </w:tcPr>
          <w:p w14:paraId="07FE00FC" w14:textId="77777777" w:rsidR="005914AB" w:rsidRPr="00CA6785" w:rsidRDefault="005914AB" w:rsidP="00902A56">
            <w:pPr>
              <w:snapToGrid w:val="0"/>
              <w:spacing w:before="40" w:line="210" w:lineRule="atLeast"/>
              <w:rPr>
                <w:sz w:val="17"/>
                <w:szCs w:val="17"/>
              </w:rPr>
            </w:pPr>
            <w:r w:rsidRPr="00CA6785">
              <w:rPr>
                <w:sz w:val="17"/>
                <w:szCs w:val="17"/>
              </w:rPr>
              <w:t>4 weeks</w:t>
            </w:r>
          </w:p>
        </w:tc>
        <w:tc>
          <w:tcPr>
            <w:tcW w:w="2162" w:type="dxa"/>
          </w:tcPr>
          <w:p w14:paraId="36787FCA" w14:textId="77777777" w:rsidR="005914AB" w:rsidRPr="00CA6785" w:rsidRDefault="005914AB" w:rsidP="00902A56">
            <w:pPr>
              <w:snapToGrid w:val="0"/>
              <w:spacing w:before="40" w:line="210" w:lineRule="atLeast"/>
              <w:rPr>
                <w:sz w:val="17"/>
                <w:szCs w:val="17"/>
              </w:rPr>
            </w:pPr>
            <w:r w:rsidRPr="00CA6785">
              <w:rPr>
                <w:sz w:val="17"/>
                <w:szCs w:val="17"/>
              </w:rPr>
              <w:t>8 working papers averaging 15.6 pages</w:t>
            </w:r>
          </w:p>
        </w:tc>
        <w:tc>
          <w:tcPr>
            <w:tcW w:w="1899" w:type="dxa"/>
          </w:tcPr>
          <w:p w14:paraId="47CB43B8" w14:textId="77777777" w:rsidR="005914AB" w:rsidRPr="00CA6785" w:rsidRDefault="005914AB" w:rsidP="00902A56">
            <w:pPr>
              <w:snapToGrid w:val="0"/>
              <w:spacing w:before="40" w:line="210" w:lineRule="atLeast"/>
              <w:rPr>
                <w:sz w:val="17"/>
                <w:szCs w:val="17"/>
              </w:rPr>
            </w:pPr>
            <w:r w:rsidRPr="00CA6785">
              <w:rPr>
                <w:sz w:val="17"/>
                <w:szCs w:val="17"/>
              </w:rPr>
              <w:t>13 submissions averaging 8.1 pages</w:t>
            </w:r>
          </w:p>
        </w:tc>
      </w:tr>
      <w:tr w:rsidR="005914AB" w:rsidRPr="00CA6785" w14:paraId="11C5B58C" w14:textId="77777777" w:rsidTr="000C2D5C">
        <w:tc>
          <w:tcPr>
            <w:tcW w:w="2155" w:type="dxa"/>
            <w:shd w:val="pct10" w:color="auto" w:fill="auto"/>
          </w:tcPr>
          <w:p w14:paraId="6756E670" w14:textId="77777777" w:rsidR="005914AB" w:rsidRPr="00CA6785" w:rsidRDefault="005914AB" w:rsidP="00902A56">
            <w:pPr>
              <w:snapToGrid w:val="0"/>
              <w:spacing w:before="40" w:line="210" w:lineRule="atLeast"/>
              <w:rPr>
                <w:b/>
                <w:bCs/>
                <w:sz w:val="17"/>
                <w:szCs w:val="17"/>
              </w:rPr>
            </w:pPr>
            <w:r w:rsidRPr="00CA6785">
              <w:rPr>
                <w:b/>
                <w:bCs/>
                <w:sz w:val="17"/>
                <w:szCs w:val="17"/>
              </w:rPr>
              <w:t>Third phase</w:t>
            </w:r>
          </w:p>
          <w:p w14:paraId="0BD352C6" w14:textId="77777777" w:rsidR="005914AB" w:rsidRPr="00CA6785" w:rsidRDefault="005914AB" w:rsidP="00902A56">
            <w:pPr>
              <w:snapToGrid w:val="0"/>
              <w:spacing w:before="40" w:after="80" w:line="210" w:lineRule="atLeast"/>
              <w:rPr>
                <w:b/>
                <w:bCs/>
                <w:sz w:val="17"/>
                <w:szCs w:val="17"/>
              </w:rPr>
            </w:pPr>
            <w:r w:rsidRPr="00CA6785">
              <w:rPr>
                <w:b/>
                <w:bCs/>
                <w:sz w:val="17"/>
                <w:szCs w:val="17"/>
              </w:rPr>
              <w:t>(38th, resumed 38th and 39th sessions)</w:t>
            </w:r>
          </w:p>
        </w:tc>
        <w:tc>
          <w:tcPr>
            <w:tcW w:w="1159" w:type="dxa"/>
          </w:tcPr>
          <w:p w14:paraId="451B219D" w14:textId="77777777" w:rsidR="005914AB" w:rsidRPr="00CA6785" w:rsidRDefault="005914AB" w:rsidP="00902A56">
            <w:pPr>
              <w:snapToGrid w:val="0"/>
              <w:spacing w:before="40" w:line="210" w:lineRule="atLeast"/>
              <w:rPr>
                <w:sz w:val="17"/>
                <w:szCs w:val="17"/>
              </w:rPr>
            </w:pPr>
            <w:r w:rsidRPr="00CA6785">
              <w:rPr>
                <w:sz w:val="17"/>
                <w:szCs w:val="17"/>
              </w:rPr>
              <w:t>3 weeks</w:t>
            </w:r>
          </w:p>
        </w:tc>
        <w:tc>
          <w:tcPr>
            <w:tcW w:w="2162" w:type="dxa"/>
          </w:tcPr>
          <w:p w14:paraId="3CE559E7" w14:textId="77777777" w:rsidR="005914AB" w:rsidRPr="00CA6785" w:rsidRDefault="005914AB" w:rsidP="00902A56">
            <w:pPr>
              <w:snapToGrid w:val="0"/>
              <w:spacing w:before="40" w:line="210" w:lineRule="atLeast"/>
              <w:rPr>
                <w:sz w:val="17"/>
                <w:szCs w:val="17"/>
              </w:rPr>
            </w:pPr>
            <w:r w:rsidRPr="00CA6785">
              <w:rPr>
                <w:sz w:val="17"/>
                <w:szCs w:val="17"/>
              </w:rPr>
              <w:t>13 working papers averaging 11.9 pages</w:t>
            </w:r>
          </w:p>
        </w:tc>
        <w:tc>
          <w:tcPr>
            <w:tcW w:w="1899" w:type="dxa"/>
          </w:tcPr>
          <w:p w14:paraId="45B6D2E7" w14:textId="77777777" w:rsidR="005914AB" w:rsidRPr="00CA6785" w:rsidRDefault="005914AB" w:rsidP="00902A56">
            <w:pPr>
              <w:snapToGrid w:val="0"/>
              <w:spacing w:before="40" w:line="210" w:lineRule="atLeast"/>
              <w:rPr>
                <w:sz w:val="17"/>
                <w:szCs w:val="17"/>
              </w:rPr>
            </w:pPr>
            <w:r w:rsidRPr="00CA6785">
              <w:rPr>
                <w:sz w:val="17"/>
                <w:szCs w:val="17"/>
              </w:rPr>
              <w:t>18 submissions averaging 7.7 pages</w:t>
            </w:r>
          </w:p>
        </w:tc>
      </w:tr>
      <w:tr w:rsidR="005914AB" w:rsidRPr="00CA6785" w14:paraId="667D13BA" w14:textId="77777777" w:rsidTr="005D3F17">
        <w:trPr>
          <w:trHeight w:val="561"/>
        </w:trPr>
        <w:tc>
          <w:tcPr>
            <w:tcW w:w="2155" w:type="dxa"/>
            <w:shd w:val="pct10" w:color="auto" w:fill="auto"/>
          </w:tcPr>
          <w:p w14:paraId="68D2763A" w14:textId="77777777" w:rsidR="005914AB" w:rsidRPr="00CA6785" w:rsidRDefault="005914AB" w:rsidP="00902A56">
            <w:pPr>
              <w:snapToGrid w:val="0"/>
              <w:spacing w:before="40" w:line="210" w:lineRule="atLeast"/>
              <w:rPr>
                <w:b/>
                <w:bCs/>
                <w:sz w:val="17"/>
                <w:szCs w:val="17"/>
              </w:rPr>
            </w:pPr>
            <w:r w:rsidRPr="00CA6785">
              <w:rPr>
                <w:b/>
                <w:bCs/>
                <w:sz w:val="17"/>
                <w:szCs w:val="17"/>
              </w:rPr>
              <w:t>Total</w:t>
            </w:r>
          </w:p>
        </w:tc>
        <w:tc>
          <w:tcPr>
            <w:tcW w:w="1159" w:type="dxa"/>
          </w:tcPr>
          <w:p w14:paraId="6D0E7C03" w14:textId="77777777" w:rsidR="005914AB" w:rsidRPr="00CA6785" w:rsidRDefault="005914AB" w:rsidP="00902A56">
            <w:pPr>
              <w:snapToGrid w:val="0"/>
              <w:spacing w:before="40" w:line="210" w:lineRule="atLeast"/>
              <w:rPr>
                <w:sz w:val="17"/>
                <w:szCs w:val="17"/>
              </w:rPr>
            </w:pPr>
            <w:r w:rsidRPr="00CA6785">
              <w:rPr>
                <w:sz w:val="17"/>
                <w:szCs w:val="17"/>
              </w:rPr>
              <w:t>7 weeks</w:t>
            </w:r>
          </w:p>
        </w:tc>
        <w:tc>
          <w:tcPr>
            <w:tcW w:w="2162" w:type="dxa"/>
          </w:tcPr>
          <w:p w14:paraId="5FB88356" w14:textId="77777777" w:rsidR="005914AB" w:rsidRPr="00CA6785" w:rsidRDefault="005914AB" w:rsidP="00902A56">
            <w:pPr>
              <w:snapToGrid w:val="0"/>
              <w:spacing w:before="40" w:line="210" w:lineRule="atLeast"/>
              <w:rPr>
                <w:sz w:val="17"/>
                <w:szCs w:val="17"/>
              </w:rPr>
            </w:pPr>
            <w:r w:rsidRPr="00CA6785">
              <w:rPr>
                <w:sz w:val="17"/>
                <w:szCs w:val="17"/>
              </w:rPr>
              <w:t>21 working papers averaging 13.3 pages</w:t>
            </w:r>
          </w:p>
        </w:tc>
        <w:tc>
          <w:tcPr>
            <w:tcW w:w="1899" w:type="dxa"/>
          </w:tcPr>
          <w:p w14:paraId="44936B02" w14:textId="77777777" w:rsidR="005914AB" w:rsidRPr="00CA6785" w:rsidRDefault="005914AB" w:rsidP="00902A56">
            <w:pPr>
              <w:snapToGrid w:val="0"/>
              <w:spacing w:before="40" w:line="210" w:lineRule="atLeast"/>
              <w:rPr>
                <w:sz w:val="17"/>
                <w:szCs w:val="17"/>
              </w:rPr>
            </w:pPr>
            <w:r w:rsidRPr="00CA6785">
              <w:rPr>
                <w:sz w:val="17"/>
                <w:szCs w:val="17"/>
              </w:rPr>
              <w:t>31 submissions averaging 7.9 pages</w:t>
            </w:r>
          </w:p>
        </w:tc>
      </w:tr>
    </w:tbl>
    <w:p w14:paraId="676AA4E7" w14:textId="77777777" w:rsidR="005914AB" w:rsidRPr="00CA6785" w:rsidRDefault="005914AB" w:rsidP="00902A56">
      <w:pPr>
        <w:pStyle w:val="SingleTxt"/>
        <w:spacing w:after="0" w:line="120" w:lineRule="atLeast"/>
        <w:ind w:left="1267" w:right="1267"/>
        <w:rPr>
          <w:sz w:val="10"/>
        </w:rPr>
      </w:pPr>
    </w:p>
    <w:p w14:paraId="01452610" w14:textId="77777777" w:rsidR="005914AB" w:rsidRPr="00CA6785" w:rsidRDefault="005914AB" w:rsidP="00902A56">
      <w:pPr>
        <w:pStyle w:val="SingleTxt"/>
        <w:spacing w:after="0" w:line="120" w:lineRule="atLeast"/>
        <w:ind w:left="1267" w:right="1267"/>
        <w:rPr>
          <w:sz w:val="10"/>
        </w:rPr>
      </w:pPr>
    </w:p>
    <w:p w14:paraId="54D1D5C1" w14:textId="4EA7E964" w:rsidR="005914AB" w:rsidRPr="00CA6785" w:rsidRDefault="003B54EF"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z w:val="10"/>
        </w:rPr>
      </w:pPr>
      <w:r w:rsidRPr="00CA6785">
        <w:t>Compared to other working groups of the Commission, a slightly larger Secretariat team has provided servicing to Working Group III and its inter-sessional activities</w:t>
      </w:r>
      <w:r w:rsidR="004C3B1F" w:rsidRPr="00CA6785">
        <w:t xml:space="preserve"> since 2017</w:t>
      </w:r>
      <w:r w:rsidRPr="00CA6785">
        <w:t xml:space="preserve">. The current team includes one secretary of the Working </w:t>
      </w:r>
      <w:r w:rsidRPr="00CA6785">
        <w:rPr>
          <w:spacing w:val="2"/>
          <w:w w:val="101"/>
        </w:rPr>
        <w:t>Group, two regular staff members, one junior professional officer</w:t>
      </w:r>
      <w:r w:rsidR="00FD088D" w:rsidRPr="00CA6785">
        <w:rPr>
          <w:rStyle w:val="FootnoteReference"/>
        </w:rPr>
        <w:footnoteReference w:id="11"/>
      </w:r>
      <w:r w:rsidRPr="00CA6785">
        <w:rPr>
          <w:spacing w:val="2"/>
          <w:w w:val="101"/>
        </w:rPr>
        <w:t xml:space="preserve"> and one administrative</w:t>
      </w:r>
      <w:r w:rsidRPr="00CA6785">
        <w:t xml:space="preserve"> staff. The Working Group may wish to note that the same team also services Working Group II and further supports other </w:t>
      </w:r>
      <w:r w:rsidR="004C3B1F" w:rsidRPr="00CA6785">
        <w:t>areas of work of the Commission</w:t>
      </w:r>
      <w:r w:rsidRPr="00CA6785">
        <w:t>.</w:t>
      </w:r>
      <w:r w:rsidR="002A2F68" w:rsidRPr="00CA6785">
        <w:t xml:space="preserve"> </w:t>
      </w:r>
    </w:p>
    <w:p w14:paraId="63E5F63C" w14:textId="52B7A96D" w:rsidR="005914AB" w:rsidRPr="00CA6785" w:rsidRDefault="00BE2B0E" w:rsidP="00902A56">
      <w:pPr>
        <w:pStyle w:val="SingleTxt"/>
        <w:ind w:right="1267"/>
        <w:rPr>
          <w:b/>
          <w:bCs/>
        </w:rPr>
      </w:pPr>
      <w:r w:rsidRPr="00CA6785">
        <w:rPr>
          <w:b/>
          <w:bCs/>
        </w:rPr>
        <w:t xml:space="preserve">2. </w:t>
      </w:r>
      <w:r w:rsidR="00851D98" w:rsidRPr="00CA6785">
        <w:rPr>
          <w:b/>
          <w:bCs/>
        </w:rPr>
        <w:t>Add</w:t>
      </w:r>
      <w:r w:rsidR="005914AB" w:rsidRPr="00CA6785">
        <w:rPr>
          <w:b/>
          <w:bCs/>
        </w:rPr>
        <w:t>itional resource</w:t>
      </w:r>
      <w:r w:rsidR="00902A56" w:rsidRPr="00CA6785">
        <w:rPr>
          <w:b/>
          <w:bCs/>
        </w:rPr>
        <w:t xml:space="preserve"> requirements</w:t>
      </w:r>
    </w:p>
    <w:p w14:paraId="2C418732" w14:textId="21A705A8" w:rsidR="006F67F9" w:rsidRPr="00CA6785" w:rsidRDefault="005914AB"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2"/>
          <w:w w:val="101"/>
        </w:rPr>
      </w:pPr>
      <w:r w:rsidRPr="00CA6785">
        <w:t>T</w:t>
      </w:r>
      <w:r w:rsidR="006F67F9" w:rsidRPr="00CA6785">
        <w:t xml:space="preserve">his section provides </w:t>
      </w:r>
      <w:r w:rsidR="004113EC" w:rsidRPr="00CA6785">
        <w:t xml:space="preserve">an </w:t>
      </w:r>
      <w:r w:rsidR="006F67F9" w:rsidRPr="00CA6785">
        <w:t xml:space="preserve">illustration of the additional conference time and resources that </w:t>
      </w:r>
      <w:r w:rsidR="004C3B1F" w:rsidRPr="00CA6785">
        <w:t>will</w:t>
      </w:r>
      <w:r w:rsidR="006F67F9" w:rsidRPr="00CA6785">
        <w:t xml:space="preserve"> be required</w:t>
      </w:r>
      <w:r w:rsidRPr="00CA6785">
        <w:t xml:space="preserve"> </w:t>
      </w:r>
      <w:r w:rsidR="004113EC" w:rsidRPr="00CA6785">
        <w:t xml:space="preserve">if work is to proceed on the ISDS Project in accordance with </w:t>
      </w:r>
      <w:r w:rsidRPr="00CA6785">
        <w:rPr>
          <w:spacing w:val="2"/>
          <w:w w:val="101"/>
        </w:rPr>
        <w:t xml:space="preserve">the </w:t>
      </w:r>
      <w:r w:rsidR="004C3B1F" w:rsidRPr="00CA6785">
        <w:rPr>
          <w:spacing w:val="2"/>
          <w:w w:val="101"/>
        </w:rPr>
        <w:t>W</w:t>
      </w:r>
      <w:r w:rsidRPr="00CA6785">
        <w:rPr>
          <w:spacing w:val="2"/>
          <w:w w:val="101"/>
        </w:rPr>
        <w:t xml:space="preserve">ork </w:t>
      </w:r>
      <w:r w:rsidR="004C3B1F" w:rsidRPr="00CA6785">
        <w:rPr>
          <w:spacing w:val="2"/>
          <w:w w:val="101"/>
        </w:rPr>
        <w:t>P</w:t>
      </w:r>
      <w:r w:rsidRPr="00CA6785">
        <w:rPr>
          <w:spacing w:val="2"/>
          <w:w w:val="101"/>
        </w:rPr>
        <w:t xml:space="preserve">lan. </w:t>
      </w:r>
    </w:p>
    <w:p w14:paraId="3A76C08B" w14:textId="1F90B482" w:rsidR="00851D98" w:rsidRPr="00CA6785" w:rsidRDefault="006F67F9"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2"/>
          <w:w w:val="101"/>
        </w:rPr>
      </w:pPr>
      <w:r w:rsidRPr="00CA6785">
        <w:rPr>
          <w:spacing w:val="2"/>
          <w:w w:val="101"/>
        </w:rPr>
        <w:t xml:space="preserve">Based on the </w:t>
      </w:r>
      <w:r w:rsidR="004C3B1F" w:rsidRPr="00CA6785">
        <w:rPr>
          <w:spacing w:val="2"/>
          <w:w w:val="101"/>
        </w:rPr>
        <w:t>W</w:t>
      </w:r>
      <w:r w:rsidRPr="00CA6785">
        <w:rPr>
          <w:spacing w:val="2"/>
          <w:w w:val="101"/>
        </w:rPr>
        <w:t>ork</w:t>
      </w:r>
      <w:r w:rsidR="004C3B1F" w:rsidRPr="00CA6785">
        <w:rPr>
          <w:spacing w:val="2"/>
          <w:w w:val="101"/>
        </w:rPr>
        <w:t xml:space="preserve"> P</w:t>
      </w:r>
      <w:r w:rsidRPr="00CA6785">
        <w:rPr>
          <w:spacing w:val="2"/>
          <w:w w:val="101"/>
        </w:rPr>
        <w:t xml:space="preserve">lan, two additional weeks of conference time is required </w:t>
      </w:r>
      <w:r w:rsidR="00851D98" w:rsidRPr="00CA6785">
        <w:rPr>
          <w:spacing w:val="2"/>
          <w:w w:val="101"/>
        </w:rPr>
        <w:t xml:space="preserve">for a period of three years </w:t>
      </w:r>
      <w:r w:rsidRPr="00CA6785">
        <w:rPr>
          <w:spacing w:val="2"/>
          <w:w w:val="101"/>
        </w:rPr>
        <w:t xml:space="preserve">from 2022 to 2024. </w:t>
      </w:r>
      <w:r w:rsidR="00851D98" w:rsidRPr="00CA6785">
        <w:rPr>
          <w:spacing w:val="2"/>
          <w:w w:val="101"/>
        </w:rPr>
        <w:t xml:space="preserve">This would allow for a total of 15 weeks of </w:t>
      </w:r>
      <w:r w:rsidR="00851D98" w:rsidRPr="00CA6785">
        <w:rPr>
          <w:spacing w:val="2"/>
          <w:w w:val="101"/>
        </w:rPr>
        <w:lastRenderedPageBreak/>
        <w:t>conference time until the first half of 2025 (9 within existing resources and 6 through additional resources), which would be followed by deliberations by the Commission to finalize the project in 2025 at its fifty-eighth session. Considering that certain reform options would be subject to approval in principle by the Commission</w:t>
      </w:r>
      <w:r w:rsidR="004C3B1F" w:rsidRPr="00CA6785">
        <w:rPr>
          <w:spacing w:val="2"/>
          <w:w w:val="101"/>
        </w:rPr>
        <w:t xml:space="preserve"> prior to the fifty-eighth session</w:t>
      </w:r>
      <w:r w:rsidR="00851D98" w:rsidRPr="00CA6785">
        <w:rPr>
          <w:spacing w:val="2"/>
          <w:w w:val="101"/>
        </w:rPr>
        <w:t xml:space="preserve">, </w:t>
      </w:r>
      <w:r w:rsidR="004C3B1F" w:rsidRPr="00CA6785">
        <w:rPr>
          <w:spacing w:val="2"/>
          <w:w w:val="101"/>
        </w:rPr>
        <w:t xml:space="preserve">existing </w:t>
      </w:r>
      <w:r w:rsidR="00851D98" w:rsidRPr="00CA6785">
        <w:rPr>
          <w:spacing w:val="2"/>
          <w:w w:val="101"/>
        </w:rPr>
        <w:t>conference time would need to be allocated to those topics during the fifty-fifth</w:t>
      </w:r>
      <w:r w:rsidR="004C3B1F" w:rsidRPr="00CA6785">
        <w:rPr>
          <w:spacing w:val="2"/>
          <w:w w:val="101"/>
        </w:rPr>
        <w:t xml:space="preserve"> to the </w:t>
      </w:r>
      <w:r w:rsidR="00851D98" w:rsidRPr="00CA6785">
        <w:rPr>
          <w:spacing w:val="2"/>
          <w:w w:val="101"/>
        </w:rPr>
        <w:t>fifty-seventh session</w:t>
      </w:r>
      <w:r w:rsidR="004C3B1F" w:rsidRPr="00CA6785">
        <w:rPr>
          <w:spacing w:val="2"/>
          <w:w w:val="101"/>
        </w:rPr>
        <w:t xml:space="preserve"> of the Commission</w:t>
      </w:r>
      <w:r w:rsidR="00851D98" w:rsidRPr="00CA6785">
        <w:rPr>
          <w:spacing w:val="2"/>
          <w:w w:val="101"/>
        </w:rPr>
        <w:t xml:space="preserve">. </w:t>
      </w:r>
    </w:p>
    <w:p w14:paraId="4311F1D1" w14:textId="145BA4E3" w:rsidR="004D187F" w:rsidRPr="00CA6785" w:rsidRDefault="004D187F"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rPr>
          <w:spacing w:val="2"/>
          <w:w w:val="101"/>
        </w:rPr>
        <w:t>Meetings of the Commission and its working groups are held using conference time allotted to UNCITRAL,</w:t>
      </w:r>
      <w:r w:rsidRPr="00CA6785">
        <w:t xml:space="preserve"> which is currently a maximum of fifteen weeks per year. Therefore, the Woking Group </w:t>
      </w:r>
      <w:r w:rsidR="004C3B1F" w:rsidRPr="00CA6785">
        <w:t xml:space="preserve">could, in principle, </w:t>
      </w:r>
      <w:r w:rsidRPr="00CA6785">
        <w:t>request</w:t>
      </w:r>
      <w:r w:rsidR="004C3B1F" w:rsidRPr="00CA6785">
        <w:t xml:space="preserve"> </w:t>
      </w:r>
      <w:r w:rsidRPr="00CA6785">
        <w:t>the Commission to allocate any unused conference time of the Commission</w:t>
      </w:r>
      <w:r w:rsidRPr="00CA6785">
        <w:rPr>
          <w:vertAlign w:val="superscript"/>
        </w:rPr>
        <w:footnoteReference w:id="12"/>
      </w:r>
      <w:r w:rsidRPr="00CA6785">
        <w:t xml:space="preserve"> or other working groups to the ISDS Project, which had been the case for the unused week of the Commission in 2019</w:t>
      </w:r>
      <w:r w:rsidRPr="00CA6785">
        <w:rPr>
          <w:vertAlign w:val="superscript"/>
        </w:rPr>
        <w:footnoteReference w:id="13"/>
      </w:r>
      <w:r w:rsidRPr="00CA6785">
        <w:t xml:space="preserve"> and the case of the Rotterdam Rules project.</w:t>
      </w:r>
      <w:r w:rsidRPr="00CA6785">
        <w:rPr>
          <w:vertAlign w:val="superscript"/>
        </w:rPr>
        <w:footnoteReference w:id="14"/>
      </w:r>
      <w:r w:rsidRPr="00CA6785">
        <w:t xml:space="preserve"> </w:t>
      </w:r>
    </w:p>
    <w:p w14:paraId="2276C953" w14:textId="3A247EB3" w:rsidR="004D187F" w:rsidRPr="00CA6785" w:rsidRDefault="004D187F"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2"/>
          <w:w w:val="101"/>
        </w:rPr>
      </w:pPr>
      <w:r w:rsidRPr="00CA6785">
        <w:t xml:space="preserve">However, this is subject to change on a yearly basis, as the Commission reiterated that the duration of each of its annual sessions was to be determined on a case-by-case </w:t>
      </w:r>
      <w:r w:rsidRPr="00CA6785">
        <w:rPr>
          <w:spacing w:val="2"/>
          <w:w w:val="101"/>
        </w:rPr>
        <w:t>basis</w:t>
      </w:r>
      <w:r w:rsidRPr="00CA6785">
        <w:t xml:space="preserve"> depending on the expected workload. For example, the Commission decided to hold a three-week session in 2021. Furthermore, determination by the Commission to allocate its unused conference time to a working group during its annual session (usually held in June or July) poses practical challenges of identifying a suitable conference time in the second half of the year and rescheduling other working group dates. It also leads to difficulties in planning, as the Working Group would not be able to know whether it would meet for one or two weeks in the second half of </w:t>
      </w:r>
      <w:r w:rsidRPr="00CA6785">
        <w:rPr>
          <w:spacing w:val="2"/>
          <w:w w:val="101"/>
        </w:rPr>
        <w:t>the year and if so, when.</w:t>
      </w:r>
    </w:p>
    <w:p w14:paraId="2E272E6D" w14:textId="1A0F4B83" w:rsidR="00851D98" w:rsidRPr="00CA6785" w:rsidRDefault="00B608E0" w:rsidP="00325411">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2"/>
          <w:w w:val="101"/>
        </w:rPr>
      </w:pPr>
      <w:r w:rsidRPr="00CA6785">
        <w:rPr>
          <w:spacing w:val="2"/>
          <w:w w:val="101"/>
        </w:rPr>
        <w:t>If the Working Group decides to request additional conference</w:t>
      </w:r>
      <w:r w:rsidR="004113EC" w:rsidRPr="00CA6785">
        <w:rPr>
          <w:spacing w:val="2"/>
          <w:w w:val="101"/>
        </w:rPr>
        <w:t xml:space="preserve"> time</w:t>
      </w:r>
      <w:r w:rsidRPr="00CA6785">
        <w:rPr>
          <w:spacing w:val="2"/>
          <w:w w:val="101"/>
        </w:rPr>
        <w:t xml:space="preserve">, it </w:t>
      </w:r>
      <w:r w:rsidR="00851D98" w:rsidRPr="00CA6785">
        <w:rPr>
          <w:spacing w:val="2"/>
          <w:w w:val="101"/>
        </w:rPr>
        <w:t xml:space="preserve">may wish to consider whether to retain the one-week session pattern or to </w:t>
      </w:r>
      <w:r w:rsidR="00BE2B0E" w:rsidRPr="00CA6785">
        <w:rPr>
          <w:spacing w:val="2"/>
          <w:w w:val="101"/>
        </w:rPr>
        <w:t>hold</w:t>
      </w:r>
      <w:r w:rsidR="00851D98" w:rsidRPr="00CA6785">
        <w:rPr>
          <w:spacing w:val="2"/>
          <w:w w:val="101"/>
        </w:rPr>
        <w:t xml:space="preserve"> two-week sessions. </w:t>
      </w:r>
      <w:r w:rsidR="00325411" w:rsidRPr="00CA6785">
        <w:rPr>
          <w:spacing w:val="2"/>
          <w:w w:val="101"/>
        </w:rPr>
        <w:t xml:space="preserve">The Working Group may wish to further consider whether measures should be put in place to allow for remote participation by delegations to address concerns expressed about their costs of travel. Such changes in the pattern of meetings or introduction of means to facilitate remote participation </w:t>
      </w:r>
      <w:r w:rsidR="004D187F" w:rsidRPr="00CA6785">
        <w:rPr>
          <w:spacing w:val="2"/>
          <w:w w:val="101"/>
        </w:rPr>
        <w:t xml:space="preserve">would require </w:t>
      </w:r>
      <w:r w:rsidR="00BE2B0E" w:rsidRPr="00CA6785">
        <w:rPr>
          <w:spacing w:val="2"/>
          <w:w w:val="101"/>
        </w:rPr>
        <w:t xml:space="preserve">further </w:t>
      </w:r>
      <w:r w:rsidR="004D187F" w:rsidRPr="00CA6785">
        <w:rPr>
          <w:spacing w:val="2"/>
          <w:w w:val="101"/>
        </w:rPr>
        <w:t>consultations with the Department for General Assembly and Conference Management (DGACM).</w:t>
      </w:r>
    </w:p>
    <w:p w14:paraId="76F5E156" w14:textId="03B42C16" w:rsidR="00A3665D" w:rsidRPr="00CA6785" w:rsidRDefault="00BE2B0E" w:rsidP="008E2513">
      <w:pPr>
        <w:pStyle w:val="SingleTxt"/>
        <w:keepNext/>
        <w:keepLines/>
        <w:ind w:right="1267"/>
        <w:rPr>
          <w:b/>
          <w:bCs/>
        </w:rPr>
      </w:pPr>
      <w:bookmarkStart w:id="11" w:name="_Toc39607760"/>
      <w:bookmarkEnd w:id="7"/>
      <w:r w:rsidRPr="00CA6785">
        <w:rPr>
          <w:b/>
          <w:bCs/>
        </w:rPr>
        <w:t>3. P</w:t>
      </w:r>
      <w:r w:rsidR="00A3665D" w:rsidRPr="00CA6785">
        <w:rPr>
          <w:b/>
          <w:bCs/>
        </w:rPr>
        <w:t>rogramme budget implications</w:t>
      </w:r>
      <w:bookmarkEnd w:id="11"/>
    </w:p>
    <w:p w14:paraId="51D2A012" w14:textId="6440EB44" w:rsidR="00A3665D" w:rsidRPr="00CA6785" w:rsidRDefault="00A3665D" w:rsidP="00965622">
      <w:pPr>
        <w:keepNext/>
        <w:widowControl w:val="0"/>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rPr>
          <w:spacing w:val="2"/>
          <w:w w:val="101"/>
        </w:rPr>
      </w:pPr>
      <w:r w:rsidRPr="00CA6785">
        <w:t xml:space="preserve">If the </w:t>
      </w:r>
      <w:r w:rsidR="000E4D48" w:rsidRPr="00CA6785">
        <w:t xml:space="preserve">Working Group and eventually the </w:t>
      </w:r>
      <w:r w:rsidRPr="00CA6785">
        <w:t xml:space="preserve">Commission decides to recommend to the General Assembly that additional conference time be allocated to the Commission for advancing the </w:t>
      </w:r>
      <w:r w:rsidR="00BE2B0E" w:rsidRPr="00CA6785">
        <w:t>ISDS project</w:t>
      </w:r>
      <w:r w:rsidRPr="00CA6785">
        <w:t xml:space="preserve">, this will then need to be reflected in the draft resolution </w:t>
      </w:r>
      <w:r w:rsidRPr="00CA6785">
        <w:rPr>
          <w:spacing w:val="2"/>
          <w:w w:val="101"/>
        </w:rPr>
        <w:t>submitted to the Sixth Committee of the General Assembly. In that process, the budgetary implications of the request on the programme budget (mainly</w:t>
      </w:r>
      <w:r w:rsidR="000E4D48" w:rsidRPr="00CA6785">
        <w:rPr>
          <w:spacing w:val="2"/>
          <w:w w:val="101"/>
        </w:rPr>
        <w:t xml:space="preserve"> </w:t>
      </w:r>
      <w:r w:rsidRPr="00CA6785">
        <w:rPr>
          <w:spacing w:val="2"/>
          <w:w w:val="101"/>
        </w:rPr>
        <w:t xml:space="preserve">Section 2 - General Assembly and Economic and Social Council affairs and conference management and Section 8 - Legal affairs) would be reviewed by different bodies, including the Advisory Committee on Administrative and Budgetary Questions (ACABQ) and the Fifth Committee of the General Assembly. </w:t>
      </w:r>
    </w:p>
    <w:p w14:paraId="1853BED0" w14:textId="55826C93" w:rsidR="00A3665D" w:rsidRPr="00CA6785" w:rsidRDefault="00A3665D" w:rsidP="00965622">
      <w:pPr>
        <w:keepNext/>
        <w:widowControl w:val="0"/>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rPr>
          <w:spacing w:val="2"/>
          <w:w w:val="101"/>
        </w:rPr>
        <w:t xml:space="preserve">This section provides an </w:t>
      </w:r>
      <w:bookmarkStart w:id="12" w:name="_Hlk39617464"/>
      <w:r w:rsidRPr="00CA6785">
        <w:rPr>
          <w:spacing w:val="2"/>
          <w:w w:val="101"/>
        </w:rPr>
        <w:t xml:space="preserve">overview of the programme budget implications so that the </w:t>
      </w:r>
      <w:r w:rsidR="000E4D48" w:rsidRPr="00CA6785">
        <w:rPr>
          <w:spacing w:val="2"/>
          <w:w w:val="101"/>
        </w:rPr>
        <w:t xml:space="preserve">Working Group </w:t>
      </w:r>
      <w:r w:rsidRPr="00CA6785">
        <w:rPr>
          <w:spacing w:val="2"/>
          <w:w w:val="101"/>
        </w:rPr>
        <w:t>would be in a better position to make an informed decision</w:t>
      </w:r>
      <w:bookmarkEnd w:id="12"/>
      <w:r w:rsidRPr="00CA6785">
        <w:rPr>
          <w:spacing w:val="2"/>
          <w:w w:val="101"/>
        </w:rPr>
        <w:t>. However, it should be noted that the budget implications could vary depending on the actual request made by</w:t>
      </w:r>
      <w:r w:rsidRPr="00CA6785">
        <w:t xml:space="preserve"> the Commission </w:t>
      </w:r>
      <w:r w:rsidR="00FD088D" w:rsidRPr="00CA6785">
        <w:t xml:space="preserve">(including </w:t>
      </w:r>
      <w:r w:rsidR="00BE2B0E" w:rsidRPr="00CA6785">
        <w:t xml:space="preserve">the venue of the meetings, </w:t>
      </w:r>
      <w:r w:rsidR="00FD088D" w:rsidRPr="00CA6785">
        <w:t xml:space="preserve">their format, </w:t>
      </w:r>
      <w:r w:rsidRPr="00CA6785">
        <w:t>and which duty station provides the relevant services</w:t>
      </w:r>
      <w:r w:rsidR="00FD088D" w:rsidRPr="00CA6785">
        <w:t>)</w:t>
      </w:r>
      <w:r w:rsidRPr="00CA6785">
        <w:t>. All figure</w:t>
      </w:r>
      <w:r w:rsidR="00C9144C" w:rsidRPr="00CA6785">
        <w:t>s</w:t>
      </w:r>
      <w:r w:rsidRPr="00CA6785">
        <w:t xml:space="preserve"> in this section</w:t>
      </w:r>
      <w:r w:rsidR="004113EC" w:rsidRPr="00CA6785">
        <w:t xml:space="preserve"> are</w:t>
      </w:r>
      <w:r w:rsidR="00FD088D" w:rsidRPr="00CA6785">
        <w:t xml:space="preserve"> subject to further verification by </w:t>
      </w:r>
      <w:r w:rsidRPr="00CA6785">
        <w:t>the Programme Planning and Budget Division (PPBD).</w:t>
      </w:r>
      <w:r w:rsidR="00325411" w:rsidRPr="00CA6785">
        <w:t xml:space="preserve"> The Working Group may wish to further note that the figures below relate to the formal meetings of the Working Group and do not take into resources required for </w:t>
      </w:r>
      <w:r w:rsidR="00325411" w:rsidRPr="00CA6785">
        <w:lastRenderedPageBreak/>
        <w:t>translation or interpretation during informal meetings.</w:t>
      </w:r>
      <w:r w:rsidR="002A2F68" w:rsidRPr="00CA6785">
        <w:t xml:space="preserve"> </w:t>
      </w:r>
    </w:p>
    <w:p w14:paraId="5FCBF718" w14:textId="6C9581A6" w:rsidR="00A3665D" w:rsidRPr="00CA6785" w:rsidRDefault="00A64F68" w:rsidP="00965622">
      <w:pPr>
        <w:pStyle w:val="H4"/>
        <w:keepLines w:val="0"/>
        <w:ind w:left="1267" w:right="1260" w:hanging="1267"/>
      </w:pPr>
      <w:r w:rsidRPr="00CA6785">
        <w:tab/>
      </w:r>
      <w:r w:rsidRPr="00CA6785">
        <w:tab/>
      </w:r>
      <w:r w:rsidR="00A3665D" w:rsidRPr="00CA6785">
        <w:t>Conference resources</w:t>
      </w:r>
    </w:p>
    <w:p w14:paraId="3E9BB38B" w14:textId="7643A73F" w:rsidR="00A64F68" w:rsidRPr="00CA6785" w:rsidRDefault="00A64F68" w:rsidP="00965622">
      <w:pPr>
        <w:pStyle w:val="SingleTxt"/>
        <w:keepNext/>
        <w:spacing w:after="0" w:line="120" w:lineRule="atLeast"/>
        <w:rPr>
          <w:sz w:val="10"/>
        </w:rPr>
      </w:pPr>
    </w:p>
    <w:p w14:paraId="7C5635C6" w14:textId="48A7253B" w:rsidR="000E4D48" w:rsidRPr="00CA6785" w:rsidRDefault="00A3665D"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 xml:space="preserve">An additional week of conference time would consist of 10 meetings (2 per day consisting of three hours) either in New York or Vienna. </w:t>
      </w:r>
      <w:r w:rsidR="00325411" w:rsidRPr="00CA6785">
        <w:t>In addition to the provisions of the venue and conference servicing, t</w:t>
      </w:r>
      <w:r w:rsidRPr="00CA6785">
        <w:t xml:space="preserve">hese meetings would require interpretation in all official languages of the United Nations and would </w:t>
      </w:r>
      <w:r w:rsidR="00325411" w:rsidRPr="00CA6785">
        <w:t xml:space="preserve">thus need to be reflected in the budget of </w:t>
      </w:r>
      <w:r w:rsidRPr="00CA6785">
        <w:t>DGACM. This would entail additional resource requirements for meetings services in the amount of approximately $170,000 per each additional week.</w:t>
      </w:r>
      <w:r w:rsidR="009D4AE7" w:rsidRPr="00CA6785">
        <w:t xml:space="preserve"> </w:t>
      </w:r>
      <w:r w:rsidR="000E4D48" w:rsidRPr="00CA6785">
        <w:t xml:space="preserve">According to the </w:t>
      </w:r>
      <w:r w:rsidR="00FD088D" w:rsidRPr="00CA6785">
        <w:t>W</w:t>
      </w:r>
      <w:r w:rsidR="000E4D48" w:rsidRPr="00CA6785">
        <w:t>ork</w:t>
      </w:r>
      <w:r w:rsidR="00FD088D" w:rsidRPr="00CA6785">
        <w:t xml:space="preserve"> P</w:t>
      </w:r>
      <w:r w:rsidR="000E4D48" w:rsidRPr="00CA6785">
        <w:t>lan</w:t>
      </w:r>
      <w:r w:rsidR="00BE2B0E" w:rsidRPr="00CA6785">
        <w:t>,</w:t>
      </w:r>
      <w:r w:rsidR="000E4D48" w:rsidRPr="00CA6785">
        <w:t xml:space="preserve"> which requires two additional sessions per year, the amount required for conference resources would be $340,000 per year.</w:t>
      </w:r>
    </w:p>
    <w:p w14:paraId="79C3735F" w14:textId="0D396422" w:rsidR="00A3665D" w:rsidRPr="00CA6785" w:rsidRDefault="00461DD5" w:rsidP="00902A56">
      <w:pPr>
        <w:pStyle w:val="H4"/>
        <w:keepNext w:val="0"/>
        <w:keepLines w:val="0"/>
        <w:ind w:left="1267" w:right="1260" w:hanging="1267"/>
      </w:pPr>
      <w:r w:rsidRPr="00CA6785">
        <w:tab/>
      </w:r>
      <w:r w:rsidRPr="00CA6785">
        <w:tab/>
      </w:r>
      <w:r w:rsidR="00A3665D" w:rsidRPr="00CA6785">
        <w:t>Document resources</w:t>
      </w:r>
    </w:p>
    <w:p w14:paraId="6DC32A51" w14:textId="733B4794" w:rsidR="00461DD5" w:rsidRPr="00CA6785" w:rsidRDefault="00461DD5" w:rsidP="00902A56">
      <w:pPr>
        <w:pStyle w:val="SingleTxt"/>
        <w:spacing w:after="0" w:line="120" w:lineRule="atLeast"/>
        <w:rPr>
          <w:sz w:val="10"/>
        </w:rPr>
      </w:pPr>
    </w:p>
    <w:p w14:paraId="000CED21" w14:textId="2713B0A2" w:rsidR="009D4AE7" w:rsidRPr="00CA6785" w:rsidRDefault="00A3665D"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An additional week of conference time would increase the documentation</w:t>
      </w:r>
      <w:r w:rsidR="007A6711" w:rsidRPr="00CA6785">
        <w:t xml:space="preserve"> to be handled by</w:t>
      </w:r>
      <w:r w:rsidRPr="00CA6785">
        <w:t xml:space="preserve"> DGACM, mainly translation of the documents into the official languages of the United Nations. </w:t>
      </w:r>
      <w:r w:rsidR="00325411" w:rsidRPr="00CA6785">
        <w:t xml:space="preserve">This would have to be reflected in the budget of DGACM. </w:t>
      </w:r>
      <w:r w:rsidR="00BE2B0E" w:rsidRPr="00CA6785">
        <w:rPr>
          <w:spacing w:val="2"/>
          <w:w w:val="101"/>
        </w:rPr>
        <w:t>Based on previous sessions of the Working Group, the Secretariat would prepare an average of two to three working papers and would expect to process four to five submissions by States</w:t>
      </w:r>
      <w:r w:rsidR="00BE2B0E" w:rsidRPr="00CA6785">
        <w:t xml:space="preserve"> and others per a one-week session. Overall, t</w:t>
      </w:r>
      <w:r w:rsidRPr="00CA6785">
        <w:t>he additional document workload would be 7 pre-session documents (total of 59,500 words),</w:t>
      </w:r>
      <w:r w:rsidRPr="00CA6785">
        <w:rPr>
          <w:vertAlign w:val="superscript"/>
        </w:rPr>
        <w:footnoteReference w:id="15"/>
      </w:r>
      <w:r w:rsidRPr="00CA6785">
        <w:t xml:space="preserve"> 5 in-session documents (total of 10,700 words) and one post-session document (total of 10,700 words). This would entail additional resource requirements for documentation services in the amount of $318,697.</w:t>
      </w:r>
      <w:r w:rsidRPr="00CA6785">
        <w:rPr>
          <w:vertAlign w:val="superscript"/>
        </w:rPr>
        <w:footnoteReference w:id="16"/>
      </w:r>
      <w:r w:rsidRPr="00CA6785">
        <w:t xml:space="preserve"> </w:t>
      </w:r>
      <w:r w:rsidR="000E4D48" w:rsidRPr="00CA6785">
        <w:t xml:space="preserve">According to the </w:t>
      </w:r>
      <w:r w:rsidR="00FD088D" w:rsidRPr="00CA6785">
        <w:t>W</w:t>
      </w:r>
      <w:r w:rsidR="000E4D48" w:rsidRPr="00CA6785">
        <w:t>ork</w:t>
      </w:r>
      <w:r w:rsidR="00FD088D" w:rsidRPr="00CA6785">
        <w:t xml:space="preserve"> P</w:t>
      </w:r>
      <w:r w:rsidR="000E4D48" w:rsidRPr="00CA6785">
        <w:t>lan</w:t>
      </w:r>
      <w:r w:rsidR="009D4AE7" w:rsidRPr="00CA6785">
        <w:t xml:space="preserve">, </w:t>
      </w:r>
      <w:r w:rsidR="000E4D48" w:rsidRPr="00CA6785">
        <w:t xml:space="preserve">which </w:t>
      </w:r>
      <w:r w:rsidR="004113EC" w:rsidRPr="00CA6785">
        <w:t xml:space="preserve">proposes </w:t>
      </w:r>
      <w:r w:rsidR="000E4D48" w:rsidRPr="00CA6785">
        <w:t xml:space="preserve">two additional </w:t>
      </w:r>
      <w:r w:rsidR="00BE2B0E" w:rsidRPr="00CA6785">
        <w:t xml:space="preserve">one-week </w:t>
      </w:r>
      <w:r w:rsidR="000E4D48" w:rsidRPr="00CA6785">
        <w:t>sessions per year, the</w:t>
      </w:r>
      <w:r w:rsidR="002A2F68" w:rsidRPr="00CA6785">
        <w:t xml:space="preserve"> </w:t>
      </w:r>
      <w:r w:rsidR="000E4D48" w:rsidRPr="00CA6785">
        <w:t xml:space="preserve">amount required for document resources would be $637,394 per year. </w:t>
      </w:r>
    </w:p>
    <w:p w14:paraId="4EDB5D10" w14:textId="0AF1CB35" w:rsidR="000E4D48" w:rsidRPr="00CA6785" w:rsidRDefault="004113EC"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If the Working Group were to decide that the additional weeks would be held as an extension of scheduled session</w:t>
      </w:r>
      <w:r w:rsidR="009D4AE7" w:rsidRPr="00CA6785">
        <w:t>s</w:t>
      </w:r>
      <w:r w:rsidRPr="00CA6785">
        <w:t>, the additional resource requirements for documentation services could be reduced to $243,000 per session, or $486,000 per year.</w:t>
      </w:r>
      <w:r w:rsidRPr="00CA6785">
        <w:rPr>
          <w:vertAlign w:val="superscript"/>
        </w:rPr>
        <w:footnoteReference w:id="17"/>
      </w:r>
    </w:p>
    <w:p w14:paraId="4943BD78" w14:textId="46C87897" w:rsidR="00461DD5" w:rsidRPr="00CA6785" w:rsidRDefault="00461DD5" w:rsidP="00902A56">
      <w:pPr>
        <w:pStyle w:val="SingleTxt"/>
        <w:spacing w:after="0" w:line="120" w:lineRule="atLeast"/>
        <w:ind w:left="1267" w:right="1267"/>
        <w:rPr>
          <w:sz w:val="10"/>
        </w:rPr>
      </w:pPr>
    </w:p>
    <w:p w14:paraId="329C11DE" w14:textId="403A771A" w:rsidR="00A3665D" w:rsidRPr="00CA6785" w:rsidRDefault="00461DD5" w:rsidP="00902A56">
      <w:pPr>
        <w:pStyle w:val="H4"/>
        <w:keepNext w:val="0"/>
        <w:keepLines w:val="0"/>
        <w:ind w:left="1267" w:right="1260" w:hanging="1267"/>
      </w:pPr>
      <w:r w:rsidRPr="00CA6785">
        <w:tab/>
      </w:r>
      <w:r w:rsidRPr="00CA6785">
        <w:tab/>
      </w:r>
      <w:r w:rsidR="00A3665D" w:rsidRPr="00CA6785">
        <w:t>UNCITRAL Secretariat resources</w:t>
      </w:r>
    </w:p>
    <w:p w14:paraId="1DF7E801" w14:textId="4A8C33BF" w:rsidR="00461DD5" w:rsidRPr="00CA6785" w:rsidRDefault="00461DD5" w:rsidP="00902A56">
      <w:pPr>
        <w:pStyle w:val="SingleTxt"/>
        <w:spacing w:after="0" w:line="120" w:lineRule="atLeast"/>
        <w:rPr>
          <w:sz w:val="10"/>
        </w:rPr>
      </w:pPr>
    </w:p>
    <w:p w14:paraId="28663396" w14:textId="4334AA3D" w:rsidR="00A3665D" w:rsidRPr="00CA6785" w:rsidRDefault="00A3665D"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 xml:space="preserve">The servicing of additional sessions of the Working Group and providing continued support to </w:t>
      </w:r>
      <w:r w:rsidR="004113EC" w:rsidRPr="00CA6785">
        <w:t xml:space="preserve">an </w:t>
      </w:r>
      <w:r w:rsidRPr="00CA6785">
        <w:t xml:space="preserve">increased number of informal meetings would require the current team servicing Working Group III to be expanded. This can be achieved by either relieving the current team members from other duties or including other Secretariat members as new team members. However, both options would likely have a negative impact on the Secretariat’s role in supporting other work programmes of the Commission. </w:t>
      </w:r>
    </w:p>
    <w:p w14:paraId="03156C83" w14:textId="1F7BC86C" w:rsidR="00A3665D" w:rsidRPr="00CA6785" w:rsidRDefault="00BE2B0E"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T</w:t>
      </w:r>
      <w:r w:rsidR="00A3665D" w:rsidRPr="00CA6785">
        <w:t xml:space="preserve">o ensure that the work programme of the Commission is not adversely affected by </w:t>
      </w:r>
      <w:r w:rsidRPr="00CA6785">
        <w:t>any</w:t>
      </w:r>
      <w:r w:rsidR="00A3665D" w:rsidRPr="00CA6785">
        <w:t xml:space="preserve"> additional conference time allotted to </w:t>
      </w:r>
      <w:r w:rsidRPr="00CA6785">
        <w:t xml:space="preserve">the </w:t>
      </w:r>
      <w:r w:rsidR="00A3665D" w:rsidRPr="00CA6785">
        <w:t xml:space="preserve">Working Group, three new posts would be required as outlined in table </w:t>
      </w:r>
      <w:r w:rsidRPr="00CA6785">
        <w:t>2.</w:t>
      </w:r>
      <w:r w:rsidR="00A3665D" w:rsidRPr="00CA6785">
        <w:t xml:space="preserve"> This would entail additional resource requirements ranging from $353,400 to $4</w:t>
      </w:r>
      <w:r w:rsidRPr="00CA6785">
        <w:t>10,100</w:t>
      </w:r>
      <w:r w:rsidR="00A3665D" w:rsidRPr="00CA6785">
        <w:t xml:space="preserve"> in 202</w:t>
      </w:r>
      <w:r w:rsidR="00EE1E72" w:rsidRPr="00CA6785">
        <w:t>2</w:t>
      </w:r>
      <w:r w:rsidR="00A3665D" w:rsidRPr="00CA6785">
        <w:t xml:space="preserve"> depending on whether the post is to be funded by regular or extrabudgetary resources.</w:t>
      </w:r>
      <w:r w:rsidR="00A3665D" w:rsidRPr="00CA6785">
        <w:rPr>
          <w:vertAlign w:val="superscript"/>
        </w:rPr>
        <w:footnoteReference w:id="18"/>
      </w:r>
      <w:r w:rsidR="00A3665D" w:rsidRPr="00CA6785">
        <w:t xml:space="preserve"> </w:t>
      </w:r>
    </w:p>
    <w:p w14:paraId="1403F785" w14:textId="2E23FC02" w:rsidR="00325411" w:rsidRPr="00CA6785" w:rsidRDefault="00325411"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lastRenderedPageBreak/>
        <w:t>The Working Group may also take into consideration contributions to the UNCITRAL trust fund for granting travel assistance to developing countries, aimed at enabling the participation of representatives of developing States in the deliberations of Working Group III as well as in regional intersessional meetings.</w:t>
      </w:r>
      <w:r w:rsidRPr="00CA6785">
        <w:rPr>
          <w:vertAlign w:val="superscript"/>
        </w:rPr>
        <w:footnoteReference w:id="19"/>
      </w:r>
      <w:r w:rsidRPr="00CA6785">
        <w:t xml:space="preserve"> Should such contributions continue in the future, the administrative support for providing travel assistance to delegations to attend the additional Working Group session will also likely grow. </w:t>
      </w:r>
    </w:p>
    <w:p w14:paraId="7085BC4D" w14:textId="0A831285" w:rsidR="006A16BD" w:rsidRPr="00CA6785" w:rsidRDefault="00A3665D" w:rsidP="00902A56">
      <w:pPr>
        <w:pStyle w:val="SingleTxt"/>
        <w:spacing w:after="0"/>
        <w:jc w:val="left"/>
      </w:pPr>
      <w:r w:rsidRPr="00CA6785">
        <w:t xml:space="preserve">Table </w:t>
      </w:r>
      <w:r w:rsidR="00BE2B0E" w:rsidRPr="00CA6785">
        <w:t>2</w:t>
      </w:r>
      <w:r w:rsidRPr="00CA6785">
        <w:t>:</w:t>
      </w:r>
    </w:p>
    <w:p w14:paraId="67F09BDA" w14:textId="5EC262D3" w:rsidR="00A3665D" w:rsidRPr="00CA6785" w:rsidRDefault="00902A56" w:rsidP="00902A56">
      <w:pPr>
        <w:pStyle w:val="SingleTxt"/>
        <w:jc w:val="left"/>
        <w:rPr>
          <w:b/>
          <w:bCs/>
        </w:rPr>
      </w:pPr>
      <w:r w:rsidRPr="00CA6785">
        <w:rPr>
          <w:b/>
          <w:bCs/>
        </w:rPr>
        <w:t>H</w:t>
      </w:r>
      <w:r w:rsidR="00A3665D" w:rsidRPr="00CA6785">
        <w:rPr>
          <w:b/>
          <w:bCs/>
        </w:rPr>
        <w:t>uman resources</w:t>
      </w:r>
    </w:p>
    <w:tbl>
      <w:tblPr>
        <w:tblStyle w:val="TableGrid"/>
        <w:tblW w:w="0" w:type="auto"/>
        <w:tblInd w:w="1255" w:type="dxa"/>
        <w:tblLook w:val="04A0" w:firstRow="1" w:lastRow="0" w:firstColumn="1" w:lastColumn="0" w:noHBand="0" w:noVBand="1"/>
      </w:tblPr>
      <w:tblGrid>
        <w:gridCol w:w="2880"/>
        <w:gridCol w:w="2070"/>
        <w:gridCol w:w="2340"/>
      </w:tblGrid>
      <w:tr w:rsidR="00DD0E55" w:rsidRPr="00CA6785" w14:paraId="3F841AF1" w14:textId="77777777" w:rsidTr="007A6711">
        <w:tc>
          <w:tcPr>
            <w:tcW w:w="2880" w:type="dxa"/>
            <w:shd w:val="pct10" w:color="auto" w:fill="auto"/>
            <w:vAlign w:val="center"/>
          </w:tcPr>
          <w:p w14:paraId="4FC8C4FB" w14:textId="77777777" w:rsidR="00DD0E55" w:rsidRPr="00CA6785" w:rsidRDefault="00DD0E55" w:rsidP="00902A56">
            <w:pPr>
              <w:pStyle w:val="SingleTxt"/>
              <w:snapToGrid w:val="0"/>
              <w:spacing w:before="20" w:after="40" w:line="210" w:lineRule="exact"/>
              <w:ind w:left="0" w:right="21"/>
              <w:jc w:val="left"/>
              <w:rPr>
                <w:sz w:val="17"/>
                <w:szCs w:val="17"/>
              </w:rPr>
            </w:pPr>
          </w:p>
        </w:tc>
        <w:tc>
          <w:tcPr>
            <w:tcW w:w="2070" w:type="dxa"/>
            <w:shd w:val="pct10" w:color="auto" w:fill="auto"/>
            <w:vAlign w:val="center"/>
          </w:tcPr>
          <w:p w14:paraId="6439C373" w14:textId="77777777" w:rsidR="00DD0E55" w:rsidRPr="00CA6785" w:rsidRDefault="00DD0E55" w:rsidP="00902A56">
            <w:pPr>
              <w:pStyle w:val="SingleTxt"/>
              <w:snapToGrid w:val="0"/>
              <w:spacing w:before="20" w:after="40" w:line="210" w:lineRule="exact"/>
              <w:ind w:left="0" w:right="170"/>
              <w:jc w:val="center"/>
              <w:rPr>
                <w:sz w:val="17"/>
                <w:szCs w:val="17"/>
              </w:rPr>
            </w:pPr>
            <w:r w:rsidRPr="00CA6785">
              <w:rPr>
                <w:sz w:val="17"/>
                <w:szCs w:val="17"/>
              </w:rPr>
              <w:t>Regular budget</w:t>
            </w:r>
          </w:p>
        </w:tc>
        <w:tc>
          <w:tcPr>
            <w:tcW w:w="2340" w:type="dxa"/>
            <w:shd w:val="pct10" w:color="auto" w:fill="auto"/>
            <w:vAlign w:val="center"/>
          </w:tcPr>
          <w:p w14:paraId="170BECB2" w14:textId="77777777" w:rsidR="00DD0E55" w:rsidRPr="00CA6785" w:rsidRDefault="00DD0E55" w:rsidP="00902A56">
            <w:pPr>
              <w:pStyle w:val="SingleTxt"/>
              <w:snapToGrid w:val="0"/>
              <w:spacing w:before="20" w:after="40" w:line="210" w:lineRule="exact"/>
              <w:ind w:left="0" w:right="170"/>
              <w:jc w:val="center"/>
              <w:rPr>
                <w:sz w:val="17"/>
                <w:szCs w:val="17"/>
              </w:rPr>
            </w:pPr>
            <w:r w:rsidRPr="00CA6785">
              <w:rPr>
                <w:sz w:val="17"/>
                <w:szCs w:val="17"/>
              </w:rPr>
              <w:t>Extrabudgetary resources</w:t>
            </w:r>
          </w:p>
        </w:tc>
      </w:tr>
      <w:tr w:rsidR="00DD0E55" w:rsidRPr="00CA6785" w14:paraId="2EF44E30" w14:textId="77777777" w:rsidTr="007A6711">
        <w:tc>
          <w:tcPr>
            <w:tcW w:w="2880" w:type="dxa"/>
            <w:shd w:val="pct10" w:color="auto" w:fill="auto"/>
            <w:vAlign w:val="center"/>
          </w:tcPr>
          <w:p w14:paraId="4A0A64D2" w14:textId="77777777" w:rsidR="00DD0E55" w:rsidRPr="00CA6785" w:rsidRDefault="00DD0E55" w:rsidP="00902A56">
            <w:pPr>
              <w:pStyle w:val="SingleTxt"/>
              <w:tabs>
                <w:tab w:val="clear" w:pos="1267"/>
              </w:tabs>
              <w:snapToGrid w:val="0"/>
              <w:spacing w:before="20" w:after="40" w:line="210" w:lineRule="exact"/>
              <w:ind w:left="0" w:right="18"/>
              <w:jc w:val="left"/>
              <w:rPr>
                <w:sz w:val="17"/>
                <w:szCs w:val="17"/>
              </w:rPr>
            </w:pPr>
            <w:r w:rsidRPr="00CA6785">
              <w:rPr>
                <w:sz w:val="17"/>
                <w:szCs w:val="17"/>
              </w:rPr>
              <w:t>Legal Officer (P-3)</w:t>
            </w:r>
          </w:p>
        </w:tc>
        <w:tc>
          <w:tcPr>
            <w:tcW w:w="2070" w:type="dxa"/>
            <w:vAlign w:val="center"/>
          </w:tcPr>
          <w:p w14:paraId="0BCA9AE4" w14:textId="77777777" w:rsidR="00DD0E55" w:rsidRPr="00CA6785" w:rsidRDefault="00DD0E55" w:rsidP="00902A56">
            <w:pPr>
              <w:pStyle w:val="SingleTxt"/>
              <w:tabs>
                <w:tab w:val="clear" w:pos="1267"/>
              </w:tabs>
              <w:snapToGrid w:val="0"/>
              <w:spacing w:before="20" w:after="40" w:line="210" w:lineRule="exact"/>
              <w:ind w:left="0" w:right="170"/>
              <w:jc w:val="center"/>
              <w:rPr>
                <w:sz w:val="17"/>
                <w:szCs w:val="17"/>
              </w:rPr>
            </w:pPr>
            <w:r w:rsidRPr="00CA6785">
              <w:rPr>
                <w:sz w:val="17"/>
                <w:szCs w:val="17"/>
              </w:rPr>
              <w:t>$ 139,600</w:t>
            </w:r>
          </w:p>
        </w:tc>
        <w:tc>
          <w:tcPr>
            <w:tcW w:w="2340" w:type="dxa"/>
            <w:vAlign w:val="center"/>
          </w:tcPr>
          <w:p w14:paraId="76A4E50E" w14:textId="0F565529" w:rsidR="00DD0E55" w:rsidRPr="00CA6785" w:rsidRDefault="00DD0E55" w:rsidP="00902A56">
            <w:pPr>
              <w:pStyle w:val="SingleTxt"/>
              <w:tabs>
                <w:tab w:val="clear" w:pos="1267"/>
              </w:tabs>
              <w:snapToGrid w:val="0"/>
              <w:spacing w:before="20" w:after="40" w:line="210" w:lineRule="exact"/>
              <w:ind w:left="0" w:right="170"/>
              <w:jc w:val="center"/>
              <w:rPr>
                <w:sz w:val="17"/>
                <w:szCs w:val="17"/>
              </w:rPr>
            </w:pPr>
            <w:r w:rsidRPr="00CA6785">
              <w:rPr>
                <w:sz w:val="17"/>
                <w:szCs w:val="17"/>
              </w:rPr>
              <w:t>$ 16</w:t>
            </w:r>
            <w:r w:rsidR="00532313" w:rsidRPr="00CA6785">
              <w:rPr>
                <w:sz w:val="17"/>
                <w:szCs w:val="17"/>
              </w:rPr>
              <w:t>9</w:t>
            </w:r>
            <w:r w:rsidRPr="00CA6785">
              <w:rPr>
                <w:sz w:val="17"/>
                <w:szCs w:val="17"/>
              </w:rPr>
              <w:t>,</w:t>
            </w:r>
            <w:r w:rsidR="00532313" w:rsidRPr="00CA6785">
              <w:rPr>
                <w:sz w:val="17"/>
                <w:szCs w:val="17"/>
              </w:rPr>
              <w:t>5</w:t>
            </w:r>
            <w:r w:rsidRPr="00CA6785">
              <w:rPr>
                <w:sz w:val="17"/>
                <w:szCs w:val="17"/>
              </w:rPr>
              <w:t>00</w:t>
            </w:r>
          </w:p>
        </w:tc>
      </w:tr>
      <w:tr w:rsidR="00DD0E55" w:rsidRPr="00CA6785" w14:paraId="79E68A3E" w14:textId="77777777" w:rsidTr="007A6711">
        <w:tc>
          <w:tcPr>
            <w:tcW w:w="2880" w:type="dxa"/>
            <w:shd w:val="pct10" w:color="auto" w:fill="auto"/>
            <w:vAlign w:val="center"/>
          </w:tcPr>
          <w:p w14:paraId="6D6843E7" w14:textId="77777777" w:rsidR="00DD0E55" w:rsidRPr="00CA6785" w:rsidRDefault="00DD0E55" w:rsidP="00902A56">
            <w:pPr>
              <w:pStyle w:val="SingleTxt"/>
              <w:snapToGrid w:val="0"/>
              <w:spacing w:before="20" w:after="40" w:line="210" w:lineRule="exact"/>
              <w:ind w:left="0" w:right="26"/>
              <w:jc w:val="left"/>
              <w:rPr>
                <w:sz w:val="17"/>
                <w:szCs w:val="17"/>
              </w:rPr>
            </w:pPr>
            <w:r w:rsidRPr="00CA6785">
              <w:rPr>
                <w:sz w:val="17"/>
                <w:szCs w:val="17"/>
              </w:rPr>
              <w:t>Associate Legal Officer (P-2)</w:t>
            </w:r>
          </w:p>
        </w:tc>
        <w:tc>
          <w:tcPr>
            <w:tcW w:w="2070" w:type="dxa"/>
            <w:vAlign w:val="center"/>
          </w:tcPr>
          <w:p w14:paraId="5401E529" w14:textId="77777777" w:rsidR="00DD0E55" w:rsidRPr="00CA6785" w:rsidRDefault="00DD0E55" w:rsidP="00902A56">
            <w:pPr>
              <w:pStyle w:val="SingleTxt"/>
              <w:snapToGrid w:val="0"/>
              <w:spacing w:before="20" w:after="40" w:line="210" w:lineRule="exact"/>
              <w:ind w:left="0" w:right="170"/>
              <w:jc w:val="center"/>
              <w:rPr>
                <w:sz w:val="17"/>
                <w:szCs w:val="17"/>
              </w:rPr>
            </w:pPr>
            <w:r w:rsidRPr="00CA6785">
              <w:rPr>
                <w:sz w:val="17"/>
                <w:szCs w:val="17"/>
              </w:rPr>
              <w:t>$ 115,100</w:t>
            </w:r>
          </w:p>
        </w:tc>
        <w:tc>
          <w:tcPr>
            <w:tcW w:w="2340" w:type="dxa"/>
            <w:vAlign w:val="center"/>
          </w:tcPr>
          <w:p w14:paraId="67C133A1" w14:textId="7892297F" w:rsidR="00DD0E55" w:rsidRPr="00CA6785" w:rsidRDefault="00DD0E55" w:rsidP="00902A56">
            <w:pPr>
              <w:pStyle w:val="SingleTxt"/>
              <w:snapToGrid w:val="0"/>
              <w:spacing w:before="20" w:after="40" w:line="210" w:lineRule="exact"/>
              <w:ind w:left="0" w:right="170"/>
              <w:jc w:val="center"/>
              <w:rPr>
                <w:sz w:val="17"/>
                <w:szCs w:val="17"/>
              </w:rPr>
            </w:pPr>
            <w:r w:rsidRPr="00CA6785">
              <w:rPr>
                <w:sz w:val="17"/>
                <w:szCs w:val="17"/>
              </w:rPr>
              <w:t>$ 13</w:t>
            </w:r>
            <w:r w:rsidR="00532313" w:rsidRPr="00CA6785">
              <w:rPr>
                <w:sz w:val="17"/>
                <w:szCs w:val="17"/>
              </w:rPr>
              <w:t>3</w:t>
            </w:r>
            <w:r w:rsidRPr="00CA6785">
              <w:rPr>
                <w:sz w:val="17"/>
                <w:szCs w:val="17"/>
              </w:rPr>
              <w:t>,</w:t>
            </w:r>
            <w:r w:rsidR="00532313" w:rsidRPr="00CA6785">
              <w:rPr>
                <w:sz w:val="17"/>
                <w:szCs w:val="17"/>
              </w:rPr>
              <w:t>7</w:t>
            </w:r>
            <w:r w:rsidRPr="00CA6785">
              <w:rPr>
                <w:sz w:val="17"/>
                <w:szCs w:val="17"/>
              </w:rPr>
              <w:t>00</w:t>
            </w:r>
          </w:p>
        </w:tc>
      </w:tr>
      <w:tr w:rsidR="00DD0E55" w:rsidRPr="00CA6785" w14:paraId="1B173714" w14:textId="77777777" w:rsidTr="007A6711">
        <w:tc>
          <w:tcPr>
            <w:tcW w:w="2880" w:type="dxa"/>
            <w:shd w:val="pct10" w:color="auto" w:fill="auto"/>
            <w:vAlign w:val="center"/>
          </w:tcPr>
          <w:p w14:paraId="1C5255CD" w14:textId="77777777" w:rsidR="00DD0E55" w:rsidRPr="00CA6785" w:rsidRDefault="00DD0E55" w:rsidP="00902A56">
            <w:pPr>
              <w:pStyle w:val="SingleTxt"/>
              <w:snapToGrid w:val="0"/>
              <w:spacing w:before="20" w:after="40" w:line="210" w:lineRule="exact"/>
              <w:ind w:left="0" w:right="116"/>
              <w:jc w:val="left"/>
              <w:rPr>
                <w:sz w:val="17"/>
                <w:szCs w:val="17"/>
              </w:rPr>
            </w:pPr>
            <w:r w:rsidRPr="00CA6785">
              <w:rPr>
                <w:sz w:val="17"/>
                <w:szCs w:val="17"/>
              </w:rPr>
              <w:t>Administrative Assistant (G-6)</w:t>
            </w:r>
          </w:p>
        </w:tc>
        <w:tc>
          <w:tcPr>
            <w:tcW w:w="2070" w:type="dxa"/>
            <w:vAlign w:val="center"/>
          </w:tcPr>
          <w:p w14:paraId="1DB254E5" w14:textId="77777777" w:rsidR="00DD0E55" w:rsidRPr="00CA6785" w:rsidRDefault="00DD0E55" w:rsidP="00902A56">
            <w:pPr>
              <w:pStyle w:val="SingleTxt"/>
              <w:snapToGrid w:val="0"/>
              <w:spacing w:before="20" w:after="40" w:line="210" w:lineRule="exact"/>
              <w:ind w:left="0" w:right="170"/>
              <w:jc w:val="center"/>
              <w:rPr>
                <w:sz w:val="17"/>
                <w:szCs w:val="17"/>
              </w:rPr>
            </w:pPr>
            <w:r w:rsidRPr="00CA6785">
              <w:rPr>
                <w:sz w:val="17"/>
                <w:szCs w:val="17"/>
              </w:rPr>
              <w:t>$ 98,700</w:t>
            </w:r>
          </w:p>
        </w:tc>
        <w:tc>
          <w:tcPr>
            <w:tcW w:w="2340" w:type="dxa"/>
            <w:vAlign w:val="center"/>
          </w:tcPr>
          <w:p w14:paraId="5D6F8A3D" w14:textId="0D4A728F" w:rsidR="00DD0E55" w:rsidRPr="00CA6785" w:rsidRDefault="00DD0E55" w:rsidP="00902A56">
            <w:pPr>
              <w:pStyle w:val="SingleTxt"/>
              <w:snapToGrid w:val="0"/>
              <w:spacing w:before="20" w:after="40" w:line="210" w:lineRule="exact"/>
              <w:ind w:left="0" w:right="170"/>
              <w:jc w:val="center"/>
              <w:rPr>
                <w:sz w:val="17"/>
                <w:szCs w:val="17"/>
              </w:rPr>
            </w:pPr>
            <w:r w:rsidRPr="00CA6785">
              <w:rPr>
                <w:sz w:val="17"/>
                <w:szCs w:val="17"/>
              </w:rPr>
              <w:t>$ 10</w:t>
            </w:r>
            <w:r w:rsidR="00532313" w:rsidRPr="00CA6785">
              <w:rPr>
                <w:sz w:val="17"/>
                <w:szCs w:val="17"/>
              </w:rPr>
              <w:t>6</w:t>
            </w:r>
            <w:r w:rsidRPr="00CA6785">
              <w:rPr>
                <w:sz w:val="17"/>
                <w:szCs w:val="17"/>
              </w:rPr>
              <w:t>,900</w:t>
            </w:r>
          </w:p>
        </w:tc>
      </w:tr>
      <w:tr w:rsidR="00DD0E55" w:rsidRPr="00CA6785" w14:paraId="05988C5A" w14:textId="77777777" w:rsidTr="007A6711">
        <w:tc>
          <w:tcPr>
            <w:tcW w:w="2880" w:type="dxa"/>
            <w:shd w:val="pct10" w:color="auto" w:fill="auto"/>
            <w:vAlign w:val="center"/>
          </w:tcPr>
          <w:p w14:paraId="64A8C9D6" w14:textId="77777777" w:rsidR="00DD0E55" w:rsidRPr="00CA6785" w:rsidRDefault="00DD0E55" w:rsidP="00902A56">
            <w:pPr>
              <w:pStyle w:val="SingleTxt"/>
              <w:snapToGrid w:val="0"/>
              <w:spacing w:before="20" w:after="40" w:line="210" w:lineRule="exact"/>
              <w:ind w:left="0" w:right="21"/>
              <w:jc w:val="left"/>
              <w:rPr>
                <w:b/>
                <w:bCs/>
                <w:sz w:val="17"/>
                <w:szCs w:val="17"/>
              </w:rPr>
            </w:pPr>
            <w:r w:rsidRPr="00CA6785">
              <w:rPr>
                <w:b/>
                <w:bCs/>
                <w:sz w:val="17"/>
                <w:szCs w:val="17"/>
              </w:rPr>
              <w:t>Total</w:t>
            </w:r>
          </w:p>
        </w:tc>
        <w:tc>
          <w:tcPr>
            <w:tcW w:w="2070" w:type="dxa"/>
            <w:vAlign w:val="center"/>
          </w:tcPr>
          <w:p w14:paraId="3A541333" w14:textId="77777777" w:rsidR="00DD0E55" w:rsidRPr="00CA6785" w:rsidRDefault="00DD0E55" w:rsidP="00902A56">
            <w:pPr>
              <w:pStyle w:val="SingleTxt"/>
              <w:snapToGrid w:val="0"/>
              <w:spacing w:before="20" w:after="40" w:line="210" w:lineRule="exact"/>
              <w:ind w:left="0" w:right="170"/>
              <w:jc w:val="center"/>
              <w:rPr>
                <w:b/>
                <w:bCs/>
                <w:sz w:val="17"/>
                <w:szCs w:val="17"/>
              </w:rPr>
            </w:pPr>
            <w:r w:rsidRPr="00CA6785">
              <w:rPr>
                <w:b/>
                <w:bCs/>
                <w:sz w:val="17"/>
                <w:szCs w:val="17"/>
              </w:rPr>
              <w:t>$ 353,400</w:t>
            </w:r>
          </w:p>
        </w:tc>
        <w:tc>
          <w:tcPr>
            <w:tcW w:w="2340" w:type="dxa"/>
            <w:vAlign w:val="center"/>
          </w:tcPr>
          <w:p w14:paraId="46715A0D" w14:textId="4BC9D4B0" w:rsidR="00DD0E55" w:rsidRPr="00CA6785" w:rsidRDefault="00DD0E55" w:rsidP="00902A56">
            <w:pPr>
              <w:pStyle w:val="SingleTxt"/>
              <w:snapToGrid w:val="0"/>
              <w:spacing w:before="20" w:after="40" w:line="210" w:lineRule="exact"/>
              <w:ind w:left="0" w:right="170"/>
              <w:jc w:val="center"/>
              <w:rPr>
                <w:b/>
                <w:bCs/>
                <w:sz w:val="17"/>
                <w:szCs w:val="17"/>
              </w:rPr>
            </w:pPr>
            <w:r w:rsidRPr="00CA6785">
              <w:rPr>
                <w:b/>
                <w:bCs/>
                <w:sz w:val="17"/>
                <w:szCs w:val="17"/>
              </w:rPr>
              <w:t>$ 4</w:t>
            </w:r>
            <w:r w:rsidR="00532313" w:rsidRPr="00CA6785">
              <w:rPr>
                <w:b/>
                <w:bCs/>
                <w:sz w:val="17"/>
                <w:szCs w:val="17"/>
              </w:rPr>
              <w:t>10</w:t>
            </w:r>
            <w:r w:rsidRPr="00CA6785">
              <w:rPr>
                <w:b/>
                <w:bCs/>
                <w:sz w:val="17"/>
                <w:szCs w:val="17"/>
              </w:rPr>
              <w:t>,</w:t>
            </w:r>
            <w:r w:rsidR="00532313" w:rsidRPr="00CA6785">
              <w:rPr>
                <w:b/>
                <w:bCs/>
                <w:sz w:val="17"/>
                <w:szCs w:val="17"/>
              </w:rPr>
              <w:t>1</w:t>
            </w:r>
            <w:r w:rsidRPr="00CA6785">
              <w:rPr>
                <w:b/>
                <w:bCs/>
                <w:sz w:val="17"/>
                <w:szCs w:val="17"/>
              </w:rPr>
              <w:t>00</w:t>
            </w:r>
          </w:p>
        </w:tc>
      </w:tr>
    </w:tbl>
    <w:p w14:paraId="5720DED4" w14:textId="4FE047B0" w:rsidR="00A3665D" w:rsidRPr="00CA6785" w:rsidRDefault="00A3665D" w:rsidP="00902A56">
      <w:pPr>
        <w:pStyle w:val="SingleTxt"/>
        <w:spacing w:after="0" w:line="120" w:lineRule="atLeast"/>
        <w:rPr>
          <w:sz w:val="10"/>
        </w:rPr>
      </w:pPr>
    </w:p>
    <w:p w14:paraId="23113E30" w14:textId="5B19A9FF" w:rsidR="00A3665D" w:rsidRPr="00CA6785" w:rsidRDefault="00A3665D"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Moreover, additional resources in the amount of $13,000 would be required to acquire furniture and equipment for the new staff members; $5,400 for ICT-related services; and $13,593 for travel expenses of staff to service working group sessions in New York.</w:t>
      </w:r>
      <w:r w:rsidR="009367E4" w:rsidRPr="00CA6785">
        <w:t xml:space="preserve"> </w:t>
      </w:r>
    </w:p>
    <w:p w14:paraId="3F1CD95A" w14:textId="1830CC9C" w:rsidR="00EE1E72" w:rsidRPr="00CA6785" w:rsidRDefault="006B5CBD" w:rsidP="00902A56">
      <w:pPr>
        <w:pStyle w:val="H4"/>
        <w:keepNext w:val="0"/>
        <w:keepLines w:val="0"/>
        <w:spacing w:after="120"/>
        <w:ind w:left="1267" w:right="1267" w:hanging="1267"/>
      </w:pPr>
      <w:r w:rsidRPr="00CA6785">
        <w:tab/>
      </w:r>
      <w:r w:rsidRPr="00CA6785">
        <w:tab/>
      </w:r>
      <w:r w:rsidR="00BE2B0E" w:rsidRPr="00CA6785">
        <w:t xml:space="preserve">Summary </w:t>
      </w:r>
    </w:p>
    <w:p w14:paraId="3AC7497E" w14:textId="7FFB6949" w:rsidR="00BE2B0E" w:rsidRPr="00CA6785" w:rsidRDefault="00BE2B0E" w:rsidP="00902A56">
      <w:pPr>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t xml:space="preserve">In conclusion, the programme budget implication for holding two additional Working Group sessions per year would be as follows: </w:t>
      </w:r>
    </w:p>
    <w:p w14:paraId="6ED55D1A" w14:textId="77777777" w:rsidR="007A6711" w:rsidRPr="00CA6785" w:rsidRDefault="006B5CBD" w:rsidP="00902A56">
      <w:pPr>
        <w:pStyle w:val="SingleTxt"/>
        <w:spacing w:after="0"/>
        <w:jc w:val="left"/>
      </w:pPr>
      <w:r w:rsidRPr="00CA6785">
        <w:t xml:space="preserve">Table 3: </w:t>
      </w:r>
    </w:p>
    <w:p w14:paraId="5CFA5608" w14:textId="40E6BC5F" w:rsidR="00532313" w:rsidRPr="00CA6785" w:rsidRDefault="006B5CBD" w:rsidP="00902A56">
      <w:pPr>
        <w:pStyle w:val="SingleTxt"/>
        <w:ind w:left="1267" w:right="1267"/>
        <w:rPr>
          <w:b/>
          <w:bCs/>
        </w:rPr>
      </w:pPr>
      <w:r w:rsidRPr="00CA6785">
        <w:rPr>
          <w:b/>
          <w:bCs/>
        </w:rPr>
        <w:t>Programme budget implications per year</w:t>
      </w:r>
    </w:p>
    <w:tbl>
      <w:tblPr>
        <w:tblStyle w:val="TableGrid"/>
        <w:tblW w:w="0" w:type="auto"/>
        <w:tblInd w:w="1255" w:type="dxa"/>
        <w:tblLook w:val="04A0" w:firstRow="1" w:lastRow="0" w:firstColumn="1" w:lastColumn="0" w:noHBand="0" w:noVBand="1"/>
      </w:tblPr>
      <w:tblGrid>
        <w:gridCol w:w="2340"/>
        <w:gridCol w:w="1530"/>
        <w:gridCol w:w="3420"/>
      </w:tblGrid>
      <w:tr w:rsidR="00CE0811" w:rsidRPr="00CA6785" w14:paraId="509B680C" w14:textId="77777777" w:rsidTr="007A42AF">
        <w:tc>
          <w:tcPr>
            <w:tcW w:w="3870" w:type="dxa"/>
            <w:gridSpan w:val="2"/>
            <w:shd w:val="pct10" w:color="auto" w:fill="auto"/>
            <w:vAlign w:val="center"/>
          </w:tcPr>
          <w:p w14:paraId="6E5DD921" w14:textId="77777777" w:rsidR="00CE0811" w:rsidRPr="00CA6785" w:rsidRDefault="00CE0811" w:rsidP="00902A56">
            <w:pPr>
              <w:pStyle w:val="SingleTxt"/>
              <w:snapToGrid w:val="0"/>
              <w:spacing w:before="20" w:after="40" w:line="210" w:lineRule="exact"/>
              <w:ind w:left="0" w:right="21"/>
              <w:jc w:val="center"/>
              <w:rPr>
                <w:sz w:val="18"/>
                <w:szCs w:val="18"/>
              </w:rPr>
            </w:pPr>
          </w:p>
        </w:tc>
        <w:tc>
          <w:tcPr>
            <w:tcW w:w="3420" w:type="dxa"/>
            <w:shd w:val="pct10" w:color="auto" w:fill="auto"/>
            <w:vAlign w:val="center"/>
          </w:tcPr>
          <w:p w14:paraId="7A84B833" w14:textId="15F18A93" w:rsidR="00CE0811" w:rsidRPr="00CA6785" w:rsidRDefault="00CE0811" w:rsidP="00902A56">
            <w:pPr>
              <w:pStyle w:val="SingleTxt"/>
              <w:snapToGrid w:val="0"/>
              <w:spacing w:before="20" w:after="40" w:line="210" w:lineRule="exact"/>
              <w:ind w:left="0" w:right="170"/>
              <w:jc w:val="center"/>
              <w:rPr>
                <w:sz w:val="18"/>
                <w:szCs w:val="18"/>
              </w:rPr>
            </w:pPr>
            <w:r w:rsidRPr="00CA6785">
              <w:rPr>
                <w:sz w:val="18"/>
                <w:szCs w:val="18"/>
              </w:rPr>
              <w:t>Estimates</w:t>
            </w:r>
          </w:p>
        </w:tc>
      </w:tr>
      <w:tr w:rsidR="00CE0811" w:rsidRPr="00CA6785" w14:paraId="593E3E77" w14:textId="77777777" w:rsidTr="007A6711">
        <w:trPr>
          <w:trHeight w:val="647"/>
        </w:trPr>
        <w:tc>
          <w:tcPr>
            <w:tcW w:w="2340" w:type="dxa"/>
            <w:vMerge w:val="restart"/>
            <w:shd w:val="pct10" w:color="auto" w:fill="auto"/>
            <w:vAlign w:val="center"/>
          </w:tcPr>
          <w:p w14:paraId="74F3875F" w14:textId="2BF24F6E" w:rsidR="00CE0811" w:rsidRPr="00CA6785" w:rsidRDefault="00CE0811" w:rsidP="00902A56">
            <w:pPr>
              <w:pStyle w:val="SingleTxt"/>
              <w:tabs>
                <w:tab w:val="clear" w:pos="1267"/>
              </w:tabs>
              <w:snapToGrid w:val="0"/>
              <w:spacing w:before="20" w:after="40" w:line="210" w:lineRule="exact"/>
              <w:ind w:left="0" w:right="18"/>
              <w:jc w:val="center"/>
              <w:rPr>
                <w:sz w:val="18"/>
                <w:szCs w:val="18"/>
              </w:rPr>
            </w:pPr>
            <w:r w:rsidRPr="00CA6785">
              <w:rPr>
                <w:spacing w:val="2"/>
                <w:w w:val="101"/>
                <w:sz w:val="18"/>
                <w:szCs w:val="18"/>
              </w:rPr>
              <w:t xml:space="preserve">Section 2 - General Assembly and Economic and Social Council </w:t>
            </w:r>
            <w:r w:rsidR="00965622" w:rsidRPr="00CA6785">
              <w:rPr>
                <w:spacing w:val="2"/>
                <w:w w:val="101"/>
                <w:sz w:val="18"/>
                <w:szCs w:val="18"/>
              </w:rPr>
              <w:t>A</w:t>
            </w:r>
            <w:r w:rsidRPr="00CA6785">
              <w:rPr>
                <w:spacing w:val="2"/>
                <w:w w:val="101"/>
                <w:sz w:val="18"/>
                <w:szCs w:val="18"/>
              </w:rPr>
              <w:t xml:space="preserve">ffairs and </w:t>
            </w:r>
            <w:r w:rsidR="00965622" w:rsidRPr="00CA6785">
              <w:rPr>
                <w:spacing w:val="2"/>
                <w:w w:val="101"/>
                <w:sz w:val="18"/>
                <w:szCs w:val="18"/>
              </w:rPr>
              <w:t>C</w:t>
            </w:r>
            <w:r w:rsidRPr="00CA6785">
              <w:rPr>
                <w:spacing w:val="2"/>
                <w:w w:val="101"/>
                <w:sz w:val="18"/>
                <w:szCs w:val="18"/>
              </w:rPr>
              <w:t xml:space="preserve">onference </w:t>
            </w:r>
            <w:r w:rsidR="00965622" w:rsidRPr="00CA6785">
              <w:rPr>
                <w:spacing w:val="2"/>
                <w:w w:val="101"/>
                <w:sz w:val="18"/>
                <w:szCs w:val="18"/>
              </w:rPr>
              <w:t>M</w:t>
            </w:r>
            <w:r w:rsidRPr="00CA6785">
              <w:rPr>
                <w:spacing w:val="2"/>
                <w:w w:val="101"/>
                <w:sz w:val="18"/>
                <w:szCs w:val="18"/>
              </w:rPr>
              <w:t>anagement</w:t>
            </w:r>
          </w:p>
        </w:tc>
        <w:tc>
          <w:tcPr>
            <w:tcW w:w="1530" w:type="dxa"/>
            <w:shd w:val="pct10" w:color="auto" w:fill="auto"/>
            <w:vAlign w:val="center"/>
          </w:tcPr>
          <w:p w14:paraId="15D8B648" w14:textId="0E601595" w:rsidR="00CE0811" w:rsidRPr="00CA6785" w:rsidRDefault="00CE0811" w:rsidP="00902A56">
            <w:pPr>
              <w:pStyle w:val="SingleTxt"/>
              <w:tabs>
                <w:tab w:val="clear" w:pos="1267"/>
              </w:tabs>
              <w:snapToGrid w:val="0"/>
              <w:spacing w:before="20" w:after="40" w:line="210" w:lineRule="exact"/>
              <w:ind w:left="0" w:right="18"/>
              <w:jc w:val="center"/>
              <w:rPr>
                <w:sz w:val="18"/>
                <w:szCs w:val="18"/>
              </w:rPr>
            </w:pPr>
            <w:r w:rsidRPr="00CA6785">
              <w:rPr>
                <w:sz w:val="18"/>
                <w:szCs w:val="18"/>
              </w:rPr>
              <w:t>Conference resources</w:t>
            </w:r>
          </w:p>
        </w:tc>
        <w:tc>
          <w:tcPr>
            <w:tcW w:w="3420" w:type="dxa"/>
            <w:vAlign w:val="center"/>
          </w:tcPr>
          <w:p w14:paraId="54C9B554" w14:textId="16715BBA" w:rsidR="00CE0811" w:rsidRPr="00CA6785" w:rsidRDefault="00CE0811" w:rsidP="00902A56">
            <w:pPr>
              <w:pStyle w:val="SingleTxt"/>
              <w:tabs>
                <w:tab w:val="clear" w:pos="1267"/>
              </w:tabs>
              <w:snapToGrid w:val="0"/>
              <w:spacing w:before="20" w:after="40" w:line="210" w:lineRule="exact"/>
              <w:ind w:left="0" w:right="170"/>
              <w:jc w:val="center"/>
              <w:rPr>
                <w:sz w:val="18"/>
                <w:szCs w:val="18"/>
              </w:rPr>
            </w:pPr>
            <w:r w:rsidRPr="00CA6785">
              <w:rPr>
                <w:sz w:val="18"/>
                <w:szCs w:val="18"/>
              </w:rPr>
              <w:t>$ 340,000</w:t>
            </w:r>
          </w:p>
        </w:tc>
      </w:tr>
      <w:tr w:rsidR="00CE0811" w:rsidRPr="00CA6785" w14:paraId="6AC97090" w14:textId="77777777" w:rsidTr="00902A56">
        <w:trPr>
          <w:trHeight w:val="602"/>
        </w:trPr>
        <w:tc>
          <w:tcPr>
            <w:tcW w:w="2340" w:type="dxa"/>
            <w:vMerge/>
            <w:shd w:val="pct10" w:color="auto" w:fill="auto"/>
            <w:vAlign w:val="center"/>
          </w:tcPr>
          <w:p w14:paraId="43EF4B19" w14:textId="317CE1C8" w:rsidR="00CE0811" w:rsidRPr="00CA6785" w:rsidRDefault="00CE0811" w:rsidP="00902A56">
            <w:pPr>
              <w:pStyle w:val="SingleTxt"/>
              <w:snapToGrid w:val="0"/>
              <w:spacing w:before="20" w:after="40" w:line="210" w:lineRule="exact"/>
              <w:ind w:left="0" w:right="26"/>
              <w:jc w:val="center"/>
              <w:rPr>
                <w:sz w:val="18"/>
                <w:szCs w:val="18"/>
              </w:rPr>
            </w:pPr>
          </w:p>
        </w:tc>
        <w:tc>
          <w:tcPr>
            <w:tcW w:w="1530" w:type="dxa"/>
            <w:shd w:val="pct10" w:color="auto" w:fill="auto"/>
            <w:vAlign w:val="center"/>
          </w:tcPr>
          <w:p w14:paraId="61C3451E" w14:textId="7DC2D7B8" w:rsidR="00CE0811" w:rsidRPr="00CA6785" w:rsidRDefault="00CE0811" w:rsidP="00902A56">
            <w:pPr>
              <w:pStyle w:val="SingleTxt"/>
              <w:snapToGrid w:val="0"/>
              <w:spacing w:before="20" w:after="40" w:line="210" w:lineRule="exact"/>
              <w:ind w:left="0" w:right="26"/>
              <w:jc w:val="center"/>
              <w:rPr>
                <w:sz w:val="18"/>
                <w:szCs w:val="18"/>
              </w:rPr>
            </w:pPr>
            <w:r w:rsidRPr="00CA6785">
              <w:rPr>
                <w:sz w:val="18"/>
                <w:szCs w:val="18"/>
              </w:rPr>
              <w:t>Document resources</w:t>
            </w:r>
          </w:p>
        </w:tc>
        <w:tc>
          <w:tcPr>
            <w:tcW w:w="3420" w:type="dxa"/>
            <w:vAlign w:val="center"/>
          </w:tcPr>
          <w:p w14:paraId="5E1F1DDC" w14:textId="39ED5ADB" w:rsidR="00CE0811" w:rsidRPr="00CA6785" w:rsidRDefault="00CE0811" w:rsidP="00902A56">
            <w:pPr>
              <w:pStyle w:val="SingleTxt"/>
              <w:snapToGrid w:val="0"/>
              <w:spacing w:before="20" w:after="40" w:line="210" w:lineRule="exact"/>
              <w:ind w:left="0" w:right="170"/>
              <w:jc w:val="center"/>
              <w:rPr>
                <w:sz w:val="18"/>
                <w:szCs w:val="18"/>
              </w:rPr>
            </w:pPr>
            <w:r w:rsidRPr="00CA6785">
              <w:rPr>
                <w:sz w:val="18"/>
                <w:szCs w:val="18"/>
              </w:rPr>
              <w:t>$ 486,000 to $ 637,394</w:t>
            </w:r>
          </w:p>
        </w:tc>
      </w:tr>
      <w:tr w:rsidR="00CE0811" w:rsidRPr="00CA6785" w14:paraId="4B37172A" w14:textId="77777777" w:rsidTr="007A6711">
        <w:trPr>
          <w:trHeight w:val="683"/>
        </w:trPr>
        <w:tc>
          <w:tcPr>
            <w:tcW w:w="2340" w:type="dxa"/>
            <w:vMerge w:val="restart"/>
            <w:shd w:val="pct10" w:color="auto" w:fill="auto"/>
            <w:vAlign w:val="center"/>
          </w:tcPr>
          <w:p w14:paraId="4CF036E1" w14:textId="43E75682" w:rsidR="00CE0811" w:rsidRPr="00CA6785" w:rsidRDefault="00CE0811" w:rsidP="00902A56">
            <w:pPr>
              <w:pStyle w:val="SingleTxt"/>
              <w:snapToGrid w:val="0"/>
              <w:spacing w:before="20" w:after="40" w:line="210" w:lineRule="exact"/>
              <w:ind w:left="0" w:right="116"/>
              <w:jc w:val="center"/>
              <w:rPr>
                <w:sz w:val="18"/>
                <w:szCs w:val="18"/>
              </w:rPr>
            </w:pPr>
            <w:r w:rsidRPr="00CA6785">
              <w:rPr>
                <w:spacing w:val="2"/>
                <w:w w:val="101"/>
                <w:sz w:val="18"/>
                <w:szCs w:val="18"/>
              </w:rPr>
              <w:t>Section 8 - Legal affairs</w:t>
            </w:r>
          </w:p>
        </w:tc>
        <w:tc>
          <w:tcPr>
            <w:tcW w:w="1530" w:type="dxa"/>
            <w:shd w:val="pct10" w:color="auto" w:fill="auto"/>
            <w:vAlign w:val="center"/>
          </w:tcPr>
          <w:p w14:paraId="7B87B508" w14:textId="0F8FF0DD" w:rsidR="00CE0811" w:rsidRPr="00CA6785" w:rsidRDefault="00CE0811" w:rsidP="00902A56">
            <w:pPr>
              <w:pStyle w:val="SingleTxt"/>
              <w:snapToGrid w:val="0"/>
              <w:spacing w:before="20" w:after="40" w:line="210" w:lineRule="exact"/>
              <w:ind w:left="0" w:right="116"/>
              <w:jc w:val="center"/>
              <w:rPr>
                <w:sz w:val="18"/>
                <w:szCs w:val="18"/>
              </w:rPr>
            </w:pPr>
            <w:r w:rsidRPr="00CA6785">
              <w:rPr>
                <w:sz w:val="18"/>
                <w:szCs w:val="18"/>
              </w:rPr>
              <w:t>Human resources</w:t>
            </w:r>
          </w:p>
        </w:tc>
        <w:tc>
          <w:tcPr>
            <w:tcW w:w="3420" w:type="dxa"/>
            <w:vAlign w:val="center"/>
          </w:tcPr>
          <w:p w14:paraId="6D7F6448" w14:textId="17B7A6D3" w:rsidR="00CE0811" w:rsidRPr="00CA6785" w:rsidRDefault="00CE0811" w:rsidP="00902A56">
            <w:pPr>
              <w:pStyle w:val="SingleTxt"/>
              <w:snapToGrid w:val="0"/>
              <w:spacing w:before="20" w:after="40" w:line="210" w:lineRule="exact"/>
              <w:ind w:left="0" w:right="170"/>
              <w:jc w:val="center"/>
              <w:rPr>
                <w:sz w:val="18"/>
                <w:szCs w:val="18"/>
              </w:rPr>
            </w:pPr>
            <w:r w:rsidRPr="00CA6785">
              <w:rPr>
                <w:sz w:val="18"/>
                <w:szCs w:val="18"/>
              </w:rPr>
              <w:t>$ 353,400 to $ 410,100</w:t>
            </w:r>
          </w:p>
        </w:tc>
      </w:tr>
      <w:tr w:rsidR="00CE0811" w:rsidRPr="00CA6785" w14:paraId="5606A896" w14:textId="77777777" w:rsidTr="007A6711">
        <w:trPr>
          <w:trHeight w:val="530"/>
        </w:trPr>
        <w:tc>
          <w:tcPr>
            <w:tcW w:w="2340" w:type="dxa"/>
            <w:vMerge/>
            <w:shd w:val="pct10" w:color="auto" w:fill="auto"/>
            <w:vAlign w:val="center"/>
          </w:tcPr>
          <w:p w14:paraId="1B808D96" w14:textId="18CA70A5" w:rsidR="00CE0811" w:rsidRPr="00CA6785" w:rsidRDefault="00CE0811" w:rsidP="00902A56">
            <w:pPr>
              <w:pStyle w:val="SingleTxt"/>
              <w:snapToGrid w:val="0"/>
              <w:spacing w:before="20" w:after="40" w:line="210" w:lineRule="exact"/>
              <w:ind w:left="0" w:right="21"/>
              <w:jc w:val="center"/>
              <w:rPr>
                <w:sz w:val="18"/>
                <w:szCs w:val="18"/>
              </w:rPr>
            </w:pPr>
          </w:p>
        </w:tc>
        <w:tc>
          <w:tcPr>
            <w:tcW w:w="1530" w:type="dxa"/>
            <w:shd w:val="pct10" w:color="auto" w:fill="auto"/>
            <w:vAlign w:val="center"/>
          </w:tcPr>
          <w:p w14:paraId="158FBDEF" w14:textId="4945F63F" w:rsidR="00CE0811" w:rsidRPr="00CA6785" w:rsidRDefault="00CE0811" w:rsidP="00902A56">
            <w:pPr>
              <w:pStyle w:val="SingleTxt"/>
              <w:snapToGrid w:val="0"/>
              <w:spacing w:before="20" w:after="40" w:line="210" w:lineRule="exact"/>
              <w:ind w:left="0" w:right="21"/>
              <w:jc w:val="center"/>
              <w:rPr>
                <w:sz w:val="18"/>
                <w:szCs w:val="18"/>
              </w:rPr>
            </w:pPr>
            <w:r w:rsidRPr="00CA6785">
              <w:rPr>
                <w:sz w:val="18"/>
                <w:szCs w:val="18"/>
              </w:rPr>
              <w:t>Other</w:t>
            </w:r>
          </w:p>
        </w:tc>
        <w:tc>
          <w:tcPr>
            <w:tcW w:w="3420" w:type="dxa"/>
            <w:vAlign w:val="center"/>
          </w:tcPr>
          <w:p w14:paraId="657509D2" w14:textId="75B0AAA7" w:rsidR="00CE0811" w:rsidRPr="00CA6785" w:rsidRDefault="00CE0811" w:rsidP="00902A56">
            <w:pPr>
              <w:pStyle w:val="SingleTxt"/>
              <w:snapToGrid w:val="0"/>
              <w:spacing w:before="20" w:after="40" w:line="210" w:lineRule="exact"/>
              <w:ind w:left="0" w:right="170"/>
              <w:jc w:val="center"/>
              <w:rPr>
                <w:sz w:val="18"/>
                <w:szCs w:val="18"/>
              </w:rPr>
            </w:pPr>
            <w:r w:rsidRPr="00CA6785">
              <w:rPr>
                <w:sz w:val="18"/>
                <w:szCs w:val="18"/>
              </w:rPr>
              <w:t>$ 31,993</w:t>
            </w:r>
          </w:p>
        </w:tc>
      </w:tr>
      <w:tr w:rsidR="006B5CBD" w:rsidRPr="00CA6785" w14:paraId="067FBB77" w14:textId="77777777" w:rsidTr="007A42AF">
        <w:tc>
          <w:tcPr>
            <w:tcW w:w="3870" w:type="dxa"/>
            <w:gridSpan w:val="2"/>
            <w:shd w:val="pct10" w:color="auto" w:fill="auto"/>
            <w:vAlign w:val="center"/>
          </w:tcPr>
          <w:p w14:paraId="57CF6541" w14:textId="21082B91" w:rsidR="006B5CBD" w:rsidRPr="00CA6785" w:rsidRDefault="006B5CBD" w:rsidP="00902A56">
            <w:pPr>
              <w:pStyle w:val="SingleTxt"/>
              <w:snapToGrid w:val="0"/>
              <w:spacing w:before="20" w:after="40" w:line="210" w:lineRule="exact"/>
              <w:ind w:left="0" w:right="21"/>
              <w:jc w:val="center"/>
              <w:rPr>
                <w:b/>
                <w:bCs/>
                <w:sz w:val="18"/>
                <w:szCs w:val="18"/>
              </w:rPr>
            </w:pPr>
            <w:r w:rsidRPr="00CA6785">
              <w:rPr>
                <w:b/>
                <w:bCs/>
                <w:sz w:val="18"/>
                <w:szCs w:val="18"/>
              </w:rPr>
              <w:t>Total</w:t>
            </w:r>
          </w:p>
        </w:tc>
        <w:tc>
          <w:tcPr>
            <w:tcW w:w="3420" w:type="dxa"/>
            <w:vAlign w:val="center"/>
          </w:tcPr>
          <w:p w14:paraId="39A83ED8" w14:textId="24C35FF7" w:rsidR="006B5CBD" w:rsidRPr="00CA6785" w:rsidRDefault="006B5CBD" w:rsidP="00902A56">
            <w:pPr>
              <w:pStyle w:val="SingleTxt"/>
              <w:snapToGrid w:val="0"/>
              <w:spacing w:before="20" w:after="40" w:line="210" w:lineRule="exact"/>
              <w:ind w:left="0" w:right="170"/>
              <w:jc w:val="center"/>
              <w:rPr>
                <w:b/>
                <w:bCs/>
                <w:sz w:val="18"/>
                <w:szCs w:val="18"/>
              </w:rPr>
            </w:pPr>
            <w:r w:rsidRPr="00CA6785">
              <w:rPr>
                <w:b/>
                <w:bCs/>
                <w:sz w:val="18"/>
                <w:szCs w:val="18"/>
              </w:rPr>
              <w:t>$ 1,211,393 to $ 1,419,487</w:t>
            </w:r>
          </w:p>
        </w:tc>
      </w:tr>
    </w:tbl>
    <w:p w14:paraId="678B82BD" w14:textId="26FEDD56" w:rsidR="00A3665D" w:rsidRPr="00CA6785" w:rsidRDefault="00A3665D" w:rsidP="00902A56">
      <w:pPr>
        <w:pStyle w:val="SingleTxt"/>
        <w:spacing w:after="0" w:line="120" w:lineRule="atLeast"/>
        <w:rPr>
          <w:sz w:val="10"/>
        </w:rPr>
      </w:pPr>
    </w:p>
    <w:p w14:paraId="1A7DFAB2" w14:textId="1FBD05AE" w:rsidR="00EC09A6" w:rsidRPr="00CA6785" w:rsidRDefault="00EC09A6" w:rsidP="00902A56">
      <w:pPr>
        <w:pStyle w:val="SingleTxt"/>
        <w:spacing w:after="0" w:line="120" w:lineRule="atLeast"/>
        <w:rPr>
          <w:sz w:val="10"/>
        </w:rPr>
      </w:pPr>
    </w:p>
    <w:p w14:paraId="318FA8B2" w14:textId="5C24FBA8" w:rsidR="0016254C" w:rsidRPr="00CA6785" w:rsidRDefault="0016254C">
      <w:pPr>
        <w:suppressAutoHyphens w:val="0"/>
        <w:spacing w:after="200" w:line="276" w:lineRule="auto"/>
        <w:rPr>
          <w:sz w:val="10"/>
        </w:rPr>
      </w:pPr>
      <w:r w:rsidRPr="00CA6785">
        <w:rPr>
          <w:sz w:val="10"/>
        </w:rPr>
        <w:br w:type="page"/>
      </w:r>
    </w:p>
    <w:p w14:paraId="1D6F4C3C" w14:textId="77777777" w:rsidR="0016254C" w:rsidRPr="00CA6785" w:rsidRDefault="0016254C" w:rsidP="00902A56">
      <w:pPr>
        <w:pStyle w:val="HCh"/>
        <w:keepNext w:val="0"/>
        <w:keepLines w:val="0"/>
        <w:ind w:left="1267" w:right="1260" w:hanging="1267"/>
      </w:pPr>
    </w:p>
    <w:p w14:paraId="6E237B8D" w14:textId="093A522D" w:rsidR="00A3665D" w:rsidRPr="00CA6785" w:rsidRDefault="00A3665D" w:rsidP="00902A56">
      <w:pPr>
        <w:pStyle w:val="HCh"/>
        <w:keepNext w:val="0"/>
        <w:keepLines w:val="0"/>
        <w:ind w:left="1267" w:right="1260" w:hanging="1267"/>
      </w:pPr>
      <w:r w:rsidRPr="00CA6785">
        <w:tab/>
      </w:r>
      <w:bookmarkStart w:id="13" w:name="_Toc39607761"/>
      <w:r w:rsidR="00902A56" w:rsidRPr="00CA6785">
        <w:t>IV</w:t>
      </w:r>
      <w:r w:rsidRPr="00CA6785">
        <w:t>.</w:t>
      </w:r>
      <w:r w:rsidRPr="00CA6785">
        <w:tab/>
        <w:t>Concluding remarks</w:t>
      </w:r>
      <w:bookmarkEnd w:id="13"/>
    </w:p>
    <w:p w14:paraId="65F92157" w14:textId="2180FCB2" w:rsidR="00EC09A6" w:rsidRPr="00CA6785" w:rsidRDefault="00EC09A6" w:rsidP="00902A56">
      <w:pPr>
        <w:pStyle w:val="SingleTxt"/>
        <w:spacing w:after="0" w:line="120" w:lineRule="atLeast"/>
        <w:rPr>
          <w:sz w:val="10"/>
        </w:rPr>
      </w:pPr>
    </w:p>
    <w:p w14:paraId="7716C2B9" w14:textId="01420E0E" w:rsidR="00A3665D" w:rsidRPr="00CA6785" w:rsidRDefault="00902A56" w:rsidP="00CD5F84">
      <w:pPr>
        <w:keepNext/>
        <w:keepLines/>
        <w:numPr>
          <w:ilvl w:val="0"/>
          <w:numId w:val="7"/>
        </w:num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 w:rsidRPr="00CA6785">
        <w:rPr>
          <w:noProof/>
          <w:lang w:val="en-CA" w:eastAsia="en-CA"/>
        </w:rPr>
        <mc:AlternateContent>
          <mc:Choice Requires="wps">
            <w:drawing>
              <wp:anchor distT="0" distB="0" distL="114300" distR="114300" simplePos="0" relativeHeight="251659264" behindDoc="0" locked="0" layoutInCell="1" allowOverlap="1" wp14:anchorId="3F3924F3" wp14:editId="012DC7C5">
                <wp:simplePos x="0" y="0"/>
                <wp:positionH relativeFrom="column">
                  <wp:posOffset>2793365</wp:posOffset>
                </wp:positionH>
                <wp:positionV relativeFrom="paragraph">
                  <wp:posOffset>1975485</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E8DA38"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9.95pt,155.55pt" to="291.95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" strokecolor="#010000" strokeweight=".25pt"/>
            </w:pict>
          </mc:Fallback>
        </mc:AlternateContent>
      </w:r>
      <w:r w:rsidR="00A3665D" w:rsidRPr="00CA6785">
        <w:t xml:space="preserve">As mentioned in the introduction, the objective of this note is to provide the </w:t>
      </w:r>
      <w:r w:rsidR="00EE1E72" w:rsidRPr="00CA6785">
        <w:t xml:space="preserve">Working Group </w:t>
      </w:r>
      <w:r w:rsidR="00A3665D" w:rsidRPr="00CA6785">
        <w:t xml:space="preserve">with information on the resource requirement to implement </w:t>
      </w:r>
      <w:r w:rsidR="00532313" w:rsidRPr="00CA6785">
        <w:t>the ISDS project.</w:t>
      </w:r>
      <w:r w:rsidR="00A3665D" w:rsidRPr="00CA6785">
        <w:t xml:space="preserve"> </w:t>
      </w:r>
      <w:r w:rsidR="006B5CBD" w:rsidRPr="00CA6785">
        <w:t>Upon reviewing the work and resourcing p</w:t>
      </w:r>
      <w:r w:rsidR="00532313" w:rsidRPr="00CA6785">
        <w:t>lan</w:t>
      </w:r>
      <w:r w:rsidR="006B5CBD" w:rsidRPr="00CA6785">
        <w:t xml:space="preserve">, it may wish to determine whether to request the </w:t>
      </w:r>
      <w:r w:rsidR="00EE1E72" w:rsidRPr="00CA6785">
        <w:t>Commission to recommend to</w:t>
      </w:r>
      <w:r w:rsidR="00A3665D" w:rsidRPr="00CA6785">
        <w:t xml:space="preserve"> the General Assembly that additional conference and supporting resources be allocated to </w:t>
      </w:r>
      <w:r w:rsidR="00EE1E72" w:rsidRPr="00CA6785">
        <w:t xml:space="preserve">the Secretariat </w:t>
      </w:r>
      <w:r w:rsidR="00A3665D" w:rsidRPr="00CA6785">
        <w:t xml:space="preserve">for advancing and completing the ISDS Project </w:t>
      </w:r>
      <w:r w:rsidR="005D3F17" w:rsidRPr="00CA6785">
        <w:t xml:space="preserve">for a period </w:t>
      </w:r>
      <w:r w:rsidR="006B5CBD" w:rsidRPr="00CA6785">
        <w:t xml:space="preserve">of 3 years. </w:t>
      </w:r>
      <w:r w:rsidR="00B608E0" w:rsidRPr="00CA6785">
        <w:t>Considering the budget situation of the United Nations, it will be challenging to obtain additional regular budget resources when the overall budget is being heavily scrutinized</w:t>
      </w:r>
      <w:r w:rsidR="007A6711" w:rsidRPr="00CA6785">
        <w:t xml:space="preserve"> (A/CN.9/970, para. 49)</w:t>
      </w:r>
      <w:r w:rsidR="00B608E0" w:rsidRPr="00CA6785">
        <w:t xml:space="preserve">. </w:t>
      </w:r>
      <w:r w:rsidR="005D3F17" w:rsidRPr="00CA6785">
        <w:t>Therefore, it would be important for the Working Group and</w:t>
      </w:r>
      <w:r w:rsidR="00B608E0" w:rsidRPr="00CA6785">
        <w:t xml:space="preserve"> the Commission</w:t>
      </w:r>
      <w:r w:rsidR="005D3F17" w:rsidRPr="00CA6785">
        <w:t xml:space="preserve"> </w:t>
      </w:r>
      <w:r w:rsidR="00B608E0" w:rsidRPr="00CA6785">
        <w:t xml:space="preserve">to signal the importance of ISDS reforms and the need to deliver results </w:t>
      </w:r>
      <w:r w:rsidR="005D3F17" w:rsidRPr="00CA6785">
        <w:t>within the set time frame</w:t>
      </w:r>
      <w:r w:rsidR="006B5CBD" w:rsidRPr="00CA6785">
        <w:t xml:space="preserve"> in its recommendation to the General Assembly.</w:t>
      </w:r>
      <w:r w:rsidR="002A2F68" w:rsidRPr="00CA6785">
        <w:t xml:space="preserve"> </w:t>
      </w:r>
    </w:p>
    <w:p w14:paraId="7A8D0094" w14:textId="77777777" w:rsidR="00A3665D" w:rsidRPr="00CA6785" w:rsidRDefault="00A3665D" w:rsidP="008E2513">
      <w:pPr>
        <w:pStyle w:val="SingleTxt"/>
        <w:keepNext/>
        <w:keepLines/>
      </w:pPr>
    </w:p>
    <w:p w14:paraId="62B306BB" w14:textId="77777777" w:rsidR="002430C5" w:rsidRPr="00CA6785" w:rsidRDefault="002430C5" w:rsidP="008E2513">
      <w:pPr>
        <w:pStyle w:val="SingleTxt"/>
        <w:keepNext/>
        <w:keepLines/>
      </w:pPr>
    </w:p>
    <w:p w14:paraId="058B756B" w14:textId="77777777" w:rsidR="00252269" w:rsidRPr="00CA6785" w:rsidRDefault="00252269" w:rsidP="008E2513">
      <w:pPr>
        <w:pStyle w:val="SingleTxt"/>
        <w:keepNext/>
        <w:keepLines/>
      </w:pPr>
    </w:p>
    <w:sectPr w:rsidR="00252269" w:rsidRPr="00CA6785" w:rsidSect="006F67F9">
      <w:endnotePr>
        <w:numFmt w:val="decimal"/>
      </w:endnotePr>
      <w:pgSz w:w="11909" w:h="16834"/>
      <w:pgMar w:top="1440" w:right="1032" w:bottom="1151" w:left="1032"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E9C8A" w14:textId="77777777" w:rsidR="007174B7" w:rsidRDefault="007174B7" w:rsidP="00556720">
      <w:r>
        <w:separator/>
      </w:r>
    </w:p>
  </w:endnote>
  <w:endnote w:type="continuationSeparator" w:id="0">
    <w:p w14:paraId="53F516E9" w14:textId="77777777" w:rsidR="007174B7" w:rsidRDefault="007174B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4922"/>
      <w:gridCol w:w="4923"/>
    </w:tblGrid>
    <w:tr w:rsidR="000C2D5C" w14:paraId="5FE60056" w14:textId="77777777" w:rsidTr="00252269">
      <w:trPr>
        <w:jc w:val="center"/>
      </w:trPr>
      <w:tc>
        <w:tcPr>
          <w:tcW w:w="4922" w:type="dxa"/>
          <w:shd w:val="clear" w:color="auto" w:fill="auto"/>
        </w:tcPr>
        <w:p w14:paraId="76ACD351" w14:textId="3F470F37" w:rsidR="000C2D5C" w:rsidRPr="00252269" w:rsidRDefault="000C2D5C" w:rsidP="00252269">
          <w:pPr>
            <w:pStyle w:val="Footer"/>
            <w:jc w:val="right"/>
            <w:rPr>
              <w:b w:val="0"/>
              <w:w w:val="103"/>
              <w:sz w:val="14"/>
            </w:rPr>
          </w:pPr>
        </w:p>
      </w:tc>
      <w:tc>
        <w:tcPr>
          <w:tcW w:w="4923" w:type="dxa"/>
          <w:shd w:val="clear" w:color="auto" w:fill="auto"/>
        </w:tcPr>
        <w:p w14:paraId="5F33C3A8" w14:textId="737097EC" w:rsidR="000C2D5C" w:rsidRPr="00252269" w:rsidRDefault="000C2D5C" w:rsidP="00252269">
          <w:pPr>
            <w:pStyle w:val="Footer"/>
            <w:rPr>
              <w:w w:val="103"/>
            </w:rPr>
          </w:pPr>
          <w:r>
            <w:rPr>
              <w:w w:val="103"/>
            </w:rPr>
            <w:fldChar w:fldCharType="begin"/>
          </w:r>
          <w:r>
            <w:rPr>
              <w:w w:val="103"/>
            </w:rPr>
            <w:instrText xml:space="preserve"> PAGE  \* Arabic  \* MERGEFORMAT </w:instrText>
          </w:r>
          <w:r>
            <w:rPr>
              <w:w w:val="103"/>
            </w:rPr>
            <w:fldChar w:fldCharType="separate"/>
          </w:r>
          <w:r w:rsidR="00B92CC5">
            <w:rPr>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92CC5">
            <w:rPr>
              <w:w w:val="103"/>
            </w:rPr>
            <w:t>10</w:t>
          </w:r>
          <w:r>
            <w:rPr>
              <w:w w:val="103"/>
            </w:rPr>
            <w:fldChar w:fldCharType="end"/>
          </w:r>
        </w:p>
      </w:tc>
    </w:tr>
  </w:tbl>
  <w:p w14:paraId="15A7CA32" w14:textId="77777777" w:rsidR="000C2D5C" w:rsidRPr="00252269" w:rsidRDefault="000C2D5C" w:rsidP="002522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4922"/>
      <w:gridCol w:w="4923"/>
    </w:tblGrid>
    <w:tr w:rsidR="000C2D5C" w14:paraId="786C596A" w14:textId="77777777" w:rsidTr="00252269">
      <w:trPr>
        <w:jc w:val="center"/>
      </w:trPr>
      <w:tc>
        <w:tcPr>
          <w:tcW w:w="4922" w:type="dxa"/>
          <w:shd w:val="clear" w:color="auto" w:fill="auto"/>
        </w:tcPr>
        <w:p w14:paraId="0AEDE63B" w14:textId="6A6F4ED3" w:rsidR="000C2D5C" w:rsidRPr="00252269" w:rsidRDefault="000C2D5C" w:rsidP="00252269">
          <w:pPr>
            <w:pStyle w:val="Footer"/>
            <w:jc w:val="right"/>
            <w:rPr>
              <w:w w:val="103"/>
            </w:rPr>
          </w:pPr>
          <w:r>
            <w:rPr>
              <w:w w:val="103"/>
            </w:rPr>
            <w:fldChar w:fldCharType="begin"/>
          </w:r>
          <w:r>
            <w:rPr>
              <w:w w:val="103"/>
            </w:rPr>
            <w:instrText xml:space="preserve"> PAGE  \* Arabic  \* MERGEFORMAT </w:instrText>
          </w:r>
          <w:r>
            <w:rPr>
              <w:w w:val="103"/>
            </w:rPr>
            <w:fldChar w:fldCharType="separate"/>
          </w:r>
          <w:r w:rsidR="00B92CC5">
            <w:rPr>
              <w:w w:val="103"/>
            </w:rPr>
            <w:t>7</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92CC5">
            <w:rPr>
              <w:w w:val="103"/>
            </w:rPr>
            <w:t>10</w:t>
          </w:r>
          <w:r>
            <w:rPr>
              <w:w w:val="103"/>
            </w:rPr>
            <w:fldChar w:fldCharType="end"/>
          </w:r>
        </w:p>
      </w:tc>
      <w:tc>
        <w:tcPr>
          <w:tcW w:w="4923" w:type="dxa"/>
          <w:shd w:val="clear" w:color="auto" w:fill="auto"/>
        </w:tcPr>
        <w:p w14:paraId="63A6287E" w14:textId="711BB132" w:rsidR="000C2D5C" w:rsidRPr="00252269" w:rsidRDefault="000C2D5C" w:rsidP="00252269">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end"/>
          </w:r>
        </w:p>
      </w:tc>
    </w:tr>
  </w:tbl>
  <w:p w14:paraId="6FAF2A12" w14:textId="77777777" w:rsidR="000C2D5C" w:rsidRPr="00252269" w:rsidRDefault="000C2D5C" w:rsidP="002522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954DA" w14:textId="77777777" w:rsidR="007174B7" w:rsidRPr="0063595F" w:rsidRDefault="007174B7" w:rsidP="0063595F">
      <w:pPr>
        <w:pStyle w:val="Footer"/>
        <w:spacing w:after="80"/>
        <w:ind w:left="792"/>
        <w:rPr>
          <w:sz w:val="16"/>
        </w:rPr>
      </w:pPr>
      <w:r w:rsidRPr="0063595F">
        <w:rPr>
          <w:sz w:val="16"/>
        </w:rPr>
        <w:t>__________________</w:t>
      </w:r>
    </w:p>
  </w:footnote>
  <w:footnote w:type="continuationSeparator" w:id="0">
    <w:p w14:paraId="1CA32871" w14:textId="77777777" w:rsidR="007174B7" w:rsidRPr="0063595F" w:rsidRDefault="007174B7" w:rsidP="0063595F">
      <w:pPr>
        <w:pStyle w:val="Footer"/>
        <w:spacing w:after="80"/>
        <w:ind w:left="792"/>
        <w:rPr>
          <w:sz w:val="16"/>
        </w:rPr>
      </w:pPr>
      <w:r w:rsidRPr="0063595F">
        <w:rPr>
          <w:sz w:val="16"/>
        </w:rPr>
        <w:t>__________________</w:t>
      </w:r>
    </w:p>
  </w:footnote>
  <w:footnote w:id="1">
    <w:p w14:paraId="16B2EB87" w14:textId="3CA758AF" w:rsidR="000C2D5C" w:rsidRPr="00CA6785" w:rsidRDefault="000C2D5C" w:rsidP="00902A56">
      <w:pPr>
        <w:pStyle w:val="FootnoteText"/>
        <w:widowControl/>
        <w:tabs>
          <w:tab w:val="clear" w:pos="418"/>
          <w:tab w:val="right" w:pos="1195"/>
          <w:tab w:val="left" w:pos="1267"/>
          <w:tab w:val="left" w:pos="1742"/>
          <w:tab w:val="left" w:pos="2218"/>
          <w:tab w:val="left" w:pos="2693"/>
        </w:tabs>
        <w:ind w:left="1264" w:right="1259" w:hanging="431"/>
        <w:jc w:val="both"/>
        <w:rPr>
          <w:szCs w:val="17"/>
        </w:rPr>
      </w:pPr>
      <w:r w:rsidRPr="00CA6785">
        <w:rPr>
          <w:i/>
          <w:iCs/>
          <w:szCs w:val="17"/>
        </w:rPr>
        <w:tab/>
      </w:r>
      <w:r w:rsidRPr="00CA6785">
        <w:rPr>
          <w:rStyle w:val="FootnoteReference"/>
          <w:szCs w:val="17"/>
        </w:rPr>
        <w:footnoteRef/>
      </w:r>
      <w:r w:rsidRPr="00CA6785">
        <w:rPr>
          <w:i/>
          <w:iCs/>
          <w:szCs w:val="17"/>
        </w:rPr>
        <w:tab/>
        <w:t>Official Records of the General Assembly, Seventy-fifth Session, Supplement No. 17</w:t>
      </w:r>
      <w:r w:rsidRPr="00CA6785">
        <w:rPr>
          <w:szCs w:val="17"/>
        </w:rPr>
        <w:t xml:space="preserve"> (A/75/17), paras. 102-118.</w:t>
      </w:r>
    </w:p>
  </w:footnote>
  <w:footnote w:id="2">
    <w:p w14:paraId="5099A3BF" w14:textId="15D23CEC" w:rsidR="000C2D5C" w:rsidRPr="00CA6785" w:rsidRDefault="000C2D5C" w:rsidP="00902A56">
      <w:pPr>
        <w:pStyle w:val="FootnoteText"/>
        <w:widowControl/>
        <w:tabs>
          <w:tab w:val="clear" w:pos="418"/>
          <w:tab w:val="right" w:pos="1195"/>
          <w:tab w:val="left" w:pos="1267"/>
          <w:tab w:val="left" w:pos="1742"/>
          <w:tab w:val="left" w:pos="2218"/>
          <w:tab w:val="left" w:pos="2693"/>
        </w:tabs>
        <w:ind w:left="1264" w:right="1259" w:hanging="431"/>
        <w:jc w:val="both"/>
        <w:rPr>
          <w:szCs w:val="17"/>
        </w:rPr>
      </w:pPr>
      <w:r w:rsidRPr="00CA6785">
        <w:rPr>
          <w:i/>
          <w:iCs/>
          <w:szCs w:val="17"/>
        </w:rPr>
        <w:tab/>
      </w:r>
      <w:r w:rsidRPr="00CA6785">
        <w:rPr>
          <w:rStyle w:val="FootnoteReference"/>
          <w:szCs w:val="17"/>
        </w:rPr>
        <w:footnoteRef/>
      </w:r>
      <w:r w:rsidRPr="00CA6785">
        <w:rPr>
          <w:i/>
          <w:iCs/>
          <w:szCs w:val="17"/>
        </w:rPr>
        <w:tab/>
        <w:t>Ibid.,</w:t>
      </w:r>
      <w:r w:rsidRPr="00CA6785">
        <w:rPr>
          <w:szCs w:val="17"/>
        </w:rPr>
        <w:t xml:space="preserve"> para. 119.</w:t>
      </w:r>
    </w:p>
  </w:footnote>
  <w:footnote w:id="3">
    <w:p w14:paraId="230030A2" w14:textId="77777777" w:rsidR="000C2D5C" w:rsidRPr="00CA6785" w:rsidRDefault="000C2D5C" w:rsidP="00902A56">
      <w:pPr>
        <w:pStyle w:val="SingleTxt"/>
        <w:tabs>
          <w:tab w:val="clear" w:pos="3182"/>
          <w:tab w:val="clear" w:pos="3658"/>
          <w:tab w:val="clear" w:pos="4133"/>
          <w:tab w:val="clear" w:pos="4622"/>
          <w:tab w:val="clear" w:pos="5098"/>
          <w:tab w:val="clear" w:pos="5573"/>
          <w:tab w:val="clear" w:pos="6048"/>
          <w:tab w:val="right" w:pos="1195"/>
        </w:tabs>
        <w:snapToGrid w:val="0"/>
        <w:spacing w:after="0" w:line="210" w:lineRule="exact"/>
        <w:ind w:right="1259" w:hanging="431"/>
        <w:rPr>
          <w:spacing w:val="5"/>
          <w:sz w:val="17"/>
          <w:szCs w:val="17"/>
        </w:rPr>
      </w:pPr>
      <w:r w:rsidRPr="00CA6785">
        <w:rPr>
          <w:spacing w:val="5"/>
          <w:sz w:val="17"/>
          <w:szCs w:val="17"/>
        </w:rPr>
        <w:tab/>
      </w:r>
      <w:r w:rsidRPr="00CA6785">
        <w:rPr>
          <w:rStyle w:val="FootnoteReference"/>
          <w:sz w:val="17"/>
          <w:szCs w:val="17"/>
        </w:rPr>
        <w:footnoteRef/>
      </w:r>
      <w:r w:rsidRPr="00CA6785">
        <w:rPr>
          <w:spacing w:val="5"/>
          <w:sz w:val="17"/>
          <w:szCs w:val="17"/>
        </w:rPr>
        <w:tab/>
        <w:t>Under the current pattern of meetings, Working Group III meets twice a year for a one-week session with four days dedicated to substantive discussion and one day dedicated to the adoption of the report. Working group are expected to hold substantive deliberations during the first nine half-day meetings (that is, from Monday to Friday morning), with a draft report on the entire period being prepared by the Secretariat for adoption at the tenth and last meeting of the Working Group (on Friday afternoon) (See</w:t>
      </w:r>
      <w:r w:rsidRPr="00CA6785">
        <w:rPr>
          <w:i/>
          <w:iCs/>
          <w:spacing w:val="5"/>
          <w:sz w:val="17"/>
          <w:szCs w:val="17"/>
        </w:rPr>
        <w:t xml:space="preserve"> Official Records of the General Assembly, </w:t>
      </w:r>
      <w:r w:rsidRPr="00CA6785">
        <w:rPr>
          <w:i/>
          <w:spacing w:val="5"/>
          <w:sz w:val="17"/>
          <w:szCs w:val="17"/>
        </w:rPr>
        <w:t>Fifty-sixth Session, Supplement No. 17</w:t>
      </w:r>
      <w:r w:rsidRPr="00CA6785">
        <w:rPr>
          <w:spacing w:val="5"/>
          <w:sz w:val="17"/>
          <w:szCs w:val="17"/>
        </w:rPr>
        <w:t xml:space="preserve"> and corrigendum (</w:t>
      </w:r>
      <w:hyperlink r:id="rId1" w:history="1">
        <w:r w:rsidRPr="00CA6785">
          <w:rPr>
            <w:rStyle w:val="Hyperlink"/>
            <w:spacing w:val="5"/>
            <w:sz w:val="17"/>
            <w:szCs w:val="17"/>
          </w:rPr>
          <w:t>A/56/17</w:t>
        </w:r>
      </w:hyperlink>
      <w:r w:rsidRPr="00CA6785">
        <w:rPr>
          <w:spacing w:val="5"/>
          <w:sz w:val="17"/>
          <w:szCs w:val="17"/>
        </w:rPr>
        <w:t>), para. 381). However, considering the length of time required for adopting the reports of Working Group III, the practice has been that one full day would be dedicated for that purpose.</w:t>
      </w:r>
    </w:p>
  </w:footnote>
  <w:footnote w:id="4">
    <w:p w14:paraId="46ADA10B" w14:textId="77777777" w:rsidR="008E2513" w:rsidRPr="00CA6785" w:rsidRDefault="008E2513" w:rsidP="00902A56">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eastAsia="ko-KR"/>
        </w:rPr>
      </w:pPr>
      <w:r w:rsidRPr="00CA6785">
        <w:rPr>
          <w:szCs w:val="17"/>
        </w:rPr>
        <w:tab/>
      </w:r>
      <w:r w:rsidRPr="00CA6785">
        <w:rPr>
          <w:rStyle w:val="FootnoteReference"/>
          <w:szCs w:val="17"/>
        </w:rPr>
        <w:footnoteRef/>
      </w:r>
      <w:r w:rsidRPr="00CA6785">
        <w:rPr>
          <w:szCs w:val="17"/>
        </w:rPr>
        <w:tab/>
        <w:t xml:space="preserve">General Assembly Resolution </w:t>
      </w:r>
      <w:hyperlink r:id="rId2" w:history="1">
        <w:r w:rsidRPr="00CA6785">
          <w:rPr>
            <w:rStyle w:val="Hyperlink"/>
            <w:szCs w:val="17"/>
          </w:rPr>
          <w:t>61/31</w:t>
        </w:r>
      </w:hyperlink>
      <w:r w:rsidRPr="00CA6785">
        <w:rPr>
          <w:szCs w:val="17"/>
        </w:rPr>
        <w:t xml:space="preserve"> (2006), para. 9.</w:t>
      </w:r>
    </w:p>
  </w:footnote>
  <w:footnote w:id="5">
    <w:p w14:paraId="12ED0CD0" w14:textId="77777777" w:rsidR="000C2D5C" w:rsidRPr="00CA6785" w:rsidRDefault="000C2D5C" w:rsidP="00902A56">
      <w:pPr>
        <w:pStyle w:val="FootnoteText"/>
        <w:widowControl/>
        <w:tabs>
          <w:tab w:val="clear" w:pos="418"/>
          <w:tab w:val="right" w:pos="1195"/>
          <w:tab w:val="left" w:pos="1267"/>
          <w:tab w:val="left" w:pos="1742"/>
          <w:tab w:val="left" w:pos="2218"/>
          <w:tab w:val="left" w:pos="2693"/>
        </w:tabs>
        <w:ind w:left="1264" w:right="1259" w:hanging="431"/>
        <w:jc w:val="both"/>
        <w:rPr>
          <w:szCs w:val="17"/>
        </w:rPr>
      </w:pPr>
      <w:r w:rsidRPr="00CA6785">
        <w:rPr>
          <w:szCs w:val="17"/>
        </w:rPr>
        <w:tab/>
      </w:r>
      <w:r w:rsidRPr="00CA6785">
        <w:rPr>
          <w:rStyle w:val="FootnoteReference"/>
          <w:szCs w:val="17"/>
        </w:rPr>
        <w:footnoteRef/>
      </w:r>
      <w:r w:rsidRPr="00CA6785">
        <w:rPr>
          <w:szCs w:val="17"/>
        </w:rPr>
        <w:tab/>
        <w:t xml:space="preserve">The deliberations and decisions of the Working Group at its thirty-fourth to thirty-seventh sessions are set out in documents </w:t>
      </w:r>
      <w:hyperlink r:id="rId3" w:history="1">
        <w:r w:rsidRPr="00CA6785">
          <w:rPr>
            <w:rStyle w:val="Hyperlink"/>
            <w:szCs w:val="17"/>
          </w:rPr>
          <w:t>A/CN.9/930/Rev.1</w:t>
        </w:r>
      </w:hyperlink>
      <w:r w:rsidRPr="00CA6785">
        <w:rPr>
          <w:szCs w:val="17"/>
        </w:rPr>
        <w:t xml:space="preserve">, A/CN.9/930/Rev.1/Add.1; </w:t>
      </w:r>
      <w:hyperlink r:id="rId4" w:history="1">
        <w:r w:rsidRPr="00CA6785">
          <w:rPr>
            <w:rStyle w:val="Hyperlink"/>
            <w:szCs w:val="17"/>
          </w:rPr>
          <w:t>A/CN.9/935</w:t>
        </w:r>
      </w:hyperlink>
      <w:r w:rsidRPr="00CA6785">
        <w:rPr>
          <w:rStyle w:val="Hyperlink"/>
          <w:szCs w:val="17"/>
        </w:rPr>
        <w:t>;</w:t>
      </w:r>
      <w:r w:rsidRPr="00CA6785">
        <w:rPr>
          <w:szCs w:val="17"/>
        </w:rPr>
        <w:t xml:space="preserve"> </w:t>
      </w:r>
      <w:hyperlink r:id="rId5" w:history="1">
        <w:r w:rsidRPr="00CA6785">
          <w:rPr>
            <w:rStyle w:val="Hyperlink"/>
            <w:szCs w:val="17"/>
          </w:rPr>
          <w:t>A/CN.9/964</w:t>
        </w:r>
      </w:hyperlink>
      <w:r w:rsidRPr="00CA6785">
        <w:rPr>
          <w:rStyle w:val="Hyperlink"/>
          <w:color w:val="auto"/>
          <w:szCs w:val="17"/>
        </w:rPr>
        <w:t xml:space="preserve">; and </w:t>
      </w:r>
      <w:hyperlink r:id="rId6" w:history="1">
        <w:r w:rsidRPr="00CA6785">
          <w:rPr>
            <w:rStyle w:val="Hyperlink"/>
            <w:szCs w:val="17"/>
          </w:rPr>
          <w:t>A/CN.9/970</w:t>
        </w:r>
      </w:hyperlink>
      <w:r w:rsidRPr="00CA6785">
        <w:rPr>
          <w:szCs w:val="17"/>
        </w:rPr>
        <w:t>,</w:t>
      </w:r>
      <w:r w:rsidRPr="00CA6785">
        <w:rPr>
          <w:rStyle w:val="Hyperlink"/>
          <w:szCs w:val="17"/>
        </w:rPr>
        <w:t xml:space="preserve"> </w:t>
      </w:r>
      <w:r w:rsidRPr="00CA6785">
        <w:rPr>
          <w:rStyle w:val="Hyperlink"/>
          <w:color w:val="auto"/>
          <w:szCs w:val="17"/>
        </w:rPr>
        <w:t>respectively</w:t>
      </w:r>
      <w:r w:rsidRPr="00CA6785">
        <w:rPr>
          <w:szCs w:val="17"/>
        </w:rPr>
        <w:t>.</w:t>
      </w:r>
    </w:p>
  </w:footnote>
  <w:footnote w:id="6">
    <w:p w14:paraId="124D2C8D" w14:textId="1467107C" w:rsidR="000C2D5C" w:rsidRPr="00CA6785" w:rsidRDefault="000C2D5C" w:rsidP="00902A56">
      <w:pPr>
        <w:pStyle w:val="FootnoteText"/>
        <w:widowControl/>
        <w:tabs>
          <w:tab w:val="clear" w:pos="418"/>
          <w:tab w:val="right" w:pos="1195"/>
          <w:tab w:val="left" w:pos="1267"/>
          <w:tab w:val="left" w:pos="1742"/>
          <w:tab w:val="left" w:pos="2218"/>
          <w:tab w:val="left" w:pos="2693"/>
        </w:tabs>
        <w:ind w:left="1264" w:right="1259" w:hanging="431"/>
        <w:jc w:val="both"/>
        <w:rPr>
          <w:szCs w:val="17"/>
        </w:rPr>
      </w:pPr>
      <w:r w:rsidRPr="00CA6785">
        <w:rPr>
          <w:szCs w:val="17"/>
        </w:rPr>
        <w:tab/>
      </w:r>
      <w:r w:rsidRPr="00CA6785">
        <w:rPr>
          <w:rStyle w:val="FootnoteReference"/>
          <w:szCs w:val="17"/>
        </w:rPr>
        <w:footnoteRef/>
      </w:r>
      <w:r w:rsidRPr="00CA6785">
        <w:rPr>
          <w:szCs w:val="17"/>
        </w:rPr>
        <w:tab/>
        <w:t>The deliberations and decisions of the Working Group at its thirty-eighth</w:t>
      </w:r>
      <w:r w:rsidR="004C3B1F" w:rsidRPr="00CA6785">
        <w:rPr>
          <w:szCs w:val="17"/>
        </w:rPr>
        <w:t>,</w:t>
      </w:r>
      <w:r w:rsidRPr="00CA6785">
        <w:rPr>
          <w:szCs w:val="17"/>
        </w:rPr>
        <w:t xml:space="preserve"> resumed </w:t>
      </w:r>
      <w:r w:rsidR="004C3B1F" w:rsidRPr="00CA6785">
        <w:rPr>
          <w:szCs w:val="17"/>
        </w:rPr>
        <w:t>thirty</w:t>
      </w:r>
      <w:r w:rsidRPr="00CA6785">
        <w:rPr>
          <w:szCs w:val="17"/>
        </w:rPr>
        <w:t>-eight</w:t>
      </w:r>
      <w:r w:rsidR="004C3B1F" w:rsidRPr="00CA6785">
        <w:rPr>
          <w:szCs w:val="17"/>
        </w:rPr>
        <w:t>h</w:t>
      </w:r>
      <w:r w:rsidRPr="00CA6785">
        <w:rPr>
          <w:szCs w:val="17"/>
        </w:rPr>
        <w:t xml:space="preserve"> and thirty-ninth sessions are set out in documents </w:t>
      </w:r>
      <w:hyperlink r:id="rId7" w:history="1">
        <w:r w:rsidRPr="00CA6785">
          <w:rPr>
            <w:rStyle w:val="Hyperlink"/>
            <w:szCs w:val="17"/>
          </w:rPr>
          <w:t>A/CN.9/1004</w:t>
        </w:r>
      </w:hyperlink>
      <w:r w:rsidRPr="00CA6785">
        <w:rPr>
          <w:rStyle w:val="Hyperlink"/>
          <w:color w:val="auto"/>
          <w:szCs w:val="17"/>
          <w:vertAlign w:val="superscript"/>
        </w:rPr>
        <w:t>*</w:t>
      </w:r>
      <w:r w:rsidRPr="00CA6785">
        <w:rPr>
          <w:szCs w:val="17"/>
        </w:rPr>
        <w:t xml:space="preserve">; </w:t>
      </w:r>
      <w:hyperlink r:id="rId8" w:history="1">
        <w:r w:rsidRPr="00CA6785">
          <w:rPr>
            <w:rStyle w:val="Hyperlink"/>
            <w:szCs w:val="17"/>
          </w:rPr>
          <w:t>A/CN.9/1004/Add.1</w:t>
        </w:r>
      </w:hyperlink>
      <w:r w:rsidRPr="00CA6785">
        <w:rPr>
          <w:rStyle w:val="Hyperlink"/>
          <w:szCs w:val="17"/>
        </w:rPr>
        <w:t xml:space="preserve"> </w:t>
      </w:r>
      <w:r w:rsidRPr="00CA6785">
        <w:rPr>
          <w:rStyle w:val="Hyperlink"/>
          <w:color w:val="auto"/>
          <w:szCs w:val="17"/>
        </w:rPr>
        <w:t>and</w:t>
      </w:r>
      <w:r w:rsidRPr="00CA6785">
        <w:t xml:space="preserve"> A/CN.9/1044</w:t>
      </w:r>
      <w:r w:rsidRPr="00CA6785">
        <w:rPr>
          <w:szCs w:val="17"/>
        </w:rPr>
        <w:t>,</w:t>
      </w:r>
      <w:r w:rsidRPr="00CA6785">
        <w:rPr>
          <w:rStyle w:val="Hyperlink"/>
          <w:szCs w:val="17"/>
        </w:rPr>
        <w:t xml:space="preserve"> </w:t>
      </w:r>
      <w:r w:rsidRPr="00CA6785">
        <w:rPr>
          <w:rStyle w:val="Hyperlink"/>
          <w:color w:val="auto"/>
          <w:szCs w:val="17"/>
        </w:rPr>
        <w:t>respectively</w:t>
      </w:r>
      <w:r w:rsidRPr="00CA6785">
        <w:rPr>
          <w:szCs w:val="17"/>
        </w:rPr>
        <w:t>.</w:t>
      </w:r>
    </w:p>
  </w:footnote>
  <w:footnote w:id="7">
    <w:p w14:paraId="3113A5CC" w14:textId="77777777" w:rsidR="000C2D5C" w:rsidRPr="00CA6785" w:rsidRDefault="000C2D5C" w:rsidP="00902A56">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eastAsia="ko-KR"/>
        </w:rPr>
      </w:pPr>
      <w:r w:rsidRPr="00CA6785">
        <w:rPr>
          <w:szCs w:val="17"/>
        </w:rPr>
        <w:tab/>
      </w:r>
      <w:r w:rsidRPr="00CA6785">
        <w:rPr>
          <w:rStyle w:val="FootnoteReference"/>
          <w:szCs w:val="17"/>
        </w:rPr>
        <w:footnoteRef/>
      </w:r>
      <w:r w:rsidRPr="00CA6785">
        <w:rPr>
          <w:szCs w:val="17"/>
        </w:rPr>
        <w:tab/>
        <w:t xml:space="preserve">Mainly the conference venue and related servicing (for example, document distribution and technical support) as well as interpretation into the official languages of the United Nations. </w:t>
      </w:r>
    </w:p>
  </w:footnote>
  <w:footnote w:id="8">
    <w:p w14:paraId="59CC61D1" w14:textId="77777777" w:rsidR="000C2D5C" w:rsidRPr="00CA6785" w:rsidRDefault="000C2D5C" w:rsidP="00902A56">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eastAsia="ko-KR"/>
        </w:rPr>
      </w:pPr>
      <w:r w:rsidRPr="00CA6785">
        <w:rPr>
          <w:szCs w:val="17"/>
        </w:rPr>
        <w:tab/>
      </w:r>
      <w:r w:rsidRPr="00CA6785">
        <w:rPr>
          <w:rStyle w:val="FootnoteReference"/>
          <w:szCs w:val="17"/>
        </w:rPr>
        <w:footnoteRef/>
      </w:r>
      <w:r w:rsidRPr="00CA6785">
        <w:rPr>
          <w:szCs w:val="17"/>
        </w:rPr>
        <w:tab/>
        <w:t xml:space="preserve">Mainly formatting, translation into the official languages of the United Nations as well as the publication and printing of documents. </w:t>
      </w:r>
    </w:p>
  </w:footnote>
  <w:footnote w:id="9">
    <w:p w14:paraId="10D17F8C" w14:textId="01407992" w:rsidR="000C2D5C" w:rsidRPr="00CA6785" w:rsidRDefault="000C2D5C" w:rsidP="00902A56">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eastAsia="ko-KR"/>
        </w:rPr>
      </w:pPr>
      <w:r w:rsidRPr="00CA6785">
        <w:rPr>
          <w:szCs w:val="17"/>
        </w:rPr>
        <w:tab/>
      </w:r>
      <w:r w:rsidRPr="00CA6785">
        <w:rPr>
          <w:rStyle w:val="FootnoteReference"/>
          <w:szCs w:val="17"/>
        </w:rPr>
        <w:footnoteRef/>
      </w:r>
      <w:r w:rsidRPr="00CA6785">
        <w:rPr>
          <w:szCs w:val="17"/>
        </w:rPr>
        <w:tab/>
        <w:t xml:space="preserve">This table </w:t>
      </w:r>
      <w:proofErr w:type="gramStart"/>
      <w:r w:rsidRPr="00CA6785">
        <w:rPr>
          <w:szCs w:val="17"/>
        </w:rPr>
        <w:t>takes into account</w:t>
      </w:r>
      <w:proofErr w:type="gramEnd"/>
      <w:r w:rsidRPr="00CA6785">
        <w:rPr>
          <w:szCs w:val="17"/>
        </w:rPr>
        <w:t xml:space="preserve"> all official documents produced for the Working Group that have been translated into the six official United Nations languages. For the sake of simplicity, documents issued as addenda are counted as separate documents and the average length of the document is calculated based on their English version. For a b</w:t>
      </w:r>
      <w:r w:rsidRPr="00CA6785">
        <w:t>reakdown of the average document resources utilized by the Working Group during its seven sessions, see Table 2 in document A/CN.9/1011.</w:t>
      </w:r>
    </w:p>
  </w:footnote>
  <w:footnote w:id="10">
    <w:p w14:paraId="5016D18F" w14:textId="48E5964A" w:rsidR="000C2D5C" w:rsidRPr="00CA6785" w:rsidRDefault="000C2D5C" w:rsidP="00902A56">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lang w:eastAsia="ko-KR"/>
        </w:rPr>
      </w:pPr>
      <w:r w:rsidRPr="00CA6785">
        <w:tab/>
      </w:r>
      <w:r w:rsidRPr="00CA6785">
        <w:rPr>
          <w:rStyle w:val="FootnoteReference"/>
        </w:rPr>
        <w:footnoteRef/>
      </w:r>
      <w:r w:rsidRPr="00CA6785">
        <w:tab/>
        <w:t>This includes three reports of inter-sessional regional meetings submitted by the host States.</w:t>
      </w:r>
    </w:p>
  </w:footnote>
  <w:footnote w:id="11">
    <w:p w14:paraId="096EFCB4" w14:textId="316B251E" w:rsidR="000C2D5C" w:rsidRPr="00CA6785" w:rsidRDefault="004C3B1F" w:rsidP="00902A56">
      <w:pPr>
        <w:pStyle w:val="FootnoteText"/>
        <w:jc w:val="both"/>
        <w:rPr>
          <w:lang w:val="en-US"/>
        </w:rPr>
      </w:pPr>
      <w:r w:rsidRPr="00CA6785">
        <w:tab/>
      </w:r>
      <w:r w:rsidRPr="00CA6785">
        <w:tab/>
      </w:r>
      <w:r w:rsidRPr="00CA6785">
        <w:tab/>
      </w:r>
      <w:r w:rsidR="002A2F68" w:rsidRPr="00CA6785">
        <w:t xml:space="preserve"> </w:t>
      </w:r>
      <w:r w:rsidRPr="00CA6785">
        <w:t xml:space="preserve"> </w:t>
      </w:r>
      <w:r w:rsidR="000C2D5C" w:rsidRPr="00CA6785">
        <w:rPr>
          <w:rStyle w:val="FootnoteReference"/>
        </w:rPr>
        <w:footnoteRef/>
      </w:r>
      <w:r w:rsidR="000C2D5C" w:rsidRPr="00CA6785">
        <w:t xml:space="preserve"> The post is funded by the government of Germany </w:t>
      </w:r>
      <w:r w:rsidR="00965622" w:rsidRPr="00CA6785">
        <w:t xml:space="preserve">with the </w:t>
      </w:r>
      <w:r w:rsidR="000C2D5C" w:rsidRPr="00CA6785">
        <w:t>term expir</w:t>
      </w:r>
      <w:r w:rsidR="00965622" w:rsidRPr="00CA6785">
        <w:t>ing</w:t>
      </w:r>
      <w:r w:rsidR="000C2D5C" w:rsidRPr="00CA6785">
        <w:t xml:space="preserve"> in 2021</w:t>
      </w:r>
      <w:r w:rsidR="00965622" w:rsidRPr="00CA6785">
        <w:t>.</w:t>
      </w:r>
    </w:p>
  </w:footnote>
  <w:footnote w:id="12">
    <w:p w14:paraId="6125CFF8" w14:textId="3B85998C" w:rsidR="000C2D5C" w:rsidRPr="00CA6785" w:rsidRDefault="000C2D5C" w:rsidP="00902A56">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eastAsia="ko-KR"/>
        </w:rPr>
      </w:pPr>
      <w:r w:rsidRPr="00CA6785">
        <w:rPr>
          <w:szCs w:val="17"/>
        </w:rPr>
        <w:tab/>
      </w:r>
      <w:r w:rsidRPr="00CA6785">
        <w:rPr>
          <w:rStyle w:val="FootnoteReference"/>
          <w:szCs w:val="17"/>
        </w:rPr>
        <w:footnoteRef/>
      </w:r>
      <w:r w:rsidRPr="00CA6785">
        <w:rPr>
          <w:szCs w:val="17"/>
        </w:rPr>
        <w:tab/>
      </w:r>
      <w:proofErr w:type="gramStart"/>
      <w:r w:rsidRPr="00CA6785">
        <w:t>With regard to</w:t>
      </w:r>
      <w:proofErr w:type="gramEnd"/>
      <w:r w:rsidRPr="00CA6785">
        <w:t xml:space="preserve"> unused Commission time, the Commission had indicated its understanding that two weeks for its annual sessions would generally be sufficient. Ibid, </w:t>
      </w:r>
      <w:r w:rsidRPr="00CA6785">
        <w:rPr>
          <w:szCs w:val="17"/>
        </w:rPr>
        <w:t>Seventy-fourth Session, Supplement No. 17 (</w:t>
      </w:r>
      <w:hyperlink r:id="rId9" w:history="1">
        <w:r w:rsidRPr="00CA6785">
          <w:rPr>
            <w:rStyle w:val="Hyperlink"/>
            <w:szCs w:val="17"/>
          </w:rPr>
          <w:t>A/74/17</w:t>
        </w:r>
      </w:hyperlink>
      <w:r w:rsidRPr="00CA6785">
        <w:rPr>
          <w:szCs w:val="17"/>
        </w:rPr>
        <w:t xml:space="preserve">), para. 331. </w:t>
      </w:r>
    </w:p>
  </w:footnote>
  <w:footnote w:id="13">
    <w:p w14:paraId="42164C4B" w14:textId="15AD173C" w:rsidR="000C2D5C" w:rsidRPr="00CA6785" w:rsidRDefault="000C2D5C" w:rsidP="00902A56">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eastAsia="ko-KR"/>
        </w:rPr>
      </w:pPr>
      <w:r w:rsidRPr="00CA6785">
        <w:rPr>
          <w:szCs w:val="17"/>
        </w:rPr>
        <w:tab/>
      </w:r>
      <w:r w:rsidRPr="00CA6785">
        <w:rPr>
          <w:rStyle w:val="FootnoteReference"/>
          <w:szCs w:val="17"/>
        </w:rPr>
        <w:footnoteRef/>
      </w:r>
      <w:r w:rsidRPr="00CA6785">
        <w:rPr>
          <w:szCs w:val="17"/>
        </w:rPr>
        <w:tab/>
        <w:t>Ibid., para. 329.</w:t>
      </w:r>
    </w:p>
  </w:footnote>
  <w:footnote w:id="14">
    <w:p w14:paraId="6C79BC99" w14:textId="4550B2C7" w:rsidR="000C2D5C" w:rsidRPr="00CA6785" w:rsidRDefault="000C2D5C" w:rsidP="00902A56">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eastAsia="ko-KR"/>
        </w:rPr>
      </w:pPr>
      <w:r w:rsidRPr="00CA6785">
        <w:rPr>
          <w:szCs w:val="17"/>
        </w:rPr>
        <w:tab/>
      </w:r>
      <w:r w:rsidRPr="00CA6785">
        <w:rPr>
          <w:rStyle w:val="FootnoteReference"/>
          <w:szCs w:val="17"/>
        </w:rPr>
        <w:footnoteRef/>
      </w:r>
      <w:r w:rsidRPr="00CA6785">
        <w:rPr>
          <w:szCs w:val="17"/>
        </w:rPr>
        <w:tab/>
      </w:r>
      <w:r w:rsidR="007A6711" w:rsidRPr="00CA6785">
        <w:t>Ibid., Fifty-sixth Session, Supplement No. 17 (A/56/17), paras. 376–383 and 425(c). The Commission, in 2001, increased the number of working groups from three to six, each of which would generally hold two annual sessions of one week each. However, the working group tasked with the preparation of the Rotterdam Rules was authorized by the Commission to hold two-week sessions from 2002 to 2008, except for its session in September 2002, which met for one week.</w:t>
      </w:r>
    </w:p>
  </w:footnote>
  <w:footnote w:id="15">
    <w:p w14:paraId="34F1EA8B" w14:textId="2293EB77" w:rsidR="000C2D5C" w:rsidRPr="00CA6785" w:rsidRDefault="000C2D5C" w:rsidP="00902A56">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eastAsia="ko-KR"/>
        </w:rPr>
      </w:pPr>
      <w:r w:rsidRPr="00CA6785">
        <w:rPr>
          <w:szCs w:val="17"/>
        </w:rPr>
        <w:tab/>
      </w:r>
      <w:r w:rsidRPr="00CA6785">
        <w:rPr>
          <w:rStyle w:val="FootnoteReference"/>
          <w:szCs w:val="17"/>
        </w:rPr>
        <w:footnoteRef/>
      </w:r>
      <w:r w:rsidRPr="00CA6785">
        <w:rPr>
          <w:szCs w:val="17"/>
        </w:rPr>
        <w:tab/>
        <w:t>One provisional agenda, two to three notes by the Secretariat and four submissions by States and others, all estimated at 8,500 words.</w:t>
      </w:r>
      <w:r w:rsidR="0016254C" w:rsidRPr="00CA6785">
        <w:t xml:space="preserve"> There is a limitation on documents originating in the Secretariat, which should be no longer than 16 pages (8,500 words). Intergovernmental bodies are invited to consider, where appropriate, reducing their report to 20 pages (10,700 words). See General Assembly Resolution 52/214, section B, paras. 4 and 7 (reiterated in 53/208, 59/265). </w:t>
      </w:r>
    </w:p>
  </w:footnote>
  <w:footnote w:id="16">
    <w:p w14:paraId="3FBFAA44" w14:textId="22F69469" w:rsidR="000C2D5C" w:rsidRPr="00CA6785" w:rsidRDefault="000C2D5C" w:rsidP="00902A56">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eastAsia="ko-KR"/>
        </w:rPr>
      </w:pPr>
      <w:r w:rsidRPr="00CA6785">
        <w:rPr>
          <w:szCs w:val="17"/>
        </w:rPr>
        <w:tab/>
      </w:r>
      <w:r w:rsidRPr="00CA6785">
        <w:rPr>
          <w:rStyle w:val="FootnoteReference"/>
          <w:szCs w:val="17"/>
        </w:rPr>
        <w:footnoteRef/>
      </w:r>
      <w:r w:rsidRPr="00CA6785">
        <w:rPr>
          <w:szCs w:val="17"/>
        </w:rPr>
        <w:tab/>
        <w:t xml:space="preserve">Based on figures provided by document management services in Vienna. Cost of translation of one English Standard Page (ESP, which consists of 330 words) into one other language is set at 260 USD. The programme budget implication rate may vary depending on where the document services are to be provided. </w:t>
      </w:r>
    </w:p>
  </w:footnote>
  <w:footnote w:id="17">
    <w:p w14:paraId="03CA9493" w14:textId="77777777" w:rsidR="004113EC" w:rsidRPr="00CA6785" w:rsidRDefault="004113EC" w:rsidP="00902A56">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eastAsia="ko-KR"/>
        </w:rPr>
      </w:pPr>
      <w:r w:rsidRPr="00CA6785">
        <w:rPr>
          <w:szCs w:val="17"/>
        </w:rPr>
        <w:tab/>
      </w:r>
      <w:r w:rsidRPr="00CA6785">
        <w:rPr>
          <w:rStyle w:val="FootnoteReference"/>
          <w:szCs w:val="17"/>
        </w:rPr>
        <w:footnoteRef/>
      </w:r>
      <w:r w:rsidRPr="00CA6785">
        <w:rPr>
          <w:szCs w:val="17"/>
        </w:rPr>
        <w:tab/>
        <w:t xml:space="preserve">This </w:t>
      </w:r>
      <w:proofErr w:type="gramStart"/>
      <w:r w:rsidRPr="00CA6785">
        <w:rPr>
          <w:szCs w:val="17"/>
        </w:rPr>
        <w:t>is based on the assumption</w:t>
      </w:r>
      <w:proofErr w:type="gramEnd"/>
      <w:r w:rsidRPr="00CA6785">
        <w:rPr>
          <w:szCs w:val="17"/>
        </w:rPr>
        <w:t xml:space="preserve"> that there would be no need to produce a separate provisional agenda nor the post-session report.</w:t>
      </w:r>
    </w:p>
  </w:footnote>
  <w:footnote w:id="18">
    <w:p w14:paraId="2A6B7CDB" w14:textId="608D5727" w:rsidR="000C2D5C" w:rsidRPr="00CA6785" w:rsidRDefault="000C2D5C" w:rsidP="00902A56">
      <w:pPr>
        <w:pStyle w:val="FootnoteText"/>
        <w:widowControl/>
        <w:tabs>
          <w:tab w:val="clear" w:pos="418"/>
          <w:tab w:val="right" w:pos="1195"/>
          <w:tab w:val="left" w:pos="1267"/>
          <w:tab w:val="left" w:pos="1742"/>
          <w:tab w:val="left" w:pos="2218"/>
          <w:tab w:val="left" w:pos="2693"/>
        </w:tabs>
        <w:ind w:left="1264" w:right="1259" w:hanging="431"/>
        <w:jc w:val="both"/>
        <w:rPr>
          <w:rFonts w:eastAsia="Malgun Gothic"/>
          <w:szCs w:val="17"/>
          <w:lang w:eastAsia="ko-KR"/>
        </w:rPr>
      </w:pPr>
      <w:r w:rsidRPr="00CA6785">
        <w:rPr>
          <w:szCs w:val="17"/>
        </w:rPr>
        <w:tab/>
      </w:r>
      <w:r w:rsidRPr="00CA6785">
        <w:rPr>
          <w:rStyle w:val="FootnoteReference"/>
          <w:szCs w:val="17"/>
        </w:rPr>
        <w:footnoteRef/>
      </w:r>
      <w:r w:rsidRPr="00CA6785">
        <w:rPr>
          <w:szCs w:val="17"/>
        </w:rPr>
        <w:tab/>
        <w:t>Based on UNOV/UNODC Revised Standard Salary Costs (2020</w:t>
      </w:r>
      <w:r w:rsidRPr="00CA6785">
        <w:rPr>
          <w:b/>
          <w:bCs/>
        </w:rPr>
        <w:t>–</w:t>
      </w:r>
      <w:r w:rsidRPr="00CA6785">
        <w:rPr>
          <w:szCs w:val="17"/>
        </w:rPr>
        <w:t>2023) for Vienna. For the post funded by the regular budget, the figure for “continuing” staff cost in 2021 was used.</w:t>
      </w:r>
    </w:p>
  </w:footnote>
  <w:footnote w:id="19">
    <w:p w14:paraId="773B70DF" w14:textId="77777777" w:rsidR="00325411" w:rsidRPr="00CA6785" w:rsidRDefault="00325411" w:rsidP="00902A56">
      <w:pPr>
        <w:pStyle w:val="FootnoteText"/>
        <w:widowControl/>
        <w:tabs>
          <w:tab w:val="clear" w:pos="418"/>
          <w:tab w:val="right" w:pos="1195"/>
          <w:tab w:val="left" w:pos="1267"/>
          <w:tab w:val="left" w:pos="1742"/>
          <w:tab w:val="left" w:pos="2218"/>
          <w:tab w:val="left" w:pos="2693"/>
        </w:tabs>
        <w:ind w:left="1264" w:right="1259" w:hanging="431"/>
        <w:jc w:val="both"/>
        <w:rPr>
          <w:szCs w:val="17"/>
        </w:rPr>
      </w:pPr>
      <w:r w:rsidRPr="00CA6785">
        <w:rPr>
          <w:i/>
          <w:iCs/>
          <w:szCs w:val="17"/>
        </w:rPr>
        <w:tab/>
      </w:r>
      <w:r w:rsidRPr="00CA6785">
        <w:rPr>
          <w:rStyle w:val="FootnoteReference"/>
          <w:szCs w:val="17"/>
        </w:rPr>
        <w:footnoteRef/>
      </w:r>
      <w:r w:rsidRPr="00CA6785">
        <w:rPr>
          <w:i/>
          <w:iCs/>
          <w:szCs w:val="17"/>
        </w:rPr>
        <w:tab/>
        <w:t>Official Records of the General Assembly</w:t>
      </w:r>
      <w:r w:rsidRPr="00CA6785">
        <w:rPr>
          <w:szCs w:val="17"/>
        </w:rPr>
        <w:t xml:space="preserve">, </w:t>
      </w:r>
      <w:r w:rsidRPr="00CA6785">
        <w:rPr>
          <w:i/>
          <w:iCs/>
          <w:szCs w:val="17"/>
        </w:rPr>
        <w:t>Seventy-fourth Session, Supplement No. 17</w:t>
      </w:r>
      <w:r w:rsidRPr="00CA6785">
        <w:rPr>
          <w:szCs w:val="17"/>
        </w:rPr>
        <w:t xml:space="preserve"> (</w:t>
      </w:r>
      <w:hyperlink r:id="rId10" w:history="1">
        <w:r w:rsidRPr="00CA6785">
          <w:rPr>
            <w:rStyle w:val="Hyperlink"/>
            <w:szCs w:val="17"/>
          </w:rPr>
          <w:t>A/74/17</w:t>
        </w:r>
      </w:hyperlink>
      <w:r w:rsidRPr="00CA6785">
        <w:rPr>
          <w:szCs w:val="17"/>
        </w:rPr>
        <w:t>), para. 165.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0C2D5C" w14:paraId="27E03615" w14:textId="77777777" w:rsidTr="00252269">
      <w:trPr>
        <w:trHeight w:hRule="exact" w:val="864"/>
        <w:jc w:val="center"/>
      </w:trPr>
      <w:tc>
        <w:tcPr>
          <w:tcW w:w="4882" w:type="dxa"/>
          <w:shd w:val="clear" w:color="auto" w:fill="auto"/>
          <w:vAlign w:val="bottom"/>
        </w:tcPr>
        <w:p w14:paraId="50A94318" w14:textId="1616B7E1" w:rsidR="000C2D5C" w:rsidRPr="00252269" w:rsidRDefault="000C2D5C" w:rsidP="00252269">
          <w:pPr>
            <w:pStyle w:val="Header"/>
            <w:spacing w:after="80"/>
            <w:rPr>
              <w:b/>
            </w:rPr>
          </w:pPr>
        </w:p>
      </w:tc>
      <w:tc>
        <w:tcPr>
          <w:tcW w:w="4923" w:type="dxa"/>
          <w:shd w:val="clear" w:color="auto" w:fill="auto"/>
          <w:vAlign w:val="bottom"/>
        </w:tcPr>
        <w:p w14:paraId="087FBF72" w14:textId="77777777" w:rsidR="000C2D5C" w:rsidRDefault="000C2D5C" w:rsidP="00252269">
          <w:pPr>
            <w:pStyle w:val="Header"/>
          </w:pPr>
        </w:p>
      </w:tc>
    </w:tr>
  </w:tbl>
  <w:p w14:paraId="5F8789E9" w14:textId="7A1EF43D" w:rsidR="000C2D5C" w:rsidRPr="00252269" w:rsidRDefault="008E3FB5" w:rsidP="00252269">
    <w:pPr>
      <w:pStyle w:val="Header"/>
    </w:pPr>
    <w:r>
      <w:pict w14:anchorId="5DC8C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52954" o:spid="_x0000_s2050" type="#_x0000_t136" style="position:absolute;margin-left:0;margin-top:0;width:495.75pt;height:198.3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0C2D5C" w14:paraId="176B925D" w14:textId="77777777" w:rsidTr="00252269">
      <w:trPr>
        <w:trHeight w:hRule="exact" w:val="864"/>
        <w:jc w:val="center"/>
      </w:trPr>
      <w:tc>
        <w:tcPr>
          <w:tcW w:w="4882" w:type="dxa"/>
          <w:shd w:val="clear" w:color="auto" w:fill="auto"/>
          <w:vAlign w:val="bottom"/>
        </w:tcPr>
        <w:p w14:paraId="5D4ED2A1" w14:textId="77777777" w:rsidR="000C2D5C" w:rsidRDefault="000C2D5C" w:rsidP="00252269">
          <w:pPr>
            <w:pStyle w:val="Header"/>
          </w:pPr>
        </w:p>
      </w:tc>
      <w:tc>
        <w:tcPr>
          <w:tcW w:w="4923" w:type="dxa"/>
          <w:shd w:val="clear" w:color="auto" w:fill="auto"/>
          <w:vAlign w:val="bottom"/>
        </w:tcPr>
        <w:p w14:paraId="33F34A06" w14:textId="6D70E65E" w:rsidR="000C2D5C" w:rsidRPr="00252269" w:rsidRDefault="000C2D5C" w:rsidP="00252269">
          <w:pPr>
            <w:pStyle w:val="Header"/>
            <w:spacing w:after="80"/>
            <w:jc w:val="right"/>
            <w:rPr>
              <w:b/>
            </w:rPr>
          </w:pPr>
        </w:p>
      </w:tc>
    </w:tr>
  </w:tbl>
  <w:p w14:paraId="14DAA685" w14:textId="558D6866" w:rsidR="000C2D5C" w:rsidRPr="00252269" w:rsidRDefault="008E3FB5" w:rsidP="000D2C79">
    <w:pPr>
      <w:pStyle w:val="Header"/>
      <w:tabs>
        <w:tab w:val="clear" w:pos="4320"/>
        <w:tab w:val="clear" w:pos="8640"/>
        <w:tab w:val="left" w:pos="7297"/>
      </w:tabs>
    </w:pPr>
    <w:r>
      <w:pict w14:anchorId="0C1B81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52955" o:spid="_x0000_s2051" type="#_x0000_t136" style="position:absolute;margin-left:0;margin-top:0;width:495.75pt;height:198.3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0C2D5C" w14:paraId="390AB721" w14:textId="77777777" w:rsidTr="00252269">
      <w:trPr>
        <w:trHeight w:hRule="exact" w:val="864"/>
      </w:trPr>
      <w:tc>
        <w:tcPr>
          <w:tcW w:w="1267" w:type="dxa"/>
          <w:tcBorders>
            <w:bottom w:val="single" w:sz="4" w:space="0" w:color="auto"/>
          </w:tcBorders>
          <w:shd w:val="clear" w:color="auto" w:fill="auto"/>
          <w:vAlign w:val="bottom"/>
        </w:tcPr>
        <w:p w14:paraId="1B46409F" w14:textId="77777777" w:rsidR="000C2D5C" w:rsidRDefault="000C2D5C" w:rsidP="00252269">
          <w:pPr>
            <w:pStyle w:val="Header"/>
            <w:spacing w:after="120"/>
          </w:pPr>
        </w:p>
      </w:tc>
      <w:tc>
        <w:tcPr>
          <w:tcW w:w="1872" w:type="dxa"/>
          <w:tcBorders>
            <w:bottom w:val="single" w:sz="4" w:space="0" w:color="auto"/>
          </w:tcBorders>
          <w:shd w:val="clear" w:color="auto" w:fill="auto"/>
          <w:vAlign w:val="bottom"/>
        </w:tcPr>
        <w:p w14:paraId="7129C703" w14:textId="77777777" w:rsidR="000C2D5C" w:rsidRPr="00252269" w:rsidRDefault="000C2D5C" w:rsidP="00252269">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6AC4A138" w14:textId="77777777" w:rsidR="000C2D5C" w:rsidRDefault="000C2D5C" w:rsidP="00252269">
          <w:pPr>
            <w:pStyle w:val="Header"/>
            <w:spacing w:after="120"/>
          </w:pPr>
        </w:p>
      </w:tc>
      <w:tc>
        <w:tcPr>
          <w:tcW w:w="6466" w:type="dxa"/>
          <w:gridSpan w:val="4"/>
          <w:tcBorders>
            <w:bottom w:val="single" w:sz="4" w:space="0" w:color="auto"/>
          </w:tcBorders>
          <w:shd w:val="clear" w:color="auto" w:fill="auto"/>
          <w:vAlign w:val="bottom"/>
        </w:tcPr>
        <w:p w14:paraId="1469C72D" w14:textId="340C8D79" w:rsidR="000C2D5C" w:rsidRPr="00252269" w:rsidRDefault="000C2D5C" w:rsidP="00252269">
          <w:pPr>
            <w:spacing w:after="80" w:line="240" w:lineRule="auto"/>
            <w:jc w:val="right"/>
            <w:rPr>
              <w:position w:val="-4"/>
            </w:rPr>
          </w:pPr>
          <w:r>
            <w:rPr>
              <w:position w:val="-4"/>
              <w:sz w:val="40"/>
            </w:rPr>
            <w:t>A</w:t>
          </w:r>
          <w:r>
            <w:rPr>
              <w:position w:val="-4"/>
            </w:rPr>
            <w:t>/CN.9/</w:t>
          </w:r>
          <w:proofErr w:type="gramStart"/>
          <w:r>
            <w:rPr>
              <w:position w:val="-4"/>
            </w:rPr>
            <w:t>WG.II</w:t>
          </w:r>
          <w:proofErr w:type="gramEnd"/>
          <w:r>
            <w:rPr>
              <w:position w:val="-4"/>
            </w:rPr>
            <w:t>/WP.****</w:t>
          </w:r>
        </w:p>
      </w:tc>
    </w:tr>
    <w:tr w:rsidR="000C2D5C" w:rsidRPr="00252269" w14:paraId="749EDBB9" w14:textId="77777777" w:rsidTr="00252269">
      <w:trPr>
        <w:gridAfter w:val="1"/>
        <w:wAfter w:w="11" w:type="dxa"/>
        <w:trHeight w:hRule="exact" w:val="2880"/>
      </w:trPr>
      <w:tc>
        <w:tcPr>
          <w:tcW w:w="1267" w:type="dxa"/>
          <w:tcBorders>
            <w:top w:val="single" w:sz="4" w:space="0" w:color="auto"/>
            <w:bottom w:val="single" w:sz="12" w:space="0" w:color="auto"/>
          </w:tcBorders>
          <w:shd w:val="clear" w:color="auto" w:fill="auto"/>
        </w:tcPr>
        <w:p w14:paraId="6B204627" w14:textId="77777777" w:rsidR="000C2D5C" w:rsidRPr="00252269" w:rsidRDefault="000C2D5C" w:rsidP="00252269">
          <w:pPr>
            <w:pStyle w:val="Header"/>
            <w:spacing w:before="120"/>
            <w:jc w:val="center"/>
          </w:pPr>
          <w:r>
            <w:t xml:space="preserve"> </w:t>
          </w:r>
          <w:r>
            <w:rPr>
              <w:lang w:val="en-CA" w:eastAsia="en-CA"/>
            </w:rPr>
            <w:drawing>
              <wp:inline distT="0" distB="0" distL="0" distR="0" wp14:anchorId="36163C60" wp14:editId="0E170EC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03025DA" w14:textId="77777777" w:rsidR="000C2D5C" w:rsidRPr="00252269" w:rsidRDefault="000C2D5C" w:rsidP="00252269">
          <w:pPr>
            <w:pStyle w:val="XLarge"/>
            <w:spacing w:before="109" w:line="390" w:lineRule="atLeast"/>
          </w:pPr>
          <w:r>
            <w:t>General Assembly</w:t>
          </w:r>
        </w:p>
      </w:tc>
      <w:tc>
        <w:tcPr>
          <w:tcW w:w="245" w:type="dxa"/>
          <w:tcBorders>
            <w:top w:val="single" w:sz="4" w:space="0" w:color="auto"/>
            <w:bottom w:val="single" w:sz="12" w:space="0" w:color="auto"/>
          </w:tcBorders>
          <w:shd w:val="clear" w:color="auto" w:fill="auto"/>
        </w:tcPr>
        <w:p w14:paraId="6228F462" w14:textId="77777777" w:rsidR="000C2D5C" w:rsidRPr="00252269" w:rsidRDefault="000C2D5C" w:rsidP="00252269">
          <w:pPr>
            <w:pStyle w:val="Header"/>
            <w:spacing w:before="109"/>
          </w:pPr>
        </w:p>
      </w:tc>
      <w:tc>
        <w:tcPr>
          <w:tcW w:w="3100" w:type="dxa"/>
          <w:tcBorders>
            <w:top w:val="single" w:sz="4" w:space="0" w:color="auto"/>
            <w:bottom w:val="single" w:sz="12" w:space="0" w:color="auto"/>
          </w:tcBorders>
          <w:shd w:val="clear" w:color="auto" w:fill="auto"/>
        </w:tcPr>
        <w:p w14:paraId="15B3E88B" w14:textId="48C5B6A3" w:rsidR="000C2D5C" w:rsidRDefault="000C2D5C" w:rsidP="00252269"/>
        <w:p w14:paraId="63FC553E" w14:textId="625F170B" w:rsidR="00965622" w:rsidRDefault="00965622" w:rsidP="00252269"/>
        <w:p w14:paraId="7503F3EF" w14:textId="33B20A17" w:rsidR="00965622" w:rsidRDefault="00965622" w:rsidP="00252269"/>
        <w:p w14:paraId="5039EE58" w14:textId="59798593" w:rsidR="00965622" w:rsidRPr="00965622" w:rsidRDefault="00965622" w:rsidP="00252269">
          <w:pPr>
            <w:rPr>
              <w:color w:val="FF0000"/>
            </w:rPr>
          </w:pPr>
        </w:p>
        <w:p w14:paraId="26064FEA" w14:textId="77777777" w:rsidR="00965622" w:rsidRPr="00965622" w:rsidRDefault="00965622" w:rsidP="00252269">
          <w:pPr>
            <w:rPr>
              <w:color w:val="FF0000"/>
            </w:rPr>
          </w:pPr>
        </w:p>
        <w:p w14:paraId="54DED6E3" w14:textId="747E5A5F" w:rsidR="000D7D65" w:rsidRPr="00965622" w:rsidRDefault="000D7D65" w:rsidP="000D7D65">
          <w:pPr>
            <w:rPr>
              <w:color w:val="FF0000"/>
            </w:rPr>
          </w:pPr>
          <w:r w:rsidRPr="00965622">
            <w:rPr>
              <w:color w:val="FF0000"/>
            </w:rPr>
            <w:t>NOT AN OFFICIAL DOCUMENT - FOR CONSULTATION ONLY</w:t>
          </w:r>
        </w:p>
        <w:p w14:paraId="1C4A9766" w14:textId="118C77DB" w:rsidR="000D7D65" w:rsidRPr="00252269" w:rsidRDefault="000D7D65" w:rsidP="00252269"/>
      </w:tc>
    </w:tr>
  </w:tbl>
  <w:p w14:paraId="0D6046D7" w14:textId="0A4BB447" w:rsidR="000C2D5C" w:rsidRPr="00252269" w:rsidRDefault="008E3FB5" w:rsidP="00252269">
    <w:pPr>
      <w:pStyle w:val="Header"/>
      <w:rPr>
        <w:sz w:val="2"/>
      </w:rPr>
    </w:pPr>
    <w:r>
      <w:pict w14:anchorId="715FF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752953" o:spid="_x0000_s2049" type="#_x0000_t136" style="position:absolute;margin-left:0;margin-top:0;width:495.75pt;height:198.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27C5"/>
    <w:multiLevelType w:val="hybridMultilevel"/>
    <w:tmpl w:val="23ACEF80"/>
    <w:lvl w:ilvl="0" w:tplc="2BFAA436">
      <w:start w:val="1"/>
      <w:numFmt w:val="decimal"/>
      <w:lvlText w:val="%1."/>
      <w:lvlJc w:val="left"/>
      <w:pPr>
        <w:ind w:left="1627" w:hanging="360"/>
      </w:pPr>
      <w:rPr>
        <w:rFonts w:hint="default"/>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3"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4" w15:restartNumberingAfterBreak="0">
    <w:nsid w:val="4D7C4E15"/>
    <w:multiLevelType w:val="singleLevel"/>
    <w:tmpl w:val="E00246A4"/>
    <w:lvl w:ilvl="0">
      <w:start w:val="1"/>
      <w:numFmt w:val="decimal"/>
      <w:lvlRestart w:val="0"/>
      <w:lvlText w:val="%1."/>
      <w:lvlJc w:val="left"/>
      <w:pPr>
        <w:tabs>
          <w:tab w:val="num" w:pos="475"/>
        </w:tabs>
        <w:ind w:left="0" w:firstLine="0"/>
      </w:pPr>
      <w:rPr>
        <w:spacing w:val="0"/>
        <w:w w:val="100"/>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6" w15:restartNumberingAfterBreak="0">
    <w:nsid w:val="7B257D52"/>
    <w:multiLevelType w:val="multilevel"/>
    <w:tmpl w:val="AEAA35A8"/>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1"/>
  </w:num>
  <w:num w:numId="2">
    <w:abstractNumId w:val="3"/>
  </w:num>
  <w:num w:numId="3">
    <w:abstractNumId w:val="5"/>
  </w:num>
  <w:num w:numId="4">
    <w:abstractNumId w:val="2"/>
  </w:num>
  <w:num w:numId="5">
    <w:abstractNumId w:val="6"/>
  </w:num>
  <w:num w:numId="6">
    <w:abstractNumId w:val="4"/>
    <w:lvlOverride w:ilvl="0">
      <w:lvl w:ilvl="0">
        <w:start w:val="1"/>
        <w:numFmt w:val="decimal"/>
        <w:lvlRestart w:val="0"/>
        <w:lvlText w:val="%1."/>
        <w:lvlJc w:val="left"/>
        <w:pPr>
          <w:ind w:left="270" w:firstLine="0"/>
        </w:pPr>
        <w:rPr>
          <w:spacing w:val="0"/>
          <w:w w:val="100"/>
        </w:rPr>
      </w:lvl>
    </w:lvlOverride>
  </w:num>
  <w:num w:numId="7">
    <w:abstractNumId w:val="4"/>
    <w:lvlOverride w:ilvl="0">
      <w:lvl w:ilvl="0">
        <w:start w:val="1"/>
        <w:numFmt w:val="decimal"/>
        <w:lvlRestart w:val="0"/>
        <w:lvlText w:val="%1."/>
        <w:lvlJc w:val="left"/>
        <w:pPr>
          <w:ind w:left="0" w:firstLine="0"/>
        </w:pPr>
        <w:rPr>
          <w:spacing w:val="0"/>
          <w:w w:val="100"/>
          <w:sz w:val="20"/>
          <w:szCs w:val="20"/>
        </w:rPr>
      </w:lvl>
    </w:lvlOverride>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475"/>
  <w:hyphenationZone w:val="20"/>
  <w:doNotHyphenateCaps/>
  <w:evenAndOddHeaders/>
  <w:characterSpacingControl w:val="doNotCompress"/>
  <w:hdrShapeDefaults>
    <o:shapedefaults v:ext="edit" spidmax="2052"/>
    <o:shapelayout v:ext="edit">
      <o:idmap v:ext="edit" data="2"/>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2002415*"/>
    <w:docVar w:name="CreationDt" w:val="07/05/2020 12:28:33"/>
    <w:docVar w:name="DocCategory" w:val="Doc"/>
    <w:docVar w:name="DocType" w:val="Final"/>
    <w:docVar w:name="DutyStation" w:val="Vienna"/>
    <w:docVar w:name="FooterJN" w:val="V.20-02415"/>
    <w:docVar w:name="jobn" w:val="V.20-02415 (E)"/>
    <w:docVar w:name="jobnDT" w:val="V.20-02415 (E)   070520"/>
    <w:docVar w:name="jobnDTDT" w:val="V.20-02415 (E)   070520   070520"/>
    <w:docVar w:name="JobNo" w:val="V.2002415E"/>
    <w:docVar w:name="JobNo2" w:val="2002415E"/>
    <w:docVar w:name="LocalDrive" w:val="0"/>
    <w:docVar w:name="OandT" w:val="JHK"/>
    <w:docVar w:name="sss1" w:val="A/CN.9/1011"/>
    <w:docVar w:name="sss2" w:val="-"/>
    <w:docVar w:name="Symbol1" w:val="A/CN.9/1011"/>
    <w:docVar w:name="Symbol2" w:val="-"/>
  </w:docVars>
  <w:rsids>
    <w:rsidRoot w:val="006D75F2"/>
    <w:rsid w:val="00000060"/>
    <w:rsid w:val="0000255E"/>
    <w:rsid w:val="00004394"/>
    <w:rsid w:val="00004428"/>
    <w:rsid w:val="00012805"/>
    <w:rsid w:val="0001325F"/>
    <w:rsid w:val="00017FCF"/>
    <w:rsid w:val="000218FB"/>
    <w:rsid w:val="00024D1E"/>
    <w:rsid w:val="000408AB"/>
    <w:rsid w:val="000475AD"/>
    <w:rsid w:val="000509F3"/>
    <w:rsid w:val="00062455"/>
    <w:rsid w:val="000704E5"/>
    <w:rsid w:val="000836CD"/>
    <w:rsid w:val="000849E1"/>
    <w:rsid w:val="000A427A"/>
    <w:rsid w:val="000A62F8"/>
    <w:rsid w:val="000B3288"/>
    <w:rsid w:val="000B5AFB"/>
    <w:rsid w:val="000C2D5C"/>
    <w:rsid w:val="000C3D0A"/>
    <w:rsid w:val="000C4C9C"/>
    <w:rsid w:val="000D073E"/>
    <w:rsid w:val="000D2C79"/>
    <w:rsid w:val="000D7D65"/>
    <w:rsid w:val="000E004B"/>
    <w:rsid w:val="000E1AB7"/>
    <w:rsid w:val="000E2EBB"/>
    <w:rsid w:val="000E4D48"/>
    <w:rsid w:val="000E7BAE"/>
    <w:rsid w:val="000E7F26"/>
    <w:rsid w:val="000F3126"/>
    <w:rsid w:val="000F5266"/>
    <w:rsid w:val="00116F8A"/>
    <w:rsid w:val="0011766D"/>
    <w:rsid w:val="00121D87"/>
    <w:rsid w:val="00123280"/>
    <w:rsid w:val="00131791"/>
    <w:rsid w:val="0014556D"/>
    <w:rsid w:val="00150878"/>
    <w:rsid w:val="00152625"/>
    <w:rsid w:val="0016254C"/>
    <w:rsid w:val="00166F3B"/>
    <w:rsid w:val="00175E1E"/>
    <w:rsid w:val="001825A6"/>
    <w:rsid w:val="00184E7F"/>
    <w:rsid w:val="00192F30"/>
    <w:rsid w:val="001A207A"/>
    <w:rsid w:val="001C22A4"/>
    <w:rsid w:val="001C58E2"/>
    <w:rsid w:val="001C66B8"/>
    <w:rsid w:val="001D79B0"/>
    <w:rsid w:val="001E05BB"/>
    <w:rsid w:val="001E683C"/>
    <w:rsid w:val="001E7101"/>
    <w:rsid w:val="001F2587"/>
    <w:rsid w:val="002007C7"/>
    <w:rsid w:val="00200F9C"/>
    <w:rsid w:val="00201732"/>
    <w:rsid w:val="00214645"/>
    <w:rsid w:val="00231298"/>
    <w:rsid w:val="00237BF8"/>
    <w:rsid w:val="002430C5"/>
    <w:rsid w:val="00243522"/>
    <w:rsid w:val="00246FD6"/>
    <w:rsid w:val="00252269"/>
    <w:rsid w:val="00257516"/>
    <w:rsid w:val="002706A2"/>
    <w:rsid w:val="00271FFA"/>
    <w:rsid w:val="00284079"/>
    <w:rsid w:val="00296FA9"/>
    <w:rsid w:val="002A2F68"/>
    <w:rsid w:val="002A52D7"/>
    <w:rsid w:val="002B1B64"/>
    <w:rsid w:val="002B27FC"/>
    <w:rsid w:val="002B6E72"/>
    <w:rsid w:val="002C49B9"/>
    <w:rsid w:val="002C633D"/>
    <w:rsid w:val="002D0BEE"/>
    <w:rsid w:val="002D3613"/>
    <w:rsid w:val="002D5AB8"/>
    <w:rsid w:val="002D7604"/>
    <w:rsid w:val="002E09A8"/>
    <w:rsid w:val="002E319D"/>
    <w:rsid w:val="002F0AA8"/>
    <w:rsid w:val="002F218A"/>
    <w:rsid w:val="002F3107"/>
    <w:rsid w:val="00300B6A"/>
    <w:rsid w:val="00310E30"/>
    <w:rsid w:val="00314447"/>
    <w:rsid w:val="00325411"/>
    <w:rsid w:val="00346E64"/>
    <w:rsid w:val="003629AA"/>
    <w:rsid w:val="00371A3B"/>
    <w:rsid w:val="00377120"/>
    <w:rsid w:val="00380398"/>
    <w:rsid w:val="00380A30"/>
    <w:rsid w:val="00383625"/>
    <w:rsid w:val="003A0A16"/>
    <w:rsid w:val="003B54EF"/>
    <w:rsid w:val="003D159A"/>
    <w:rsid w:val="003D2EAB"/>
    <w:rsid w:val="003E3B08"/>
    <w:rsid w:val="003E53D8"/>
    <w:rsid w:val="003E723B"/>
    <w:rsid w:val="003F25BA"/>
    <w:rsid w:val="00406FCA"/>
    <w:rsid w:val="004113EC"/>
    <w:rsid w:val="00411A24"/>
    <w:rsid w:val="00415EA9"/>
    <w:rsid w:val="00430767"/>
    <w:rsid w:val="004409C2"/>
    <w:rsid w:val="00440F92"/>
    <w:rsid w:val="0044179B"/>
    <w:rsid w:val="00444805"/>
    <w:rsid w:val="00452A38"/>
    <w:rsid w:val="00455FB0"/>
    <w:rsid w:val="00460A31"/>
    <w:rsid w:val="00461DD5"/>
    <w:rsid w:val="00473F65"/>
    <w:rsid w:val="00476914"/>
    <w:rsid w:val="004856CD"/>
    <w:rsid w:val="0049156E"/>
    <w:rsid w:val="00492ED8"/>
    <w:rsid w:val="004A199E"/>
    <w:rsid w:val="004A64D2"/>
    <w:rsid w:val="004A6554"/>
    <w:rsid w:val="004A703C"/>
    <w:rsid w:val="004B0B18"/>
    <w:rsid w:val="004B4C46"/>
    <w:rsid w:val="004B5A09"/>
    <w:rsid w:val="004C3B1F"/>
    <w:rsid w:val="004C7337"/>
    <w:rsid w:val="004D17DB"/>
    <w:rsid w:val="004D187F"/>
    <w:rsid w:val="004E2D09"/>
    <w:rsid w:val="004E5FE2"/>
    <w:rsid w:val="004F15D4"/>
    <w:rsid w:val="004F7C8F"/>
    <w:rsid w:val="00503886"/>
    <w:rsid w:val="005154F7"/>
    <w:rsid w:val="005239E2"/>
    <w:rsid w:val="00525648"/>
    <w:rsid w:val="0052622A"/>
    <w:rsid w:val="00531BFC"/>
    <w:rsid w:val="00532313"/>
    <w:rsid w:val="00536FC7"/>
    <w:rsid w:val="0054091E"/>
    <w:rsid w:val="00541C3A"/>
    <w:rsid w:val="005530C3"/>
    <w:rsid w:val="00556720"/>
    <w:rsid w:val="0056350E"/>
    <w:rsid w:val="00564E7E"/>
    <w:rsid w:val="005676F9"/>
    <w:rsid w:val="0058283C"/>
    <w:rsid w:val="005914AB"/>
    <w:rsid w:val="00593D33"/>
    <w:rsid w:val="005A1CBD"/>
    <w:rsid w:val="005A2C8C"/>
    <w:rsid w:val="005B47FD"/>
    <w:rsid w:val="005B51AD"/>
    <w:rsid w:val="005B6EE1"/>
    <w:rsid w:val="005C49C8"/>
    <w:rsid w:val="005D2071"/>
    <w:rsid w:val="005D3F17"/>
    <w:rsid w:val="005E1677"/>
    <w:rsid w:val="005E55D5"/>
    <w:rsid w:val="005F2F1C"/>
    <w:rsid w:val="005F4F13"/>
    <w:rsid w:val="006027DA"/>
    <w:rsid w:val="00603F2C"/>
    <w:rsid w:val="00612565"/>
    <w:rsid w:val="00612A8A"/>
    <w:rsid w:val="006137E4"/>
    <w:rsid w:val="00632445"/>
    <w:rsid w:val="00632D5E"/>
    <w:rsid w:val="0063595F"/>
    <w:rsid w:val="00636929"/>
    <w:rsid w:val="00637829"/>
    <w:rsid w:val="0064252E"/>
    <w:rsid w:val="00651750"/>
    <w:rsid w:val="00661FC2"/>
    <w:rsid w:val="00663911"/>
    <w:rsid w:val="00664E5A"/>
    <w:rsid w:val="00667EC1"/>
    <w:rsid w:val="00670329"/>
    <w:rsid w:val="00674235"/>
    <w:rsid w:val="00683109"/>
    <w:rsid w:val="006A16BD"/>
    <w:rsid w:val="006B02E3"/>
    <w:rsid w:val="006B5CBD"/>
    <w:rsid w:val="006C792F"/>
    <w:rsid w:val="006D4694"/>
    <w:rsid w:val="006D6278"/>
    <w:rsid w:val="006D65D7"/>
    <w:rsid w:val="006D75F2"/>
    <w:rsid w:val="006E18DD"/>
    <w:rsid w:val="006E19F3"/>
    <w:rsid w:val="006E2FA3"/>
    <w:rsid w:val="006F67F9"/>
    <w:rsid w:val="00707CAD"/>
    <w:rsid w:val="00707E47"/>
    <w:rsid w:val="007174B7"/>
    <w:rsid w:val="0073270D"/>
    <w:rsid w:val="00746C9F"/>
    <w:rsid w:val="00747697"/>
    <w:rsid w:val="007521BA"/>
    <w:rsid w:val="00756778"/>
    <w:rsid w:val="00764DD9"/>
    <w:rsid w:val="00777887"/>
    <w:rsid w:val="007821B2"/>
    <w:rsid w:val="00783AE5"/>
    <w:rsid w:val="007947CF"/>
    <w:rsid w:val="00795CEA"/>
    <w:rsid w:val="00795F36"/>
    <w:rsid w:val="007A0177"/>
    <w:rsid w:val="007A29E5"/>
    <w:rsid w:val="007A42AF"/>
    <w:rsid w:val="007A4C14"/>
    <w:rsid w:val="007A540B"/>
    <w:rsid w:val="007A620C"/>
    <w:rsid w:val="007A6711"/>
    <w:rsid w:val="007C432C"/>
    <w:rsid w:val="007E67D8"/>
    <w:rsid w:val="007F0A73"/>
    <w:rsid w:val="007F1EE6"/>
    <w:rsid w:val="007F4CFF"/>
    <w:rsid w:val="007F6BBC"/>
    <w:rsid w:val="008030E2"/>
    <w:rsid w:val="00804C9E"/>
    <w:rsid w:val="00811400"/>
    <w:rsid w:val="008146FA"/>
    <w:rsid w:val="0081506A"/>
    <w:rsid w:val="00846D29"/>
    <w:rsid w:val="00851D98"/>
    <w:rsid w:val="00855FFA"/>
    <w:rsid w:val="00857917"/>
    <w:rsid w:val="00861F4F"/>
    <w:rsid w:val="008723C3"/>
    <w:rsid w:val="00881D47"/>
    <w:rsid w:val="00890050"/>
    <w:rsid w:val="00890662"/>
    <w:rsid w:val="0089085F"/>
    <w:rsid w:val="00895B1A"/>
    <w:rsid w:val="008A156F"/>
    <w:rsid w:val="008A434E"/>
    <w:rsid w:val="008B2236"/>
    <w:rsid w:val="008D539F"/>
    <w:rsid w:val="008E2513"/>
    <w:rsid w:val="008E3FB5"/>
    <w:rsid w:val="008F1C5D"/>
    <w:rsid w:val="00901EC9"/>
    <w:rsid w:val="00902A56"/>
    <w:rsid w:val="00902D0E"/>
    <w:rsid w:val="00903FCB"/>
    <w:rsid w:val="0091606B"/>
    <w:rsid w:val="0092561C"/>
    <w:rsid w:val="009367E4"/>
    <w:rsid w:val="00943BE1"/>
    <w:rsid w:val="00947922"/>
    <w:rsid w:val="00947C23"/>
    <w:rsid w:val="009517EC"/>
    <w:rsid w:val="0095373C"/>
    <w:rsid w:val="0096140F"/>
    <w:rsid w:val="00965622"/>
    <w:rsid w:val="00972EFC"/>
    <w:rsid w:val="00977851"/>
    <w:rsid w:val="00980467"/>
    <w:rsid w:val="0098787D"/>
    <w:rsid w:val="00992F85"/>
    <w:rsid w:val="00994D27"/>
    <w:rsid w:val="0099637B"/>
    <w:rsid w:val="009B3F78"/>
    <w:rsid w:val="009C0A74"/>
    <w:rsid w:val="009C11F9"/>
    <w:rsid w:val="009D4AE7"/>
    <w:rsid w:val="009E0663"/>
    <w:rsid w:val="009E14E9"/>
    <w:rsid w:val="009E1969"/>
    <w:rsid w:val="009E3871"/>
    <w:rsid w:val="009E6CB2"/>
    <w:rsid w:val="009F6148"/>
    <w:rsid w:val="00A16480"/>
    <w:rsid w:val="00A20AC0"/>
    <w:rsid w:val="00A266DC"/>
    <w:rsid w:val="00A30DCB"/>
    <w:rsid w:val="00A30ED6"/>
    <w:rsid w:val="00A32A01"/>
    <w:rsid w:val="00A3665D"/>
    <w:rsid w:val="00A412A3"/>
    <w:rsid w:val="00A43076"/>
    <w:rsid w:val="00A57FBE"/>
    <w:rsid w:val="00A62F6B"/>
    <w:rsid w:val="00A64F68"/>
    <w:rsid w:val="00A65457"/>
    <w:rsid w:val="00A65B42"/>
    <w:rsid w:val="00A67B69"/>
    <w:rsid w:val="00A73452"/>
    <w:rsid w:val="00A81678"/>
    <w:rsid w:val="00A93A73"/>
    <w:rsid w:val="00A95CC4"/>
    <w:rsid w:val="00A9697F"/>
    <w:rsid w:val="00AA2E74"/>
    <w:rsid w:val="00AA31F4"/>
    <w:rsid w:val="00AB2BAB"/>
    <w:rsid w:val="00AB42E0"/>
    <w:rsid w:val="00AC0076"/>
    <w:rsid w:val="00AC617F"/>
    <w:rsid w:val="00AD26D4"/>
    <w:rsid w:val="00AE72A3"/>
    <w:rsid w:val="00B02E60"/>
    <w:rsid w:val="00B14879"/>
    <w:rsid w:val="00B2110D"/>
    <w:rsid w:val="00B27E2C"/>
    <w:rsid w:val="00B34822"/>
    <w:rsid w:val="00B40842"/>
    <w:rsid w:val="00B4359D"/>
    <w:rsid w:val="00B524DF"/>
    <w:rsid w:val="00B56A03"/>
    <w:rsid w:val="00B56BE9"/>
    <w:rsid w:val="00B608E0"/>
    <w:rsid w:val="00B7059B"/>
    <w:rsid w:val="00B737B1"/>
    <w:rsid w:val="00B81D6D"/>
    <w:rsid w:val="00B90F09"/>
    <w:rsid w:val="00B92CC5"/>
    <w:rsid w:val="00B93E6C"/>
    <w:rsid w:val="00B95410"/>
    <w:rsid w:val="00BA666B"/>
    <w:rsid w:val="00BB0C34"/>
    <w:rsid w:val="00BB5C57"/>
    <w:rsid w:val="00BB5C7D"/>
    <w:rsid w:val="00BC09BB"/>
    <w:rsid w:val="00BC233F"/>
    <w:rsid w:val="00BD3FB8"/>
    <w:rsid w:val="00BE196B"/>
    <w:rsid w:val="00BE2B0E"/>
    <w:rsid w:val="00BE3768"/>
    <w:rsid w:val="00BF2A24"/>
    <w:rsid w:val="00BF5B27"/>
    <w:rsid w:val="00BF62C0"/>
    <w:rsid w:val="00BF6BE0"/>
    <w:rsid w:val="00C33C6B"/>
    <w:rsid w:val="00C44797"/>
    <w:rsid w:val="00C57738"/>
    <w:rsid w:val="00C66181"/>
    <w:rsid w:val="00C717D6"/>
    <w:rsid w:val="00C779E4"/>
    <w:rsid w:val="00C9144C"/>
    <w:rsid w:val="00C93570"/>
    <w:rsid w:val="00C96618"/>
    <w:rsid w:val="00CA6785"/>
    <w:rsid w:val="00CC3D17"/>
    <w:rsid w:val="00CD4AC4"/>
    <w:rsid w:val="00CD78F5"/>
    <w:rsid w:val="00CD7AE7"/>
    <w:rsid w:val="00CE0811"/>
    <w:rsid w:val="00CE1A35"/>
    <w:rsid w:val="00CF7580"/>
    <w:rsid w:val="00D0140E"/>
    <w:rsid w:val="00D01FED"/>
    <w:rsid w:val="00D076E0"/>
    <w:rsid w:val="00D1360D"/>
    <w:rsid w:val="00D140E1"/>
    <w:rsid w:val="00D26A24"/>
    <w:rsid w:val="00D3027E"/>
    <w:rsid w:val="00D35EBB"/>
    <w:rsid w:val="00D405C1"/>
    <w:rsid w:val="00D42722"/>
    <w:rsid w:val="00D47675"/>
    <w:rsid w:val="00D511A7"/>
    <w:rsid w:val="00D52532"/>
    <w:rsid w:val="00D526E8"/>
    <w:rsid w:val="00D622A2"/>
    <w:rsid w:val="00D64ADB"/>
    <w:rsid w:val="00D7007D"/>
    <w:rsid w:val="00D72CA0"/>
    <w:rsid w:val="00D74C75"/>
    <w:rsid w:val="00D94A42"/>
    <w:rsid w:val="00DB2678"/>
    <w:rsid w:val="00DB2B15"/>
    <w:rsid w:val="00DC491F"/>
    <w:rsid w:val="00DC692F"/>
    <w:rsid w:val="00DC7B16"/>
    <w:rsid w:val="00DD0E55"/>
    <w:rsid w:val="00DD19A6"/>
    <w:rsid w:val="00DD2C58"/>
    <w:rsid w:val="00DD42F7"/>
    <w:rsid w:val="00DE076C"/>
    <w:rsid w:val="00DE378A"/>
    <w:rsid w:val="00DE53C8"/>
    <w:rsid w:val="00DF1FA0"/>
    <w:rsid w:val="00DF522A"/>
    <w:rsid w:val="00DF6474"/>
    <w:rsid w:val="00E020EF"/>
    <w:rsid w:val="00E05777"/>
    <w:rsid w:val="00E33B3F"/>
    <w:rsid w:val="00E438E8"/>
    <w:rsid w:val="00E46C7F"/>
    <w:rsid w:val="00E50B0E"/>
    <w:rsid w:val="00E53BC2"/>
    <w:rsid w:val="00E53D32"/>
    <w:rsid w:val="00E720F1"/>
    <w:rsid w:val="00E74E90"/>
    <w:rsid w:val="00E862FD"/>
    <w:rsid w:val="00E870C2"/>
    <w:rsid w:val="00E92AC5"/>
    <w:rsid w:val="00E96FCF"/>
    <w:rsid w:val="00EA4DDD"/>
    <w:rsid w:val="00EC09A6"/>
    <w:rsid w:val="00EC7072"/>
    <w:rsid w:val="00ED0016"/>
    <w:rsid w:val="00ED1094"/>
    <w:rsid w:val="00ED42F5"/>
    <w:rsid w:val="00ED5AA7"/>
    <w:rsid w:val="00EE1E72"/>
    <w:rsid w:val="00EE570F"/>
    <w:rsid w:val="00F1608A"/>
    <w:rsid w:val="00F25151"/>
    <w:rsid w:val="00F27BF6"/>
    <w:rsid w:val="00F30184"/>
    <w:rsid w:val="00F315AB"/>
    <w:rsid w:val="00F40458"/>
    <w:rsid w:val="00F404B5"/>
    <w:rsid w:val="00F44C93"/>
    <w:rsid w:val="00F51386"/>
    <w:rsid w:val="00F5593E"/>
    <w:rsid w:val="00F56BA2"/>
    <w:rsid w:val="00F6553D"/>
    <w:rsid w:val="00F66E5B"/>
    <w:rsid w:val="00F70F8F"/>
    <w:rsid w:val="00F72B00"/>
    <w:rsid w:val="00F7600D"/>
    <w:rsid w:val="00F83AAF"/>
    <w:rsid w:val="00F85F73"/>
    <w:rsid w:val="00F8600E"/>
    <w:rsid w:val="00F874E3"/>
    <w:rsid w:val="00F87A09"/>
    <w:rsid w:val="00F94BC6"/>
    <w:rsid w:val="00F96AC4"/>
    <w:rsid w:val="00F96CF0"/>
    <w:rsid w:val="00FA06F8"/>
    <w:rsid w:val="00FB5275"/>
    <w:rsid w:val="00FC2973"/>
    <w:rsid w:val="00FC3B48"/>
    <w:rsid w:val="00FC49F5"/>
    <w:rsid w:val="00FD088D"/>
    <w:rsid w:val="00FD2468"/>
    <w:rsid w:val="00FF27FD"/>
    <w:rsid w:val="00FF79C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ED295D9"/>
  <w15:chartTrackingRefBased/>
  <w15:docId w15:val="{4941A45F-FBC5-4952-9CAC-8BE7D2E9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313"/>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unhideWhenUsed/>
    <w:qFormat/>
    <w:rsid w:val="003A0A16"/>
    <w:pPr>
      <w:numPr>
        <w:ilvl w:val="6"/>
        <w:numId w:val="5"/>
      </w:numPr>
      <w:outlineLvl w:val="6"/>
    </w:pPr>
    <w:rPr>
      <w:rFonts w:ascii="Cambria" w:eastAsia="Times New Roman" w:hAnsi="Cambria"/>
      <w:i/>
      <w:iCs/>
    </w:rPr>
  </w:style>
  <w:style w:type="paragraph" w:styleId="Heading8">
    <w:name w:val="heading 8"/>
    <w:basedOn w:val="Normal"/>
    <w:next w:val="Normal"/>
    <w:link w:val="Heading8Char"/>
    <w:uiPriority w:val="9"/>
    <w:unhideWhenUsed/>
    <w:qFormat/>
    <w:rsid w:val="003A0A16"/>
    <w:pPr>
      <w:numPr>
        <w:ilvl w:val="7"/>
        <w:numId w:val="5"/>
      </w:numPr>
      <w:outlineLvl w:val="7"/>
    </w:pPr>
    <w:rPr>
      <w:rFonts w:ascii="Cambria" w:eastAsia="Times New Roman" w:hAnsi="Cambria"/>
    </w:rPr>
  </w:style>
  <w:style w:type="paragraph" w:styleId="Heading9">
    <w:name w:val="heading 9"/>
    <w:basedOn w:val="Normal"/>
    <w:next w:val="Normal"/>
    <w:link w:val="Heading9Char"/>
    <w:uiPriority w:val="9"/>
    <w:unhideWhenUsed/>
    <w:qFormat/>
    <w:rsid w:val="003A0A16"/>
    <w:pPr>
      <w:numPr>
        <w:ilvl w:val="8"/>
        <w:numId w:val="5"/>
      </w:num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4F7C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Ch">
    <w:name w:val="_ H _Ch"/>
    <w:basedOn w:val="H1"/>
    <w:next w:val="SingleTxt"/>
    <w:rsid w:val="004F7C8F"/>
    <w:pPr>
      <w:spacing w:line="300" w:lineRule="exact"/>
      <w:ind w:left="0" w:right="0" w:firstLine="0"/>
    </w:pPr>
    <w:rPr>
      <w:spacing w:val="-2"/>
      <w:sz w:val="28"/>
    </w:rPr>
  </w:style>
  <w:style w:type="paragraph" w:customStyle="1" w:styleId="HM">
    <w:name w:val="_ H __M"/>
    <w:basedOn w:val="HCh"/>
    <w:next w:val="Normal"/>
    <w:rsid w:val="004F7C8F"/>
    <w:pPr>
      <w:spacing w:line="360" w:lineRule="exact"/>
    </w:pPr>
    <w:rPr>
      <w:spacing w:val="-3"/>
      <w:w w:val="99"/>
      <w:sz w:val="34"/>
    </w:rPr>
  </w:style>
  <w:style w:type="paragraph" w:customStyle="1" w:styleId="H23">
    <w:name w:val="_ H_2/3"/>
    <w:basedOn w:val="H1"/>
    <w:next w:val="DualTxt"/>
    <w:rsid w:val="004F7C8F"/>
    <w:pPr>
      <w:spacing w:line="240" w:lineRule="exact"/>
      <w:outlineLvl w:val="1"/>
    </w:pPr>
    <w:rPr>
      <w:spacing w:val="2"/>
      <w:sz w:val="20"/>
    </w:rPr>
  </w:style>
  <w:style w:type="paragraph" w:customStyle="1" w:styleId="H4">
    <w:name w:val="_ H_4"/>
    <w:basedOn w:val="Normal"/>
    <w:next w:val="SingleTxt"/>
    <w:rsid w:val="004F7C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4F7C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4F7C8F"/>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4F7C8F"/>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4F7C8F"/>
    <w:pPr>
      <w:spacing w:line="540" w:lineRule="exact"/>
    </w:pPr>
    <w:rPr>
      <w:spacing w:val="-8"/>
      <w:w w:val="96"/>
      <w:sz w:val="57"/>
    </w:rPr>
  </w:style>
  <w:style w:type="paragraph" w:customStyle="1" w:styleId="SS">
    <w:name w:val="__S_S"/>
    <w:basedOn w:val="HCh"/>
    <w:next w:val="Normal"/>
    <w:rsid w:val="004F7C8F"/>
    <w:pPr>
      <w:ind w:left="1267" w:right="1267"/>
    </w:pPr>
  </w:style>
  <w:style w:type="paragraph" w:customStyle="1" w:styleId="SingleTxt">
    <w:name w:val="__Single Txt"/>
    <w:basedOn w:val="Normal"/>
    <w:link w:val="SingleTxtChar"/>
    <w:qFormat/>
    <w:rsid w:val="004F7C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paragraph" w:customStyle="1" w:styleId="AgendaItemNormal">
    <w:name w:val="Agenda_Item_Normal"/>
    <w:next w:val="Normal"/>
    <w:qFormat/>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4F7C8F"/>
    <w:pPr>
      <w:keepNext w:val="0"/>
      <w:keepLines w:val="0"/>
    </w:pPr>
  </w:style>
  <w:style w:type="paragraph" w:customStyle="1" w:styleId="AgendaTitleH2">
    <w:name w:val="Agenda_Title_H2"/>
    <w:basedOn w:val="TitleH1"/>
    <w:next w:val="Normal"/>
    <w:qFormat/>
    <w:rsid w:val="004F7C8F"/>
    <w:pPr>
      <w:keepNext/>
      <w:keepLines/>
      <w:spacing w:line="240" w:lineRule="exact"/>
      <w:ind w:left="0" w:firstLine="0"/>
      <w:outlineLvl w:val="1"/>
    </w:pPr>
    <w:rPr>
      <w:sz w:val="20"/>
    </w:rPr>
  </w:style>
  <w:style w:type="paragraph" w:styleId="BalloonText">
    <w:name w:val="Balloon Text"/>
    <w:basedOn w:val="Normal"/>
    <w:link w:val="BalloonTextChar"/>
    <w:semiHidden/>
    <w:rsid w:val="004F7C8F"/>
    <w:rPr>
      <w:rFonts w:ascii="Tahoma" w:hAnsi="Tahoma" w:cs="Tahoma"/>
      <w:sz w:val="16"/>
      <w:szCs w:val="16"/>
    </w:rPr>
  </w:style>
  <w:style w:type="character" w:customStyle="1" w:styleId="BalloonTextChar">
    <w:name w:val="Balloon Text Char"/>
    <w:basedOn w:val="DefaultParagraphFont"/>
    <w:link w:val="BalloonText"/>
    <w:semiHidden/>
    <w:rsid w:val="004F7C8F"/>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4F7C8F"/>
    <w:pPr>
      <w:numPr>
        <w:numId w:val="3"/>
      </w:numPr>
      <w:spacing w:after="120"/>
      <w:ind w:right="1267"/>
      <w:jc w:val="both"/>
    </w:pPr>
  </w:style>
  <w:style w:type="paragraph" w:customStyle="1" w:styleId="Bullet2">
    <w:name w:val="Bullet 2"/>
    <w:basedOn w:val="Normal"/>
    <w:qFormat/>
    <w:rsid w:val="003A0A16"/>
    <w:pPr>
      <w:numPr>
        <w:numId w:val="1"/>
      </w:numPr>
      <w:spacing w:after="120"/>
      <w:ind w:right="1264"/>
      <w:jc w:val="both"/>
    </w:pPr>
  </w:style>
  <w:style w:type="paragraph" w:customStyle="1" w:styleId="Bullet3">
    <w:name w:val="Bullet 3"/>
    <w:basedOn w:val="SingleTxt"/>
    <w:qFormat/>
    <w:rsid w:val="004F7C8F"/>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semiHidden/>
    <w:rsid w:val="004F7C8F"/>
    <w:rPr>
      <w:sz w:val="6"/>
    </w:rPr>
  </w:style>
  <w:style w:type="paragraph" w:customStyle="1" w:styleId="Distribution">
    <w:name w:val="Distribution"/>
    <w:next w:val="Normal"/>
    <w:rsid w:val="004F7C8F"/>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4F7C8F"/>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F7C8F"/>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uiPriority w:val="99"/>
    <w:rsid w:val="004F7C8F"/>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4F7C8F"/>
  </w:style>
  <w:style w:type="character" w:customStyle="1" w:styleId="EndnoteTextChar">
    <w:name w:val="Endnote Text Char"/>
    <w:basedOn w:val="DefaultParagraphFont"/>
    <w:link w:val="EndnoteText"/>
    <w:semiHidden/>
    <w:rsid w:val="004F7C8F"/>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4F7C8F"/>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4F7C8F"/>
    <w:rPr>
      <w:rFonts w:ascii="Times New Roman" w:eastAsiaTheme="minorHAnsi" w:hAnsi="Times New Roman" w:cs="Times New Roman"/>
      <w:b/>
      <w:noProof/>
      <w:sz w:val="17"/>
      <w:szCs w:val="20"/>
      <w:lang w:val="en-US" w:eastAsia="en-US"/>
    </w:rPr>
  </w:style>
  <w:style w:type="character" w:styleId="FootnoteReference">
    <w:name w:val="footnote reference"/>
    <w:aliases w:val="BVI fnr,Footnote,Ref,Ref. de nota al pie,de nota al pie,ftref,Знак сноски 1"/>
    <w:uiPriority w:val="99"/>
    <w:rsid w:val="004F7C8F"/>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4F7C8F"/>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4F7C8F"/>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4F7C8F"/>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2"/>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4F7C8F"/>
    <w:pPr>
      <w:tabs>
        <w:tab w:val="right" w:pos="9965"/>
      </w:tabs>
      <w:spacing w:line="210" w:lineRule="exact"/>
    </w:pPr>
    <w:rPr>
      <w:spacing w:val="5"/>
      <w:w w:val="104"/>
      <w:sz w:val="17"/>
    </w:rPr>
  </w:style>
  <w:style w:type="paragraph" w:customStyle="1" w:styleId="SmallX">
    <w:name w:val="SmallX"/>
    <w:basedOn w:val="Small"/>
    <w:next w:val="Normal"/>
    <w:rsid w:val="004F7C8F"/>
    <w:pPr>
      <w:spacing w:line="180" w:lineRule="exact"/>
      <w:jc w:val="right"/>
    </w:pPr>
    <w:rPr>
      <w:spacing w:val="6"/>
      <w:w w:val="106"/>
      <w:sz w:val="14"/>
    </w:rPr>
  </w:style>
  <w:style w:type="paragraph" w:customStyle="1" w:styleId="TitleHCH">
    <w:name w:val="Title_H_CH"/>
    <w:basedOn w:val="Normal"/>
    <w:next w:val="SingleTxt"/>
    <w:qFormat/>
    <w:rsid w:val="004F7C8F"/>
  </w:style>
  <w:style w:type="paragraph" w:customStyle="1" w:styleId="TitleH2">
    <w:name w:val="Title_H2"/>
    <w:basedOn w:val="H23"/>
    <w:qFormat/>
    <w:rsid w:val="004F7C8F"/>
  </w:style>
  <w:style w:type="paragraph" w:styleId="TOCHeading">
    <w:name w:val="TOC Heading"/>
    <w:basedOn w:val="Heading1"/>
    <w:next w:val="Normal"/>
    <w:uiPriority w:val="39"/>
    <w:unhideWhenUsed/>
    <w:qFormat/>
    <w:rsid w:val="003A0A16"/>
    <w:pPr>
      <w:outlineLvl w:val="9"/>
    </w:pPr>
    <w:rPr>
      <w:rFonts w:eastAsiaTheme="majorEastAsia" w:cstheme="majorBidi"/>
      <w:lang w:bidi="en-US"/>
    </w:rPr>
  </w:style>
  <w:style w:type="paragraph" w:customStyle="1" w:styleId="XLarge">
    <w:name w:val="XLarge"/>
    <w:basedOn w:val="HM"/>
    <w:rsid w:val="004F7C8F"/>
    <w:pPr>
      <w:spacing w:line="390" w:lineRule="exact"/>
    </w:pPr>
    <w:rPr>
      <w:spacing w:val="-4"/>
      <w:w w:val="98"/>
      <w:sz w:val="40"/>
    </w:rPr>
  </w:style>
  <w:style w:type="character" w:styleId="Hyperlink">
    <w:name w:val="Hyperlink"/>
    <w:basedOn w:val="DefaultParagraphFont"/>
    <w:uiPriority w:val="99"/>
    <w:rsid w:val="004F7C8F"/>
    <w:rPr>
      <w:color w:val="0000FF" w:themeColor="hyperlink"/>
      <w:u w:val="none"/>
    </w:rPr>
  </w:style>
  <w:style w:type="paragraph" w:styleId="PlainText">
    <w:name w:val="Plain Text"/>
    <w:basedOn w:val="Normal"/>
    <w:link w:val="PlainTextChar"/>
    <w:rsid w:val="004F7C8F"/>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4F7C8F"/>
    <w:rPr>
      <w:rFonts w:ascii="Courier New" w:eastAsia="Times New Roman" w:hAnsi="Courier New" w:cs="Times New Roman"/>
      <w:sz w:val="20"/>
      <w:szCs w:val="20"/>
      <w:lang w:val="en-US" w:eastAsia="en-GB"/>
    </w:rPr>
  </w:style>
  <w:style w:type="paragraph" w:customStyle="1" w:styleId="ReleaseDate0">
    <w:name w:val="Release Date"/>
    <w:next w:val="Footer"/>
    <w:rsid w:val="004F7C8F"/>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4F7C8F"/>
    <w:pPr>
      <w:ind w:left="0" w:firstLine="0"/>
    </w:pPr>
    <w:rPr>
      <w:spacing w:val="4"/>
    </w:rPr>
  </w:style>
  <w:style w:type="table" w:styleId="TableGrid">
    <w:name w:val="Table Grid"/>
    <w:basedOn w:val="TableNormal"/>
    <w:uiPriority w:val="59"/>
    <w:rsid w:val="004F7C8F"/>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eastAsiaTheme="minorHAnsi"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pPr>
  </w:style>
  <w:style w:type="paragraph" w:customStyle="1" w:styleId="AgendaItemNumber">
    <w:name w:val="Agenda_Item_Number"/>
    <w:next w:val="Normal"/>
    <w:qFormat/>
    <w:rsid w:val="003A0A16"/>
    <w:pPr>
      <w:spacing w:after="0" w:line="240" w:lineRule="exact"/>
    </w:pPr>
    <w:rPr>
      <w:rFonts w:ascii="Times New Roman" w:eastAsiaTheme="minorHAnsi"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semiHidden/>
    <w:unhideWhenUsed/>
    <w:rsid w:val="00252269"/>
    <w:pPr>
      <w:spacing w:line="240" w:lineRule="auto"/>
    </w:pPr>
  </w:style>
  <w:style w:type="character" w:customStyle="1" w:styleId="CommentTextChar">
    <w:name w:val="Comment Text Char"/>
    <w:basedOn w:val="DefaultParagraphFont"/>
    <w:link w:val="CommentText"/>
    <w:uiPriority w:val="99"/>
    <w:semiHidden/>
    <w:rsid w:val="00252269"/>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52269"/>
    <w:rPr>
      <w:b/>
      <w:bCs/>
    </w:rPr>
  </w:style>
  <w:style w:type="character" w:customStyle="1" w:styleId="CommentSubjectChar">
    <w:name w:val="Comment Subject Char"/>
    <w:basedOn w:val="CommentTextChar"/>
    <w:link w:val="CommentSubject"/>
    <w:uiPriority w:val="99"/>
    <w:semiHidden/>
    <w:rsid w:val="00252269"/>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440F92"/>
    <w:pPr>
      <w:ind w:left="720"/>
      <w:contextualSpacing/>
    </w:pPr>
  </w:style>
  <w:style w:type="character" w:customStyle="1" w:styleId="UnresolvedMention1">
    <w:name w:val="Unresolved Mention1"/>
    <w:basedOn w:val="DefaultParagraphFont"/>
    <w:uiPriority w:val="99"/>
    <w:semiHidden/>
    <w:unhideWhenUsed/>
    <w:rsid w:val="00A3665D"/>
    <w:rPr>
      <w:color w:val="605E5C"/>
      <w:shd w:val="clear" w:color="auto" w:fill="E1DFDD"/>
    </w:rPr>
  </w:style>
  <w:style w:type="paragraph" w:styleId="Revision">
    <w:name w:val="Revision"/>
    <w:hidden/>
    <w:uiPriority w:val="99"/>
    <w:semiHidden/>
    <w:rsid w:val="00A3665D"/>
    <w:pPr>
      <w:spacing w:after="0" w:line="240" w:lineRule="auto"/>
    </w:pPr>
    <w:rPr>
      <w:rFonts w:ascii="Times New Roman" w:eastAsiaTheme="minorHAnsi" w:hAnsi="Times New Roman" w:cs="Times New Roman"/>
      <w:spacing w:val="4"/>
      <w:w w:val="103"/>
      <w:kern w:val="14"/>
      <w:sz w:val="20"/>
      <w:szCs w:val="20"/>
      <w:lang w:eastAsia="en-US"/>
    </w:rPr>
  </w:style>
  <w:style w:type="character" w:customStyle="1" w:styleId="None">
    <w:name w:val="None"/>
    <w:rsid w:val="00A3665D"/>
  </w:style>
  <w:style w:type="paragraph" w:customStyle="1" w:styleId="Default">
    <w:name w:val="Default"/>
    <w:rsid w:val="00A3665D"/>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14:textOutline w14:w="12700" w14:cap="flat" w14:cmpd="sng" w14:algn="ctr">
        <w14:noFill/>
        <w14:prstDash w14:val="solid"/>
        <w14:miter w14:lim="400000"/>
      </w14:textOutline>
    </w:rPr>
  </w:style>
  <w:style w:type="character" w:customStyle="1" w:styleId="SingleTxtChar">
    <w:name w:val="__Single Txt Char"/>
    <w:basedOn w:val="HeaderChar"/>
    <w:link w:val="SingleTxt"/>
    <w:qFormat/>
    <w:rsid w:val="00A3665D"/>
    <w:rPr>
      <w:rFonts w:ascii="Times New Roman" w:eastAsiaTheme="minorHAnsi" w:hAnsi="Times New Roman" w:cs="Times New Roman"/>
      <w:noProof/>
      <w:spacing w:val="4"/>
      <w:w w:val="103"/>
      <w:kern w:val="14"/>
      <w:sz w:val="20"/>
      <w:szCs w:val="20"/>
      <w:lang w:val="en-US" w:eastAsia="en-US"/>
    </w:rPr>
  </w:style>
  <w:style w:type="paragraph" w:styleId="TOC1">
    <w:name w:val="toc 1"/>
    <w:basedOn w:val="Normal"/>
    <w:next w:val="Normal"/>
    <w:autoRedefine/>
    <w:uiPriority w:val="39"/>
    <w:unhideWhenUsed/>
    <w:rsid w:val="00A3665D"/>
    <w:pPr>
      <w:spacing w:after="100"/>
    </w:pPr>
  </w:style>
  <w:style w:type="paragraph" w:styleId="TOC2">
    <w:name w:val="toc 2"/>
    <w:basedOn w:val="Normal"/>
    <w:next w:val="Normal"/>
    <w:autoRedefine/>
    <w:uiPriority w:val="39"/>
    <w:unhideWhenUsed/>
    <w:rsid w:val="00A3665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5416">
      <w:bodyDiv w:val="1"/>
      <w:marLeft w:val="0"/>
      <w:marRight w:val="0"/>
      <w:marTop w:val="0"/>
      <w:marBottom w:val="0"/>
      <w:divBdr>
        <w:top w:val="none" w:sz="0" w:space="0" w:color="auto"/>
        <w:left w:val="none" w:sz="0" w:space="0" w:color="auto"/>
        <w:bottom w:val="none" w:sz="0" w:space="0" w:color="auto"/>
        <w:right w:val="none" w:sz="0" w:space="0" w:color="auto"/>
      </w:divBdr>
    </w:div>
    <w:div w:id="341468227">
      <w:bodyDiv w:val="1"/>
      <w:marLeft w:val="0"/>
      <w:marRight w:val="0"/>
      <w:marTop w:val="0"/>
      <w:marBottom w:val="0"/>
      <w:divBdr>
        <w:top w:val="none" w:sz="0" w:space="0" w:color="auto"/>
        <w:left w:val="none" w:sz="0" w:space="0" w:color="auto"/>
        <w:bottom w:val="none" w:sz="0" w:space="0" w:color="auto"/>
        <w:right w:val="none" w:sz="0" w:space="0" w:color="auto"/>
      </w:divBdr>
    </w:div>
    <w:div w:id="537661864">
      <w:bodyDiv w:val="1"/>
      <w:marLeft w:val="0"/>
      <w:marRight w:val="0"/>
      <w:marTop w:val="0"/>
      <w:marBottom w:val="0"/>
      <w:divBdr>
        <w:top w:val="none" w:sz="0" w:space="0" w:color="auto"/>
        <w:left w:val="none" w:sz="0" w:space="0" w:color="auto"/>
        <w:bottom w:val="none" w:sz="0" w:space="0" w:color="auto"/>
        <w:right w:val="none" w:sz="0" w:space="0" w:color="auto"/>
      </w:divBdr>
    </w:div>
    <w:div w:id="855315594">
      <w:bodyDiv w:val="1"/>
      <w:marLeft w:val="0"/>
      <w:marRight w:val="0"/>
      <w:marTop w:val="0"/>
      <w:marBottom w:val="0"/>
      <w:divBdr>
        <w:top w:val="none" w:sz="0" w:space="0" w:color="auto"/>
        <w:left w:val="none" w:sz="0" w:space="0" w:color="auto"/>
        <w:bottom w:val="none" w:sz="0" w:space="0" w:color="auto"/>
        <w:right w:val="none" w:sz="0" w:space="0" w:color="auto"/>
      </w:divBdr>
    </w:div>
    <w:div w:id="933319619">
      <w:bodyDiv w:val="1"/>
      <w:marLeft w:val="0"/>
      <w:marRight w:val="0"/>
      <w:marTop w:val="0"/>
      <w:marBottom w:val="0"/>
      <w:divBdr>
        <w:top w:val="none" w:sz="0" w:space="0" w:color="auto"/>
        <w:left w:val="none" w:sz="0" w:space="0" w:color="auto"/>
        <w:bottom w:val="none" w:sz="0" w:space="0" w:color="auto"/>
        <w:right w:val="none" w:sz="0" w:space="0" w:color="auto"/>
      </w:divBdr>
    </w:div>
    <w:div w:id="1031343174">
      <w:bodyDiv w:val="1"/>
      <w:marLeft w:val="0"/>
      <w:marRight w:val="0"/>
      <w:marTop w:val="0"/>
      <w:marBottom w:val="0"/>
      <w:divBdr>
        <w:top w:val="none" w:sz="0" w:space="0" w:color="auto"/>
        <w:left w:val="none" w:sz="0" w:space="0" w:color="auto"/>
        <w:bottom w:val="none" w:sz="0" w:space="0" w:color="auto"/>
        <w:right w:val="none" w:sz="0" w:space="0" w:color="auto"/>
      </w:divBdr>
    </w:div>
    <w:div w:id="1190409206">
      <w:bodyDiv w:val="1"/>
      <w:marLeft w:val="0"/>
      <w:marRight w:val="0"/>
      <w:marTop w:val="0"/>
      <w:marBottom w:val="0"/>
      <w:divBdr>
        <w:top w:val="none" w:sz="0" w:space="0" w:color="auto"/>
        <w:left w:val="none" w:sz="0" w:space="0" w:color="auto"/>
        <w:bottom w:val="none" w:sz="0" w:space="0" w:color="auto"/>
        <w:right w:val="none" w:sz="0" w:space="0" w:color="auto"/>
      </w:divBdr>
    </w:div>
    <w:div w:id="1550461435">
      <w:bodyDiv w:val="1"/>
      <w:marLeft w:val="0"/>
      <w:marRight w:val="0"/>
      <w:marTop w:val="0"/>
      <w:marBottom w:val="0"/>
      <w:divBdr>
        <w:top w:val="none" w:sz="0" w:space="0" w:color="auto"/>
        <w:left w:val="none" w:sz="0" w:space="0" w:color="auto"/>
        <w:bottom w:val="none" w:sz="0" w:space="0" w:color="auto"/>
        <w:right w:val="none" w:sz="0" w:space="0" w:color="auto"/>
      </w:divBdr>
    </w:div>
    <w:div w:id="1807621065">
      <w:bodyDiv w:val="1"/>
      <w:marLeft w:val="0"/>
      <w:marRight w:val="0"/>
      <w:marTop w:val="0"/>
      <w:marBottom w:val="0"/>
      <w:divBdr>
        <w:top w:val="none" w:sz="0" w:space="0" w:color="auto"/>
        <w:left w:val="none" w:sz="0" w:space="0" w:color="auto"/>
        <w:bottom w:val="none" w:sz="0" w:space="0" w:color="auto"/>
        <w:right w:val="none" w:sz="0" w:space="0" w:color="auto"/>
      </w:divBdr>
    </w:div>
    <w:div w:id="1906797628">
      <w:bodyDiv w:val="1"/>
      <w:marLeft w:val="0"/>
      <w:marRight w:val="0"/>
      <w:marTop w:val="0"/>
      <w:marBottom w:val="0"/>
      <w:divBdr>
        <w:top w:val="none" w:sz="0" w:space="0" w:color="auto"/>
        <w:left w:val="none" w:sz="0" w:space="0" w:color="auto"/>
        <w:bottom w:val="none" w:sz="0" w:space="0" w:color="auto"/>
        <w:right w:val="none" w:sz="0" w:space="0" w:color="auto"/>
      </w:divBdr>
    </w:div>
    <w:div w:id="20675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A/CN.9/1004/Add.1" TargetMode="External"/><Relationship Id="rId3" Type="http://schemas.openxmlformats.org/officeDocument/2006/relationships/hyperlink" Target="http://undocs.org/A/CN.9/930/Rev.1" TargetMode="External"/><Relationship Id="rId7" Type="http://schemas.openxmlformats.org/officeDocument/2006/relationships/hyperlink" Target="https://undocs.org/en/A/CN.9/1004" TargetMode="External"/><Relationship Id="rId2" Type="http://schemas.openxmlformats.org/officeDocument/2006/relationships/hyperlink" Target="http://undocs.org/A/RES/61/31" TargetMode="External"/><Relationship Id="rId1" Type="http://schemas.openxmlformats.org/officeDocument/2006/relationships/hyperlink" Target="http://undocs.org/A/56/17" TargetMode="External"/><Relationship Id="rId6" Type="http://schemas.openxmlformats.org/officeDocument/2006/relationships/hyperlink" Target="http://undocs.org/A/CN.9/970" TargetMode="External"/><Relationship Id="rId5" Type="http://schemas.openxmlformats.org/officeDocument/2006/relationships/hyperlink" Target="http://undocs.org/A/CN.9/964" TargetMode="External"/><Relationship Id="rId10" Type="http://schemas.openxmlformats.org/officeDocument/2006/relationships/hyperlink" Target="http://undocs.org/A/74/17" TargetMode="External"/><Relationship Id="rId4" Type="http://schemas.openxmlformats.org/officeDocument/2006/relationships/hyperlink" Target="http://undocs.org/A/CN.9/935" TargetMode="External"/><Relationship Id="rId9" Type="http://schemas.openxmlformats.org/officeDocument/2006/relationships/hyperlink" Target="http://undocs.org/A/74/17"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FBC434140BFB4F8C0920F7C08F8836" ma:contentTypeVersion="12" ma:contentTypeDescription="Create a new document." ma:contentTypeScope="" ma:versionID="4c3b8046d4788176cef6f261329d7f77">
  <xsd:schema xmlns:xsd="http://www.w3.org/2001/XMLSchema" xmlns:xs="http://www.w3.org/2001/XMLSchema" xmlns:p="http://schemas.microsoft.com/office/2006/metadata/properties" xmlns:ns2="1df04fd7-7c47-4838-8290-c52492add04a" xmlns:ns3="4798ff29-8bf1-47a9-abe4-3ab95d3a1097" targetNamespace="http://schemas.microsoft.com/office/2006/metadata/properties" ma:root="true" ma:fieldsID="f05ece1bd1c8bb48e3bb92c45654972c" ns2:_="" ns3:_="">
    <xsd:import namespace="1df04fd7-7c47-4838-8290-c52492add04a"/>
    <xsd:import namespace="4798ff29-8bf1-47a9-abe4-3ab95d3a1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04fd7-7c47-4838-8290-c52492ad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A254E-D690-4B38-8BD4-8A40B5ABA47F}">
  <ds:schemaRefs>
    <ds:schemaRef ds:uri="http://schemas.microsoft.com/sharepoint/v3/contenttype/forms"/>
  </ds:schemaRefs>
</ds:datastoreItem>
</file>

<file path=customXml/itemProps2.xml><?xml version="1.0" encoding="utf-8"?>
<ds:datastoreItem xmlns:ds="http://schemas.openxmlformats.org/officeDocument/2006/customXml" ds:itemID="{C435370F-2095-4235-AC4A-65E26CF389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25DB86-A622-4083-B862-574DCF795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04fd7-7c47-4838-8290-c52492add04a"/>
    <ds:schemaRef ds:uri="4798ff29-8bf1-47a9-abe4-3ab95d3a1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2ECAD7-AC75-43C5-9DD6-1CC545E5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3619</Words>
  <Characters>20631</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HART-KILIC</dc:creator>
  <cp:keywords>UNCITRAL</cp:keywords>
  <dc:description/>
  <cp:lastModifiedBy>David Nikolaus Probst</cp:lastModifiedBy>
  <cp:revision>5</cp:revision>
  <cp:lastPrinted>2021-01-27T16:03:00Z</cp:lastPrinted>
  <dcterms:created xsi:type="dcterms:W3CDTF">2021-02-01T10:07:00Z</dcterms:created>
  <dcterms:modified xsi:type="dcterms:W3CDTF">2021-02-01T10:52:00Z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2002415</vt:lpwstr>
  </property>
  <property fmtid="{D5CDD505-2E9C-101B-9397-08002B2CF9AE}" pid="3" name="ODSRefJobNo">
    <vt:lpwstr>2002415E</vt:lpwstr>
  </property>
  <property fmtid="{D5CDD505-2E9C-101B-9397-08002B2CF9AE}" pid="4" name="Symbol1">
    <vt:lpwstr>A/CN.9/1011</vt:lpwstr>
  </property>
  <property fmtid="{D5CDD505-2E9C-101B-9397-08002B2CF9AE}" pid="5" name="Symbol2">
    <vt:lpwstr/>
  </property>
  <property fmtid="{D5CDD505-2E9C-101B-9397-08002B2CF9AE}" pid="6" name="Translator">
    <vt:lpwstr/>
  </property>
  <property fmtid="{D5CDD505-2E9C-101B-9397-08002B2CF9AE}" pid="7" name="Operator">
    <vt:lpwstr>JHK</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6 May 2020</vt:lpwstr>
  </property>
  <property fmtid="{D5CDD505-2E9C-101B-9397-08002B2CF9AE}" pid="12" name="Original">
    <vt:lpwstr>English</vt:lpwstr>
  </property>
  <property fmtid="{D5CDD505-2E9C-101B-9397-08002B2CF9AE}" pid="13" name="Release Date">
    <vt:lpwstr>070520</vt:lpwstr>
  </property>
  <property fmtid="{D5CDD505-2E9C-101B-9397-08002B2CF9AE}" pid="14" name="ContentTypeId">
    <vt:lpwstr>0x0101001DFBC434140BFB4F8C0920F7C08F8836</vt:lpwstr>
  </property>
</Properties>
</file>