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E8849" w14:textId="77777777" w:rsidR="00721987" w:rsidRPr="00C16414" w:rsidRDefault="00721987" w:rsidP="00721987">
      <w:pPr>
        <w:spacing w:line="240" w:lineRule="auto"/>
        <w:sectPr w:rsidR="00721987" w:rsidRPr="00C16414" w:rsidSect="00F17B9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pgMar w:top="1440" w:right="1032" w:bottom="1757" w:left="1032" w:header="432" w:footer="504" w:gutter="0"/>
          <w:pgNumType w:start="0"/>
          <w:cols w:space="720"/>
          <w:titlePg/>
          <w:docGrid w:linePitch="360"/>
        </w:sectPr>
      </w:pPr>
      <w:bookmarkStart w:id="0" w:name="_GoBack"/>
      <w:bookmarkEnd w:id="0"/>
    </w:p>
    <w:tbl>
      <w:tblPr>
        <w:tblW w:w="9841" w:type="dxa"/>
        <w:tblLayout w:type="fixed"/>
        <w:tblLook w:val="0000" w:firstRow="0" w:lastRow="0" w:firstColumn="0" w:lastColumn="0" w:noHBand="0" w:noVBand="0"/>
      </w:tblPr>
      <w:tblGrid>
        <w:gridCol w:w="4893"/>
        <w:gridCol w:w="288"/>
        <w:gridCol w:w="4660"/>
      </w:tblGrid>
      <w:tr w:rsidR="00721987" w:rsidRPr="00C16414" w14:paraId="5B19678C" w14:textId="77777777" w:rsidTr="00721987">
        <w:tc>
          <w:tcPr>
            <w:tcW w:w="4893" w:type="dxa"/>
            <w:shd w:val="clear" w:color="auto" w:fill="auto"/>
          </w:tcPr>
          <w:p w14:paraId="0556399F" w14:textId="77777777" w:rsidR="00727DD2" w:rsidRPr="00C16414" w:rsidRDefault="00727DD2" w:rsidP="00F17B9F">
            <w:pPr>
              <w:pStyle w:val="H1"/>
              <w:ind w:left="0" w:firstLine="0"/>
              <w:outlineLvl w:val="9"/>
              <w:rPr>
                <w:sz w:val="20"/>
              </w:rPr>
            </w:pPr>
            <w:r w:rsidRPr="00C16414">
              <w:rPr>
                <w:sz w:val="20"/>
              </w:rPr>
              <w:t>United Nations Commission on</w:t>
            </w:r>
          </w:p>
          <w:p w14:paraId="57ED3AF6" w14:textId="77777777" w:rsidR="00727DD2" w:rsidRPr="00C16414" w:rsidRDefault="00727DD2" w:rsidP="00F17B9F">
            <w:pPr>
              <w:pStyle w:val="H1"/>
              <w:ind w:left="0" w:firstLine="0"/>
              <w:outlineLvl w:val="9"/>
              <w:rPr>
                <w:sz w:val="20"/>
              </w:rPr>
            </w:pPr>
            <w:r w:rsidRPr="00C16414">
              <w:rPr>
                <w:sz w:val="20"/>
              </w:rPr>
              <w:t>International Trade Law</w:t>
            </w:r>
          </w:p>
          <w:p w14:paraId="42FBE408" w14:textId="77777777" w:rsidR="00727DD2" w:rsidRPr="00C16414" w:rsidRDefault="00727DD2" w:rsidP="00F17B9F">
            <w:pPr>
              <w:pStyle w:val="H23"/>
              <w:tabs>
                <w:tab w:val="clear" w:pos="1267"/>
              </w:tabs>
              <w:ind w:left="0" w:firstLine="0"/>
              <w:outlineLvl w:val="9"/>
            </w:pPr>
            <w:r w:rsidRPr="00C16414">
              <w:t>Working Group III (Investor-State Dispute Settlement Reform)</w:t>
            </w:r>
          </w:p>
          <w:p w14:paraId="5467D9A0" w14:textId="7112E62F" w:rsidR="00727DD2" w:rsidRPr="00C16414" w:rsidRDefault="008824FD" w:rsidP="00F17B9F">
            <w:pPr>
              <w:pStyle w:val="H23"/>
              <w:outlineLvl w:val="9"/>
            </w:pPr>
            <w:r>
              <w:t>[xx</w:t>
            </w:r>
            <w:proofErr w:type="gramStart"/>
            <w:r>
              <w:t>]</w:t>
            </w:r>
            <w:r w:rsidR="00166998" w:rsidRPr="00C16414">
              <w:t xml:space="preserve"> </w:t>
            </w:r>
            <w:r w:rsidR="00727DD2" w:rsidRPr="00C16414">
              <w:t xml:space="preserve"> session</w:t>
            </w:r>
            <w:proofErr w:type="gramEnd"/>
          </w:p>
          <w:p w14:paraId="3942A03E" w14:textId="48513FD7" w:rsidR="00721987" w:rsidRPr="00C16414" w:rsidRDefault="008824FD" w:rsidP="00F17B9F">
            <w:pPr>
              <w:pStyle w:val="H1"/>
              <w:ind w:left="0" w:firstLine="0"/>
              <w:outlineLvl w:val="9"/>
              <w:rPr>
                <w:b w:val="0"/>
                <w:bCs/>
                <w:sz w:val="20"/>
              </w:rPr>
            </w:pPr>
            <w:r>
              <w:rPr>
                <w:b w:val="0"/>
                <w:bCs/>
                <w:sz w:val="20"/>
              </w:rPr>
              <w:t>[Place, date]</w:t>
            </w:r>
          </w:p>
        </w:tc>
        <w:tc>
          <w:tcPr>
            <w:tcW w:w="288" w:type="dxa"/>
            <w:shd w:val="clear" w:color="auto" w:fill="auto"/>
          </w:tcPr>
          <w:p w14:paraId="4C0A43EA" w14:textId="77777777" w:rsidR="00721987" w:rsidRPr="00C16414" w:rsidRDefault="00721987" w:rsidP="00F17B9F">
            <w:pPr>
              <w:pStyle w:val="H1"/>
              <w:ind w:left="0" w:firstLine="0"/>
              <w:outlineLvl w:val="9"/>
              <w:rPr>
                <w:sz w:val="20"/>
              </w:rPr>
            </w:pPr>
          </w:p>
        </w:tc>
        <w:tc>
          <w:tcPr>
            <w:tcW w:w="4660" w:type="dxa"/>
            <w:shd w:val="clear" w:color="auto" w:fill="auto"/>
          </w:tcPr>
          <w:p w14:paraId="40DC363C" w14:textId="77777777" w:rsidR="00721987" w:rsidRPr="00C16414" w:rsidRDefault="00721987" w:rsidP="00F17B9F">
            <w:pPr>
              <w:pStyle w:val="H1"/>
              <w:ind w:left="0" w:firstLine="0"/>
              <w:outlineLvl w:val="9"/>
              <w:rPr>
                <w:sz w:val="20"/>
              </w:rPr>
            </w:pPr>
          </w:p>
        </w:tc>
      </w:tr>
      <w:tr w:rsidR="00721987" w:rsidRPr="00C16414" w14:paraId="2E36A446" w14:textId="77777777" w:rsidTr="00721987">
        <w:tc>
          <w:tcPr>
            <w:tcW w:w="4893" w:type="dxa"/>
            <w:shd w:val="clear" w:color="auto" w:fill="auto"/>
          </w:tcPr>
          <w:p w14:paraId="78A65832" w14:textId="77777777" w:rsidR="00721987" w:rsidRPr="00C16414" w:rsidRDefault="00721987" w:rsidP="00F17B9F">
            <w:pPr>
              <w:pStyle w:val="H1"/>
              <w:ind w:left="0" w:firstLine="0"/>
              <w:outlineLvl w:val="9"/>
              <w:rPr>
                <w:sz w:val="20"/>
              </w:rPr>
            </w:pPr>
          </w:p>
        </w:tc>
        <w:tc>
          <w:tcPr>
            <w:tcW w:w="288" w:type="dxa"/>
            <w:shd w:val="clear" w:color="auto" w:fill="auto"/>
          </w:tcPr>
          <w:p w14:paraId="20927D69" w14:textId="77777777" w:rsidR="00721987" w:rsidRPr="00C16414" w:rsidRDefault="00721987" w:rsidP="00F17B9F">
            <w:pPr>
              <w:pStyle w:val="H1"/>
              <w:ind w:left="0" w:firstLine="0"/>
              <w:outlineLvl w:val="9"/>
              <w:rPr>
                <w:sz w:val="20"/>
              </w:rPr>
            </w:pPr>
          </w:p>
        </w:tc>
        <w:tc>
          <w:tcPr>
            <w:tcW w:w="4660" w:type="dxa"/>
            <w:shd w:val="clear" w:color="auto" w:fill="auto"/>
          </w:tcPr>
          <w:p w14:paraId="2EE1F9BD" w14:textId="77777777" w:rsidR="00721987" w:rsidRPr="00C16414" w:rsidRDefault="00721987" w:rsidP="00F17B9F">
            <w:pPr>
              <w:pStyle w:val="H1"/>
              <w:ind w:left="0" w:firstLine="0"/>
              <w:outlineLvl w:val="9"/>
              <w:rPr>
                <w:sz w:val="20"/>
              </w:rPr>
            </w:pPr>
          </w:p>
        </w:tc>
      </w:tr>
    </w:tbl>
    <w:p w14:paraId="0148D864" w14:textId="2BD432DA" w:rsidR="00591241" w:rsidRPr="00C16414" w:rsidRDefault="00591241" w:rsidP="00F17B9F">
      <w:pPr>
        <w:pStyle w:val="SingleTxt"/>
        <w:spacing w:after="0" w:line="120" w:lineRule="atLeast"/>
      </w:pPr>
    </w:p>
    <w:p w14:paraId="58C26155" w14:textId="3A2B234C" w:rsidR="00727DD2" w:rsidRPr="003843C9" w:rsidRDefault="00727DD2" w:rsidP="00F17B9F">
      <w:pPr>
        <w:pStyle w:val="HCh"/>
        <w:ind w:left="1267" w:right="1260" w:hanging="1267"/>
        <w:outlineLvl w:val="9"/>
        <w:rPr>
          <w:szCs w:val="28"/>
        </w:rPr>
      </w:pPr>
      <w:r w:rsidRPr="00C16414">
        <w:rPr>
          <w:sz w:val="20"/>
        </w:rPr>
        <w:tab/>
      </w:r>
      <w:r w:rsidRPr="00C16414">
        <w:rPr>
          <w:sz w:val="20"/>
        </w:rPr>
        <w:tab/>
      </w:r>
      <w:r w:rsidRPr="003843C9">
        <w:rPr>
          <w:szCs w:val="28"/>
        </w:rPr>
        <w:t xml:space="preserve">Possible reform of investor-State dispute settlement (ISDS) </w:t>
      </w:r>
    </w:p>
    <w:p w14:paraId="341CE135" w14:textId="1C340572" w:rsidR="00727DD2" w:rsidRPr="003843C9" w:rsidRDefault="00727DD2" w:rsidP="00F17B9F">
      <w:pPr>
        <w:pStyle w:val="SingleTxt"/>
        <w:spacing w:after="0" w:line="120" w:lineRule="atLeast"/>
        <w:rPr>
          <w:b/>
          <w:sz w:val="28"/>
          <w:szCs w:val="28"/>
        </w:rPr>
      </w:pPr>
    </w:p>
    <w:p w14:paraId="52F8743C" w14:textId="30E83CF9" w:rsidR="00727DD2" w:rsidRPr="003843C9" w:rsidRDefault="00727DD2" w:rsidP="00F17B9F">
      <w:pPr>
        <w:pStyle w:val="HCh"/>
        <w:ind w:left="1267" w:right="1260" w:hanging="1267"/>
        <w:outlineLvl w:val="9"/>
        <w:rPr>
          <w:sz w:val="24"/>
          <w:szCs w:val="24"/>
        </w:rPr>
      </w:pPr>
      <w:r w:rsidRPr="00C16414">
        <w:rPr>
          <w:sz w:val="20"/>
        </w:rPr>
        <w:tab/>
      </w:r>
      <w:r w:rsidRPr="00C16414">
        <w:rPr>
          <w:sz w:val="20"/>
        </w:rPr>
        <w:tab/>
      </w:r>
      <w:r w:rsidRPr="003843C9">
        <w:rPr>
          <w:sz w:val="24"/>
          <w:szCs w:val="24"/>
        </w:rPr>
        <w:t>Advisory Centre</w:t>
      </w:r>
    </w:p>
    <w:p w14:paraId="1150399C" w14:textId="4DBED91B" w:rsidR="00727DD2" w:rsidRPr="003843C9" w:rsidRDefault="00727DD2" w:rsidP="00F17B9F">
      <w:pPr>
        <w:pStyle w:val="SingleTxt"/>
        <w:spacing w:after="0" w:line="120" w:lineRule="atLeast"/>
        <w:rPr>
          <w:b/>
          <w:sz w:val="24"/>
          <w:szCs w:val="24"/>
        </w:rPr>
      </w:pPr>
    </w:p>
    <w:p w14:paraId="527582B1" w14:textId="7C08C38F" w:rsidR="00727DD2" w:rsidRPr="003843C9" w:rsidRDefault="00727DD2" w:rsidP="00F17B9F">
      <w:pPr>
        <w:pStyle w:val="H1"/>
        <w:ind w:left="1267" w:right="1260" w:hanging="1267"/>
        <w:outlineLvl w:val="9"/>
        <w:rPr>
          <w:szCs w:val="24"/>
        </w:rPr>
      </w:pPr>
      <w:r w:rsidRPr="003843C9">
        <w:rPr>
          <w:szCs w:val="24"/>
        </w:rPr>
        <w:tab/>
      </w:r>
      <w:r w:rsidRPr="003843C9">
        <w:rPr>
          <w:szCs w:val="24"/>
        </w:rPr>
        <w:tab/>
        <w:t>Note by the Secretariat</w:t>
      </w:r>
    </w:p>
    <w:p w14:paraId="01239E57" w14:textId="446BB27B" w:rsidR="00727DD2" w:rsidRPr="00C16414" w:rsidRDefault="00727DD2" w:rsidP="00FC062E">
      <w:pPr>
        <w:pStyle w:val="SingleTxt"/>
        <w:spacing w:after="0" w:line="120" w:lineRule="atLeast"/>
      </w:pPr>
    </w:p>
    <w:p w14:paraId="72AB0028" w14:textId="77777777" w:rsidR="00FC062E" w:rsidRPr="00C16414" w:rsidRDefault="00FC062E" w:rsidP="00727DD2">
      <w:pPr>
        <w:pStyle w:val="SingleTxt"/>
        <w:spacing w:after="0" w:line="120" w:lineRule="atLeast"/>
      </w:pPr>
    </w:p>
    <w:sdt>
      <w:sdtPr>
        <w:rPr>
          <w:rFonts w:ascii="Times New Roman" w:eastAsiaTheme="minorHAnsi" w:hAnsi="Times New Roman" w:cs="Times New Roman"/>
          <w:b w:val="0"/>
          <w:bCs w:val="0"/>
          <w:kern w:val="14"/>
          <w:sz w:val="20"/>
          <w:szCs w:val="20"/>
          <w:lang w:bidi="ar-SA"/>
        </w:rPr>
        <w:id w:val="797655223"/>
        <w:docPartObj>
          <w:docPartGallery w:val="Table of Contents"/>
          <w:docPartUnique/>
        </w:docPartObj>
      </w:sdtPr>
      <w:sdtEndPr>
        <w:rPr>
          <w:noProof/>
        </w:rPr>
      </w:sdtEndPr>
      <w:sdtContent>
        <w:p w14:paraId="2EB07750" w14:textId="57F79604" w:rsidR="00F17B9F" w:rsidRPr="00F17B9F" w:rsidRDefault="00F17B9F">
          <w:pPr>
            <w:pStyle w:val="TOCHeading"/>
            <w:rPr>
              <w:rFonts w:ascii="Times New Roman" w:hAnsi="Times New Roman" w:cs="Times New Roman"/>
              <w:sz w:val="20"/>
              <w:szCs w:val="20"/>
            </w:rPr>
          </w:pPr>
          <w:r w:rsidRPr="00F17B9F">
            <w:rPr>
              <w:rFonts w:ascii="Times New Roman" w:hAnsi="Times New Roman" w:cs="Times New Roman"/>
              <w:sz w:val="20"/>
              <w:szCs w:val="20"/>
            </w:rPr>
            <w:t>Contents</w:t>
          </w:r>
        </w:p>
        <w:p w14:paraId="3FF46434" w14:textId="01D86EF3" w:rsidR="00F17B9F" w:rsidRDefault="00F17B9F">
          <w:pPr>
            <w:pStyle w:val="TOC1"/>
            <w:tabs>
              <w:tab w:val="left" w:pos="440"/>
              <w:tab w:val="right" w:leader="dot" w:pos="9835"/>
            </w:tabs>
            <w:rPr>
              <w:rFonts w:asciiTheme="minorHAnsi" w:eastAsiaTheme="minorEastAsia" w:hAnsiTheme="minorHAnsi" w:cstheme="minorBidi"/>
              <w:noProof/>
              <w:spacing w:val="0"/>
              <w:w w:val="100"/>
              <w:kern w:val="0"/>
              <w:sz w:val="22"/>
              <w:szCs w:val="22"/>
              <w:lang w:eastAsia="en-GB"/>
            </w:rPr>
          </w:pPr>
          <w:r>
            <w:fldChar w:fldCharType="begin"/>
          </w:r>
          <w:r>
            <w:instrText xml:space="preserve"> TOC \o "1-3" \h \z \u </w:instrText>
          </w:r>
          <w:r>
            <w:fldChar w:fldCharType="separate"/>
          </w:r>
          <w:hyperlink w:anchor="_Toc63421278" w:history="1">
            <w:r w:rsidRPr="008E07EF">
              <w:rPr>
                <w:rStyle w:val="Hyperlink"/>
                <w:rFonts w:asciiTheme="majorBidi" w:hAnsiTheme="majorBidi" w:cstheme="majorBidi"/>
                <w:noProof/>
              </w:rPr>
              <w:t>II.</w:t>
            </w:r>
            <w:r>
              <w:rPr>
                <w:rFonts w:asciiTheme="minorHAnsi" w:eastAsiaTheme="minorEastAsia" w:hAnsiTheme="minorHAnsi" w:cstheme="minorBidi"/>
                <w:noProof/>
                <w:spacing w:val="0"/>
                <w:w w:val="100"/>
                <w:kern w:val="0"/>
                <w:sz w:val="22"/>
                <w:szCs w:val="22"/>
                <w:lang w:eastAsia="en-GB"/>
              </w:rPr>
              <w:tab/>
            </w:r>
            <w:r w:rsidRPr="008E07EF">
              <w:rPr>
                <w:rStyle w:val="Hyperlink"/>
                <w:rFonts w:asciiTheme="majorBidi" w:hAnsiTheme="majorBidi" w:cstheme="majorBidi"/>
                <w:noProof/>
              </w:rPr>
              <w:t>Establishment of an advisory centre</w:t>
            </w:r>
            <w:r>
              <w:rPr>
                <w:noProof/>
                <w:webHidden/>
              </w:rPr>
              <w:tab/>
            </w:r>
            <w:r>
              <w:rPr>
                <w:noProof/>
                <w:webHidden/>
              </w:rPr>
              <w:fldChar w:fldCharType="begin"/>
            </w:r>
            <w:r>
              <w:rPr>
                <w:noProof/>
                <w:webHidden/>
              </w:rPr>
              <w:instrText xml:space="preserve"> PAGEREF _Toc63421278 \h </w:instrText>
            </w:r>
            <w:r>
              <w:rPr>
                <w:noProof/>
                <w:webHidden/>
              </w:rPr>
            </w:r>
            <w:r>
              <w:rPr>
                <w:noProof/>
                <w:webHidden/>
              </w:rPr>
              <w:fldChar w:fldCharType="separate"/>
            </w:r>
            <w:r>
              <w:rPr>
                <w:noProof/>
                <w:webHidden/>
              </w:rPr>
              <w:t>1</w:t>
            </w:r>
            <w:r>
              <w:rPr>
                <w:noProof/>
                <w:webHidden/>
              </w:rPr>
              <w:fldChar w:fldCharType="end"/>
            </w:r>
          </w:hyperlink>
        </w:p>
        <w:p w14:paraId="1DB4EC72" w14:textId="1487D6FD" w:rsidR="00F17B9F" w:rsidRDefault="001B025F">
          <w:pPr>
            <w:pStyle w:val="TOC2"/>
            <w:tabs>
              <w:tab w:val="left" w:pos="660"/>
              <w:tab w:val="right" w:leader="dot" w:pos="9835"/>
            </w:tabs>
            <w:rPr>
              <w:rFonts w:asciiTheme="minorHAnsi" w:eastAsiaTheme="minorEastAsia" w:hAnsiTheme="minorHAnsi" w:cstheme="minorBidi"/>
              <w:noProof/>
              <w:spacing w:val="0"/>
              <w:w w:val="100"/>
              <w:kern w:val="0"/>
              <w:sz w:val="22"/>
              <w:szCs w:val="22"/>
              <w:lang w:eastAsia="en-GB"/>
            </w:rPr>
          </w:pPr>
          <w:hyperlink w:anchor="_Toc63421279" w:history="1">
            <w:r w:rsidR="005639C0">
              <w:rPr>
                <w:rStyle w:val="Hyperlink"/>
                <w:rFonts w:asciiTheme="majorBidi" w:hAnsiTheme="majorBidi" w:cstheme="majorBidi"/>
                <w:b/>
                <w:bCs/>
                <w:noProof/>
              </w:rPr>
              <w:t>F</w:t>
            </w:r>
            <w:r w:rsidR="00F17B9F" w:rsidRPr="008E07EF">
              <w:rPr>
                <w:rStyle w:val="Hyperlink"/>
                <w:rFonts w:asciiTheme="majorBidi" w:hAnsiTheme="majorBidi" w:cstheme="majorBidi"/>
                <w:b/>
                <w:bCs/>
                <w:noProof/>
              </w:rPr>
              <w:t>.</w:t>
            </w:r>
            <w:r w:rsidR="00F17B9F">
              <w:rPr>
                <w:rFonts w:asciiTheme="minorHAnsi" w:eastAsiaTheme="minorEastAsia" w:hAnsiTheme="minorHAnsi" w:cstheme="minorBidi"/>
                <w:noProof/>
                <w:spacing w:val="0"/>
                <w:w w:val="100"/>
                <w:kern w:val="0"/>
                <w:sz w:val="22"/>
                <w:szCs w:val="22"/>
                <w:lang w:eastAsia="en-GB"/>
              </w:rPr>
              <w:tab/>
            </w:r>
            <w:r w:rsidR="00F17B9F" w:rsidRPr="008E07EF">
              <w:rPr>
                <w:rStyle w:val="Hyperlink"/>
                <w:rFonts w:asciiTheme="majorBidi" w:hAnsiTheme="majorBidi" w:cstheme="majorBidi"/>
                <w:b/>
                <w:bCs/>
                <w:noProof/>
              </w:rPr>
              <w:t>Cost and financing</w:t>
            </w:r>
            <w:r w:rsidR="00F17B9F">
              <w:rPr>
                <w:noProof/>
                <w:webHidden/>
              </w:rPr>
              <w:tab/>
            </w:r>
            <w:r w:rsidR="00F17B9F">
              <w:rPr>
                <w:noProof/>
                <w:webHidden/>
              </w:rPr>
              <w:fldChar w:fldCharType="begin"/>
            </w:r>
            <w:r w:rsidR="00F17B9F">
              <w:rPr>
                <w:noProof/>
                <w:webHidden/>
              </w:rPr>
              <w:instrText xml:space="preserve"> PAGEREF _Toc63421279 \h </w:instrText>
            </w:r>
            <w:r w:rsidR="00F17B9F">
              <w:rPr>
                <w:noProof/>
                <w:webHidden/>
              </w:rPr>
            </w:r>
            <w:r w:rsidR="00F17B9F">
              <w:rPr>
                <w:noProof/>
                <w:webHidden/>
              </w:rPr>
              <w:fldChar w:fldCharType="separate"/>
            </w:r>
            <w:r w:rsidR="00F17B9F">
              <w:rPr>
                <w:noProof/>
                <w:webHidden/>
              </w:rPr>
              <w:t>1</w:t>
            </w:r>
            <w:r w:rsidR="00F17B9F">
              <w:rPr>
                <w:noProof/>
                <w:webHidden/>
              </w:rPr>
              <w:fldChar w:fldCharType="end"/>
            </w:r>
          </w:hyperlink>
        </w:p>
        <w:p w14:paraId="7645CDFF" w14:textId="104F63B4" w:rsidR="00F17B9F" w:rsidRDefault="001B025F">
          <w:pPr>
            <w:pStyle w:val="TOC3"/>
            <w:tabs>
              <w:tab w:val="right" w:leader="dot" w:pos="9835"/>
            </w:tabs>
            <w:rPr>
              <w:noProof/>
            </w:rPr>
          </w:pPr>
          <w:hyperlink w:anchor="_Toc63421282" w:history="1">
            <w:r w:rsidR="00F17B9F" w:rsidRPr="008E07EF">
              <w:rPr>
                <w:rStyle w:val="Hyperlink"/>
                <w:rFonts w:asciiTheme="majorBidi" w:hAnsiTheme="majorBidi" w:cstheme="majorBidi"/>
                <w:b/>
                <w:bCs/>
                <w:noProof/>
              </w:rPr>
              <w:t xml:space="preserve">Annex </w:t>
            </w:r>
            <w:r w:rsidR="005639C0">
              <w:rPr>
                <w:rStyle w:val="Hyperlink"/>
                <w:rFonts w:asciiTheme="majorBidi" w:hAnsiTheme="majorBidi" w:cstheme="majorBidi"/>
                <w:b/>
                <w:bCs/>
                <w:noProof/>
              </w:rPr>
              <w:t>1</w:t>
            </w:r>
            <w:r w:rsidR="00F17B9F" w:rsidRPr="008E07EF">
              <w:rPr>
                <w:rStyle w:val="Hyperlink"/>
                <w:rFonts w:asciiTheme="majorBidi" w:hAnsiTheme="majorBidi" w:cstheme="majorBidi"/>
                <w:b/>
                <w:bCs/>
                <w:noProof/>
              </w:rPr>
              <w:t xml:space="preserve"> – Cost and financing (Budget model)</w:t>
            </w:r>
            <w:r w:rsidR="00F17B9F">
              <w:rPr>
                <w:noProof/>
                <w:webHidden/>
              </w:rPr>
              <w:tab/>
            </w:r>
            <w:r w:rsidR="00F17B9F">
              <w:rPr>
                <w:noProof/>
                <w:webHidden/>
              </w:rPr>
              <w:fldChar w:fldCharType="begin"/>
            </w:r>
            <w:r w:rsidR="00F17B9F">
              <w:rPr>
                <w:noProof/>
                <w:webHidden/>
              </w:rPr>
              <w:instrText xml:space="preserve"> PAGEREF _Toc63421282 \h </w:instrText>
            </w:r>
            <w:r w:rsidR="00F17B9F">
              <w:rPr>
                <w:noProof/>
                <w:webHidden/>
              </w:rPr>
            </w:r>
            <w:r w:rsidR="00F17B9F">
              <w:rPr>
                <w:noProof/>
                <w:webHidden/>
              </w:rPr>
              <w:fldChar w:fldCharType="separate"/>
            </w:r>
            <w:r w:rsidR="00F17B9F">
              <w:rPr>
                <w:noProof/>
                <w:webHidden/>
              </w:rPr>
              <w:t>10</w:t>
            </w:r>
            <w:r w:rsidR="00F17B9F">
              <w:rPr>
                <w:noProof/>
                <w:webHidden/>
              </w:rPr>
              <w:fldChar w:fldCharType="end"/>
            </w:r>
          </w:hyperlink>
        </w:p>
        <w:p w14:paraId="42DDFAF9" w14:textId="6EFCA3D9" w:rsidR="00F17B9F" w:rsidRDefault="00F17B9F">
          <w:r>
            <w:rPr>
              <w:b/>
              <w:bCs/>
              <w:noProof/>
            </w:rPr>
            <w:fldChar w:fldCharType="end"/>
          </w:r>
        </w:p>
      </w:sdtContent>
    </w:sdt>
    <w:p w14:paraId="2DFC399B" w14:textId="77777777" w:rsidR="00F17B9F" w:rsidRPr="00F17B9F" w:rsidRDefault="00F17B9F" w:rsidP="00F17B9F">
      <w:pPr>
        <w:pStyle w:val="SingleTxt"/>
      </w:pPr>
    </w:p>
    <w:p w14:paraId="35C9A6DD" w14:textId="7E33FBDC" w:rsidR="00727DD2" w:rsidRPr="00C16414" w:rsidRDefault="00727DD2" w:rsidP="00B212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right" w:leader="dot" w:pos="9360"/>
        </w:tabs>
        <w:suppressAutoHyphens w:val="0"/>
        <w:spacing w:after="80" w:line="240" w:lineRule="auto"/>
        <w:ind w:left="0" w:right="153"/>
      </w:pPr>
    </w:p>
    <w:p w14:paraId="14134DD8" w14:textId="77777777" w:rsidR="00727DD2" w:rsidRPr="00C16414" w:rsidRDefault="00727DD2" w:rsidP="000A1D8E">
      <w:pPr>
        <w:pStyle w:val="SingleTxt"/>
        <w:numPr>
          <w:ilvl w:val="1"/>
          <w:numId w:val="6"/>
        </w:numPr>
        <w:tabs>
          <w:tab w:val="clear" w:pos="1267"/>
          <w:tab w:val="clear" w:pos="1708"/>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right" w:leader="dot" w:pos="9360"/>
        </w:tabs>
        <w:suppressAutoHyphens w:val="0"/>
        <w:spacing w:after="80" w:line="240" w:lineRule="auto"/>
        <w:ind w:right="153"/>
      </w:pPr>
      <w:r w:rsidRPr="00C16414">
        <w:br w:type="page"/>
      </w:r>
    </w:p>
    <w:p w14:paraId="439E1DFA" w14:textId="6BD4FD14" w:rsidR="00727DD2" w:rsidRPr="00C54C48" w:rsidRDefault="00727DD2" w:rsidP="00727DD2">
      <w:pPr>
        <w:pStyle w:val="HCh"/>
        <w:ind w:left="1267" w:right="1260" w:hanging="1267"/>
        <w:rPr>
          <w:rFonts w:asciiTheme="majorBidi" w:hAnsiTheme="majorBidi" w:cstheme="majorBidi"/>
          <w:szCs w:val="28"/>
        </w:rPr>
      </w:pPr>
      <w:r w:rsidRPr="00C16414">
        <w:rPr>
          <w:sz w:val="20"/>
        </w:rPr>
        <w:lastRenderedPageBreak/>
        <w:tab/>
      </w:r>
    </w:p>
    <w:p w14:paraId="5577611C" w14:textId="184C4C16" w:rsidR="00727DD2" w:rsidRPr="00C54C48" w:rsidRDefault="0064794F" w:rsidP="0064794F">
      <w:pPr>
        <w:pStyle w:val="HCh"/>
        <w:ind w:left="1267" w:right="1260" w:hanging="1267"/>
        <w:rPr>
          <w:rFonts w:asciiTheme="majorBidi" w:hAnsiTheme="majorBidi" w:cstheme="majorBidi"/>
          <w:szCs w:val="28"/>
        </w:rPr>
      </w:pPr>
      <w:r w:rsidRPr="00C54C48">
        <w:rPr>
          <w:rFonts w:asciiTheme="majorBidi" w:hAnsiTheme="majorBidi" w:cstheme="majorBidi"/>
          <w:sz w:val="20"/>
        </w:rPr>
        <w:tab/>
      </w:r>
      <w:bookmarkStart w:id="1" w:name="_Toc63421278"/>
      <w:r w:rsidR="00727DD2" w:rsidRPr="00C54C48">
        <w:rPr>
          <w:rFonts w:asciiTheme="majorBidi" w:hAnsiTheme="majorBidi" w:cstheme="majorBidi"/>
          <w:szCs w:val="28"/>
        </w:rPr>
        <w:t>II.</w:t>
      </w:r>
      <w:r w:rsidR="00727DD2" w:rsidRPr="00C54C48">
        <w:rPr>
          <w:rFonts w:asciiTheme="majorBidi" w:hAnsiTheme="majorBidi" w:cstheme="majorBidi"/>
          <w:szCs w:val="28"/>
        </w:rPr>
        <w:tab/>
      </w:r>
      <w:r w:rsidR="000A1D8E" w:rsidRPr="00C54C48">
        <w:rPr>
          <w:rFonts w:asciiTheme="majorBidi" w:hAnsiTheme="majorBidi" w:cstheme="majorBidi"/>
          <w:szCs w:val="28"/>
        </w:rPr>
        <w:t xml:space="preserve">Establishment of </w:t>
      </w:r>
      <w:r w:rsidR="00B72550" w:rsidRPr="00C54C48">
        <w:rPr>
          <w:rFonts w:asciiTheme="majorBidi" w:hAnsiTheme="majorBidi" w:cstheme="majorBidi"/>
          <w:szCs w:val="28"/>
        </w:rPr>
        <w:t>an advisory centre</w:t>
      </w:r>
      <w:bookmarkEnd w:id="1"/>
      <w:r w:rsidR="00B72550" w:rsidRPr="00C54C48">
        <w:rPr>
          <w:rFonts w:asciiTheme="majorBidi" w:hAnsiTheme="majorBidi" w:cstheme="majorBidi"/>
          <w:szCs w:val="28"/>
        </w:rPr>
        <w:t xml:space="preserve"> </w:t>
      </w:r>
    </w:p>
    <w:p w14:paraId="569F66F2" w14:textId="77777777" w:rsidR="002D272D" w:rsidRPr="00C54C48" w:rsidRDefault="002D272D" w:rsidP="002D272D">
      <w:pPr>
        <w:pStyle w:val="SingleTxt"/>
        <w:tabs>
          <w:tab w:val="clear" w:pos="1742"/>
          <w:tab w:val="clear" w:pos="2218"/>
          <w:tab w:val="left" w:pos="1701"/>
          <w:tab w:val="num" w:pos="2843"/>
        </w:tabs>
        <w:ind w:left="1276"/>
        <w:rPr>
          <w:rFonts w:asciiTheme="majorBidi" w:hAnsiTheme="majorBidi" w:cstheme="majorBidi"/>
        </w:rPr>
      </w:pPr>
      <w:bookmarkStart w:id="2" w:name="_Hlk46134408"/>
    </w:p>
    <w:p w14:paraId="662E6C58" w14:textId="26D7FD99" w:rsidR="00E06B08" w:rsidRPr="00C54C48" w:rsidRDefault="009E3142" w:rsidP="00F17B9F">
      <w:pPr>
        <w:pStyle w:val="SingleTxt"/>
        <w:tabs>
          <w:tab w:val="clear" w:pos="1267"/>
          <w:tab w:val="clear" w:pos="1742"/>
          <w:tab w:val="clear" w:pos="2218"/>
          <w:tab w:val="clear" w:pos="2693"/>
          <w:tab w:val="clear" w:pos="3182"/>
          <w:tab w:val="left" w:pos="1418"/>
          <w:tab w:val="left" w:pos="1560"/>
        </w:tabs>
        <w:ind w:left="1276" w:hanging="283"/>
        <w:outlineLvl w:val="1"/>
        <w:rPr>
          <w:rFonts w:asciiTheme="majorBidi" w:hAnsiTheme="majorBidi" w:cstheme="majorBidi"/>
          <w:b/>
          <w:bCs/>
          <w:sz w:val="24"/>
          <w:szCs w:val="24"/>
        </w:rPr>
      </w:pPr>
      <w:bookmarkStart w:id="3" w:name="_Toc63421279"/>
      <w:r>
        <w:rPr>
          <w:rFonts w:asciiTheme="majorBidi" w:hAnsiTheme="majorBidi" w:cstheme="majorBidi"/>
          <w:b/>
          <w:bCs/>
          <w:sz w:val="24"/>
          <w:szCs w:val="24"/>
        </w:rPr>
        <w:t>F</w:t>
      </w:r>
      <w:r w:rsidR="00563250" w:rsidRPr="00C54C48">
        <w:rPr>
          <w:rFonts w:asciiTheme="majorBidi" w:hAnsiTheme="majorBidi" w:cstheme="majorBidi"/>
          <w:b/>
          <w:bCs/>
          <w:sz w:val="24"/>
          <w:szCs w:val="24"/>
        </w:rPr>
        <w:t>.</w:t>
      </w:r>
      <w:r w:rsidR="00563250" w:rsidRPr="00C54C48">
        <w:rPr>
          <w:rFonts w:asciiTheme="majorBidi" w:hAnsiTheme="majorBidi" w:cstheme="majorBidi"/>
          <w:b/>
          <w:bCs/>
          <w:sz w:val="24"/>
          <w:szCs w:val="24"/>
        </w:rPr>
        <w:tab/>
      </w:r>
      <w:r w:rsidR="00FD0FF3" w:rsidRPr="00C54C48">
        <w:rPr>
          <w:rFonts w:asciiTheme="majorBidi" w:hAnsiTheme="majorBidi" w:cstheme="majorBidi"/>
          <w:b/>
          <w:bCs/>
          <w:sz w:val="24"/>
          <w:szCs w:val="24"/>
        </w:rPr>
        <w:t>Cost and f</w:t>
      </w:r>
      <w:r w:rsidR="00E06B08" w:rsidRPr="00C54C48">
        <w:rPr>
          <w:rFonts w:asciiTheme="majorBidi" w:hAnsiTheme="majorBidi" w:cstheme="majorBidi"/>
          <w:b/>
          <w:bCs/>
          <w:sz w:val="24"/>
          <w:szCs w:val="24"/>
        </w:rPr>
        <w:t>inancing</w:t>
      </w:r>
      <w:bookmarkEnd w:id="3"/>
      <w:r w:rsidR="00E06B08" w:rsidRPr="00C54C48">
        <w:rPr>
          <w:rFonts w:asciiTheme="majorBidi" w:hAnsiTheme="majorBidi" w:cstheme="majorBidi"/>
          <w:b/>
          <w:bCs/>
          <w:sz w:val="24"/>
          <w:szCs w:val="24"/>
        </w:rPr>
        <w:t xml:space="preserve"> </w:t>
      </w:r>
    </w:p>
    <w:p w14:paraId="778AA7FD" w14:textId="1174C7F8" w:rsidR="00D9151F" w:rsidRPr="00D9151F" w:rsidRDefault="00290C9C" w:rsidP="00D9151F">
      <w:pPr>
        <w:pStyle w:val="SingleTxt"/>
        <w:numPr>
          <w:ilvl w:val="2"/>
          <w:numId w:val="5"/>
        </w:numPr>
        <w:tabs>
          <w:tab w:val="clear" w:pos="1742"/>
          <w:tab w:val="clear" w:pos="2218"/>
          <w:tab w:val="left" w:pos="1701"/>
          <w:tab w:val="num" w:pos="1728"/>
        </w:tabs>
        <w:ind w:left="1276" w:firstLine="0"/>
        <w:rPr>
          <w:rFonts w:asciiTheme="majorBidi" w:hAnsiTheme="majorBidi" w:cstheme="majorBidi"/>
          <w:i/>
          <w:iCs/>
        </w:rPr>
      </w:pPr>
      <w:r w:rsidRPr="00C54C48">
        <w:rPr>
          <w:rFonts w:asciiTheme="majorBidi" w:hAnsiTheme="majorBidi" w:cstheme="majorBidi"/>
          <w:lang w:eastAsia="en-GB"/>
        </w:rPr>
        <w:t xml:space="preserve">The Working Group requested the Secretariat to </w:t>
      </w:r>
      <w:r w:rsidR="00AE6C87">
        <w:rPr>
          <w:rFonts w:asciiTheme="majorBidi" w:hAnsiTheme="majorBidi" w:cstheme="majorBidi"/>
          <w:lang w:eastAsia="en-GB"/>
        </w:rPr>
        <w:t>conduct</w:t>
      </w:r>
      <w:r w:rsidRPr="00C54C48">
        <w:rPr>
          <w:rFonts w:asciiTheme="majorBidi" w:hAnsiTheme="majorBidi" w:cstheme="majorBidi"/>
          <w:lang w:eastAsia="en-GB"/>
        </w:rPr>
        <w:t xml:space="preserve"> preparatory work with regard to </w:t>
      </w:r>
      <w:r w:rsidR="00AE6C87">
        <w:rPr>
          <w:rFonts w:asciiTheme="majorBidi" w:hAnsiTheme="majorBidi" w:cstheme="majorBidi"/>
          <w:lang w:eastAsia="en-GB"/>
        </w:rPr>
        <w:t>the funding of an advisory centre</w:t>
      </w:r>
      <w:r w:rsidRPr="00C54C48">
        <w:rPr>
          <w:rFonts w:asciiTheme="majorBidi" w:hAnsiTheme="majorBidi" w:cstheme="majorBidi"/>
          <w:lang w:eastAsia="en-GB"/>
        </w:rPr>
        <w:t xml:space="preserve">, </w:t>
      </w:r>
      <w:r w:rsidR="00AE6C87">
        <w:rPr>
          <w:rFonts w:asciiTheme="majorBidi" w:hAnsiTheme="majorBidi" w:cstheme="majorBidi"/>
          <w:lang w:eastAsia="en-GB"/>
        </w:rPr>
        <w:t>taking into account</w:t>
      </w:r>
      <w:r w:rsidRPr="00C54C48">
        <w:rPr>
          <w:rFonts w:asciiTheme="majorBidi" w:hAnsiTheme="majorBidi" w:cstheme="majorBidi"/>
          <w:lang w:eastAsia="en-GB"/>
        </w:rPr>
        <w:t xml:space="preserve"> the following options: (</w:t>
      </w:r>
      <w:proofErr w:type="spellStart"/>
      <w:r w:rsidRPr="00C54C48">
        <w:rPr>
          <w:rFonts w:asciiTheme="majorBidi" w:hAnsiTheme="majorBidi" w:cstheme="majorBidi"/>
          <w:lang w:eastAsia="en-GB"/>
        </w:rPr>
        <w:t>i</w:t>
      </w:r>
      <w:proofErr w:type="spellEnd"/>
      <w:r w:rsidRPr="00C54C48">
        <w:rPr>
          <w:rFonts w:asciiTheme="majorBidi" w:hAnsiTheme="majorBidi" w:cstheme="majorBidi"/>
          <w:lang w:eastAsia="en-GB"/>
        </w:rPr>
        <w:t xml:space="preserve">) the advisory centre being financed by its members, by a fund established by participating developed States or voluntary contributions from other sources; and (ii) the possibility of the advisory centre charging a fee for its services or a fee to the users of </w:t>
      </w:r>
      <w:r w:rsidR="005A60E1">
        <w:rPr>
          <w:rFonts w:asciiTheme="majorBidi" w:hAnsiTheme="majorBidi" w:cstheme="majorBidi"/>
          <w:lang w:eastAsia="en-GB"/>
        </w:rPr>
        <w:t>ISDS</w:t>
      </w:r>
      <w:r w:rsidRPr="00C54C48">
        <w:rPr>
          <w:rFonts w:asciiTheme="majorBidi" w:hAnsiTheme="majorBidi" w:cstheme="majorBidi"/>
          <w:lang w:eastAsia="en-GB"/>
        </w:rPr>
        <w:t xml:space="preserve"> (A/CN.9/1004, para. 47). Further, it was highlighted that staffing needs </w:t>
      </w:r>
      <w:r w:rsidR="00D1497C">
        <w:rPr>
          <w:rFonts w:asciiTheme="majorBidi" w:hAnsiTheme="majorBidi" w:cstheme="majorBidi"/>
          <w:lang w:eastAsia="en-GB"/>
        </w:rPr>
        <w:t>should</w:t>
      </w:r>
      <w:r w:rsidRPr="00C54C48">
        <w:rPr>
          <w:rFonts w:asciiTheme="majorBidi" w:hAnsiTheme="majorBidi" w:cstheme="majorBidi"/>
          <w:lang w:eastAsia="en-GB"/>
        </w:rPr>
        <w:t xml:space="preserve"> be carefully considered (A/CN.9/1004, para. 37). </w:t>
      </w:r>
    </w:p>
    <w:p w14:paraId="50EB93EF" w14:textId="6AEA61BD" w:rsidR="00290C9C" w:rsidRDefault="005A60E1"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T</w:t>
      </w:r>
      <w:r w:rsidR="00B445B1">
        <w:rPr>
          <w:rFonts w:asciiTheme="majorBidi" w:hAnsiTheme="majorBidi" w:cstheme="majorBidi"/>
        </w:rPr>
        <w:t xml:space="preserve">he Working Group may wish to consider </w:t>
      </w:r>
      <w:r>
        <w:rPr>
          <w:rFonts w:asciiTheme="majorBidi" w:hAnsiTheme="majorBidi" w:cstheme="majorBidi"/>
        </w:rPr>
        <w:t>as a possible model,</w:t>
      </w:r>
      <w:r w:rsidRPr="00C54C48">
        <w:rPr>
          <w:rFonts w:asciiTheme="majorBidi" w:hAnsiTheme="majorBidi" w:cstheme="majorBidi"/>
        </w:rPr>
        <w:t xml:space="preserve"> </w:t>
      </w:r>
      <w:r w:rsidR="007250CD" w:rsidRPr="00C54C48">
        <w:rPr>
          <w:rFonts w:asciiTheme="majorBidi" w:hAnsiTheme="majorBidi" w:cstheme="majorBidi"/>
        </w:rPr>
        <w:t xml:space="preserve">the </w:t>
      </w:r>
      <w:r w:rsidRPr="008C3C79">
        <w:rPr>
          <w:rFonts w:asciiTheme="majorBidi" w:hAnsiTheme="majorBidi" w:cstheme="majorBidi"/>
        </w:rPr>
        <w:t>Advisory Centre on WTO Law</w:t>
      </w:r>
      <w:r w:rsidRPr="00C54C48">
        <w:rPr>
          <w:rFonts w:asciiTheme="majorBidi" w:hAnsiTheme="majorBidi" w:cstheme="majorBidi"/>
        </w:rPr>
        <w:t xml:space="preserve"> </w:t>
      </w:r>
      <w:r>
        <w:rPr>
          <w:rFonts w:asciiTheme="majorBidi" w:hAnsiTheme="majorBidi" w:cstheme="majorBidi"/>
        </w:rPr>
        <w:t>(</w:t>
      </w:r>
      <w:r w:rsidR="007250CD" w:rsidRPr="00C54C48">
        <w:rPr>
          <w:rFonts w:asciiTheme="majorBidi" w:hAnsiTheme="majorBidi" w:cstheme="majorBidi"/>
        </w:rPr>
        <w:t>ACWL</w:t>
      </w:r>
      <w:r>
        <w:rPr>
          <w:rFonts w:asciiTheme="majorBidi" w:hAnsiTheme="majorBidi" w:cstheme="majorBidi"/>
        </w:rPr>
        <w:t>)</w:t>
      </w:r>
      <w:r w:rsidR="007250CD" w:rsidRPr="00C54C48">
        <w:rPr>
          <w:rFonts w:asciiTheme="majorBidi" w:hAnsiTheme="majorBidi" w:cstheme="majorBidi"/>
        </w:rPr>
        <w:t xml:space="preserve"> financial structure. The ACWL is co-financed by its developed and developing country members. The ACWL’s institutional structure is designed to ensure that the ACWL can provide its services to its developing country </w:t>
      </w:r>
      <w:r w:rsidR="00B307D7">
        <w:rPr>
          <w:rFonts w:asciiTheme="majorBidi" w:hAnsiTheme="majorBidi" w:cstheme="majorBidi"/>
        </w:rPr>
        <w:t>m</w:t>
      </w:r>
      <w:r w:rsidR="007250CD" w:rsidRPr="00C54C48">
        <w:rPr>
          <w:rFonts w:asciiTheme="majorBidi" w:hAnsiTheme="majorBidi" w:cstheme="majorBidi"/>
        </w:rPr>
        <w:t>embers and the</w:t>
      </w:r>
      <w:r w:rsidR="00D63646">
        <w:rPr>
          <w:rFonts w:asciiTheme="majorBidi" w:hAnsiTheme="majorBidi" w:cstheme="majorBidi"/>
        </w:rPr>
        <w:t xml:space="preserve"> </w:t>
      </w:r>
      <w:r w:rsidR="00D63646" w:rsidRPr="00C54C48">
        <w:rPr>
          <w:rFonts w:asciiTheme="majorBidi" w:hAnsiTheme="majorBidi" w:cstheme="majorBidi"/>
        </w:rPr>
        <w:t>least develop</w:t>
      </w:r>
      <w:r w:rsidR="001A3632">
        <w:rPr>
          <w:rFonts w:asciiTheme="majorBidi" w:hAnsiTheme="majorBidi" w:cstheme="majorBidi"/>
        </w:rPr>
        <w:t>ed</w:t>
      </w:r>
      <w:r w:rsidR="00D63646" w:rsidRPr="00C54C48">
        <w:rPr>
          <w:rFonts w:asciiTheme="majorBidi" w:hAnsiTheme="majorBidi" w:cstheme="majorBidi"/>
        </w:rPr>
        <w:t xml:space="preserve"> countries</w:t>
      </w:r>
      <w:r w:rsidR="007250CD" w:rsidRPr="00C54C48">
        <w:rPr>
          <w:rFonts w:asciiTheme="majorBidi" w:hAnsiTheme="majorBidi" w:cstheme="majorBidi"/>
        </w:rPr>
        <w:t xml:space="preserve"> </w:t>
      </w:r>
      <w:r w:rsidR="00D63646">
        <w:rPr>
          <w:rFonts w:asciiTheme="majorBidi" w:hAnsiTheme="majorBidi" w:cstheme="majorBidi"/>
        </w:rPr>
        <w:t>(</w:t>
      </w:r>
      <w:r w:rsidR="007250CD" w:rsidRPr="00C54C48">
        <w:rPr>
          <w:rFonts w:asciiTheme="majorBidi" w:hAnsiTheme="majorBidi" w:cstheme="majorBidi"/>
        </w:rPr>
        <w:t>LDCs</w:t>
      </w:r>
      <w:r w:rsidR="00D63646">
        <w:rPr>
          <w:rFonts w:asciiTheme="majorBidi" w:hAnsiTheme="majorBidi" w:cstheme="majorBidi"/>
        </w:rPr>
        <w:t>)</w:t>
      </w:r>
      <w:r w:rsidR="007250CD" w:rsidRPr="00C54C48">
        <w:rPr>
          <w:rFonts w:asciiTheme="majorBidi" w:hAnsiTheme="majorBidi" w:cstheme="majorBidi"/>
        </w:rPr>
        <w:t xml:space="preserve"> independently of any financial considerations or other influence.</w:t>
      </w:r>
      <w:r w:rsidR="007250CD" w:rsidRPr="00C54C48">
        <w:rPr>
          <w:rStyle w:val="FootnoteReference"/>
          <w:rFonts w:asciiTheme="majorBidi" w:hAnsiTheme="majorBidi" w:cstheme="majorBidi"/>
        </w:rPr>
        <w:footnoteReference w:id="2"/>
      </w:r>
      <w:r w:rsidR="007250CD" w:rsidRPr="00C54C48">
        <w:rPr>
          <w:rFonts w:asciiTheme="majorBidi" w:hAnsiTheme="majorBidi" w:cstheme="majorBidi"/>
        </w:rPr>
        <w:t xml:space="preserve"> The Endowment Fund was created from the contributions of both the developed and developing country </w:t>
      </w:r>
      <w:r w:rsidR="00B307D7">
        <w:rPr>
          <w:rFonts w:asciiTheme="majorBidi" w:hAnsiTheme="majorBidi" w:cstheme="majorBidi"/>
        </w:rPr>
        <w:t>m</w:t>
      </w:r>
      <w:r w:rsidR="007250CD" w:rsidRPr="00C54C48">
        <w:rPr>
          <w:rFonts w:asciiTheme="majorBidi" w:hAnsiTheme="majorBidi" w:cstheme="majorBidi"/>
        </w:rPr>
        <w:t xml:space="preserve">embers. The contributions of developing countries vary with each country’s share of world trade and income per capita. LDCs are not required to contribute to the Endowment Fund in order to be entitled to the ACWL’s services. Each of the ACWL developed country </w:t>
      </w:r>
      <w:r w:rsidR="00B307D7">
        <w:rPr>
          <w:rFonts w:asciiTheme="majorBidi" w:hAnsiTheme="majorBidi" w:cstheme="majorBidi"/>
        </w:rPr>
        <w:t>m</w:t>
      </w:r>
      <w:r w:rsidR="007250CD" w:rsidRPr="00C54C48">
        <w:rPr>
          <w:rFonts w:asciiTheme="majorBidi" w:hAnsiTheme="majorBidi" w:cstheme="majorBidi"/>
        </w:rPr>
        <w:t>embers ha</w:t>
      </w:r>
      <w:r w:rsidR="00B307D7">
        <w:rPr>
          <w:rFonts w:asciiTheme="majorBidi" w:hAnsiTheme="majorBidi" w:cstheme="majorBidi"/>
        </w:rPr>
        <w:t>ve</w:t>
      </w:r>
      <w:r w:rsidR="007250CD" w:rsidRPr="00C54C48">
        <w:rPr>
          <w:rFonts w:asciiTheme="majorBidi" w:hAnsiTheme="majorBidi" w:cstheme="majorBidi"/>
        </w:rPr>
        <w:t xml:space="preserve"> contributed at least US$1,000,000 to the Endowment Fund or to the annual budgets of the ACWL or to both. Further, the ACWL charges fees for support in WTO dispute settlement proceedings. Initially, the fees were set out in US dollars in the Agreement of Establishing the ACWL but were converted into CHR following the decision on Currency Conversion adopted by the General Assembly on 25 April 2002. Accordingly, the fees are per hour: CHF40 per hour for LDCs; CHF162 per hour for Category C Members; CHF243 per hour for Category B Members; and CHF324 per hour for Category A Members. These fees are applied to a time budget adopted by the Management Board, which indicates the maximum number of hours that the Member or LDC may expect the ACWL to charge for each procedural step in a typical WTO dispute settlement proceeding. Additionally, the ACWL may accept contributions from governmental and non-governmental sources for specific purposes that are not related to dispute settlement cases, such as training and the traineeship programme.</w:t>
      </w:r>
    </w:p>
    <w:p w14:paraId="5B2AED00" w14:textId="530A5AAF" w:rsidR="00C42F4F" w:rsidRDefault="00C42F4F" w:rsidP="006C16B4">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42F4F">
        <w:rPr>
          <w:rFonts w:asciiTheme="majorBidi" w:hAnsiTheme="majorBidi" w:cstheme="majorBidi"/>
        </w:rPr>
        <w:t xml:space="preserve">The Working Group may wish to note that a </w:t>
      </w:r>
      <w:r w:rsidR="00B445B1">
        <w:rPr>
          <w:rFonts w:asciiTheme="majorBidi" w:hAnsiTheme="majorBidi" w:cstheme="majorBidi"/>
        </w:rPr>
        <w:t>study</w:t>
      </w:r>
      <w:r w:rsidRPr="00C42F4F">
        <w:rPr>
          <w:rFonts w:asciiTheme="majorBidi" w:hAnsiTheme="majorBidi" w:cstheme="majorBidi"/>
        </w:rPr>
        <w:t xml:space="preserve"> has been conducted by interested organizations in cooperation with the Secretariat to estimate the costs of establishing and operating an advisory centre, as well as to identify the possible sources of financing for the centre’s operation (the Study).</w:t>
      </w:r>
      <w:r w:rsidRPr="00C54C48">
        <w:rPr>
          <w:rStyle w:val="FootnoteReference"/>
          <w:rFonts w:asciiTheme="majorBidi" w:hAnsiTheme="majorBidi" w:cstheme="majorBidi"/>
        </w:rPr>
        <w:footnoteReference w:id="3"/>
      </w:r>
      <w:r w:rsidRPr="00C42F4F">
        <w:rPr>
          <w:rFonts w:asciiTheme="majorBidi" w:hAnsiTheme="majorBidi" w:cstheme="majorBidi"/>
        </w:rPr>
        <w:t xml:space="preserve"> The Study is based on various assumptions, given the early stage of the work on this topic.</w:t>
      </w:r>
      <w:r w:rsidRPr="00C54C48">
        <w:rPr>
          <w:rStyle w:val="FootnoteReference"/>
          <w:rFonts w:asciiTheme="majorBidi" w:hAnsiTheme="majorBidi" w:cstheme="majorBidi"/>
        </w:rPr>
        <w:footnoteReference w:id="4"/>
      </w:r>
      <w:r w:rsidRPr="00C42F4F">
        <w:rPr>
          <w:rFonts w:asciiTheme="majorBidi" w:hAnsiTheme="majorBidi" w:cstheme="majorBidi"/>
        </w:rPr>
        <w:t xml:space="preserve"> The main assumptions are that the beneficiaries </w:t>
      </w:r>
      <w:r w:rsidR="005A60E1">
        <w:rPr>
          <w:rFonts w:asciiTheme="majorBidi" w:hAnsiTheme="majorBidi" w:cstheme="majorBidi"/>
        </w:rPr>
        <w:t xml:space="preserve">of the services of the centre </w:t>
      </w:r>
      <w:r w:rsidRPr="00C42F4F">
        <w:rPr>
          <w:rFonts w:asciiTheme="majorBidi" w:hAnsiTheme="majorBidi" w:cstheme="majorBidi"/>
        </w:rPr>
        <w:t xml:space="preserve">would be developing countries with priority given to the </w:t>
      </w:r>
      <w:r w:rsidR="005C7D1E">
        <w:rPr>
          <w:rFonts w:asciiTheme="majorBidi" w:hAnsiTheme="majorBidi" w:cstheme="majorBidi"/>
        </w:rPr>
        <w:t>LDCs</w:t>
      </w:r>
      <w:r w:rsidRPr="00C42F4F">
        <w:rPr>
          <w:rFonts w:asciiTheme="majorBidi" w:hAnsiTheme="majorBidi" w:cstheme="majorBidi"/>
        </w:rPr>
        <w:t>, that cases would be at various stages and “mature” at different times and that the centre would not act as a mediation centre, but merely as a centre that provides advisory services to respondents to engage in mediation.</w:t>
      </w:r>
    </w:p>
    <w:p w14:paraId="789712B6" w14:textId="315D3379" w:rsidR="00290C9C" w:rsidRPr="00F463A2" w:rsidRDefault="00F463A2" w:rsidP="00290C9C">
      <w:pPr>
        <w:pStyle w:val="SingleTxt"/>
        <w:tabs>
          <w:tab w:val="clear" w:pos="1742"/>
          <w:tab w:val="clear" w:pos="2218"/>
          <w:tab w:val="left" w:pos="1701"/>
          <w:tab w:val="num" w:pos="2843"/>
        </w:tabs>
        <w:ind w:left="1276"/>
        <w:rPr>
          <w:rFonts w:asciiTheme="majorBidi" w:hAnsiTheme="majorBidi" w:cstheme="majorBidi"/>
          <w:b/>
          <w:bCs/>
        </w:rPr>
      </w:pPr>
      <w:r w:rsidRPr="00F463A2">
        <w:rPr>
          <w:rFonts w:asciiTheme="majorBidi" w:hAnsiTheme="majorBidi" w:cstheme="majorBidi"/>
          <w:b/>
          <w:bCs/>
        </w:rPr>
        <w:t xml:space="preserve">1.  </w:t>
      </w:r>
      <w:r w:rsidR="00290C9C" w:rsidRPr="00F463A2">
        <w:rPr>
          <w:rFonts w:asciiTheme="majorBidi" w:hAnsiTheme="majorBidi" w:cstheme="majorBidi"/>
          <w:b/>
          <w:bCs/>
        </w:rPr>
        <w:t>Assessment of workload of the advisory centre and costs</w:t>
      </w:r>
    </w:p>
    <w:p w14:paraId="56B5B69E" w14:textId="221AE1F6" w:rsidR="00290C9C" w:rsidRPr="00C54C48" w:rsidRDefault="00290C9C"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t>As the budget of the centre would mainly depend</w:t>
      </w:r>
      <w:r w:rsidR="0033286E">
        <w:rPr>
          <w:rFonts w:asciiTheme="majorBidi" w:hAnsiTheme="majorBidi" w:cstheme="majorBidi"/>
        </w:rPr>
        <w:t xml:space="preserve"> on</w:t>
      </w:r>
      <w:r w:rsidRPr="00C54C48">
        <w:rPr>
          <w:rFonts w:asciiTheme="majorBidi" w:hAnsiTheme="majorBidi" w:cstheme="majorBidi"/>
        </w:rPr>
        <w:t xml:space="preserve"> its staffing, the Study focuse</w:t>
      </w:r>
      <w:r w:rsidR="0033286E">
        <w:rPr>
          <w:rFonts w:asciiTheme="majorBidi" w:hAnsiTheme="majorBidi" w:cstheme="majorBidi"/>
        </w:rPr>
        <w:t>s</w:t>
      </w:r>
      <w:r w:rsidRPr="00C54C48">
        <w:rPr>
          <w:rFonts w:asciiTheme="majorBidi" w:hAnsiTheme="majorBidi" w:cstheme="majorBidi"/>
        </w:rPr>
        <w:t xml:space="preserve"> on the staffing requirement for mediation and arbitration services and estimate</w:t>
      </w:r>
      <w:r w:rsidR="0033286E">
        <w:rPr>
          <w:rFonts w:asciiTheme="majorBidi" w:hAnsiTheme="majorBidi" w:cstheme="majorBidi"/>
        </w:rPr>
        <w:t>s</w:t>
      </w:r>
      <w:r w:rsidRPr="00C54C48">
        <w:rPr>
          <w:rFonts w:asciiTheme="majorBidi" w:hAnsiTheme="majorBidi" w:cstheme="majorBidi"/>
        </w:rPr>
        <w:t xml:space="preserve"> the need </w:t>
      </w:r>
      <w:r w:rsidR="0033286E">
        <w:rPr>
          <w:rFonts w:asciiTheme="majorBidi" w:hAnsiTheme="majorBidi" w:cstheme="majorBidi"/>
        </w:rPr>
        <w:t xml:space="preserve">based on research and </w:t>
      </w:r>
      <w:r w:rsidRPr="00C54C48">
        <w:rPr>
          <w:rFonts w:asciiTheme="majorBidi" w:hAnsiTheme="majorBidi" w:cstheme="majorBidi"/>
        </w:rPr>
        <w:t xml:space="preserve">a statistical analysis of ICSID awards, a </w:t>
      </w:r>
      <w:r w:rsidRPr="00C54C48">
        <w:rPr>
          <w:rFonts w:asciiTheme="majorBidi" w:hAnsiTheme="majorBidi" w:cstheme="majorBidi"/>
        </w:rPr>
        <w:lastRenderedPageBreak/>
        <w:t>range of blended hourly rates and the average duration of the cases in the sample.</w:t>
      </w:r>
      <w:r w:rsidRPr="00C54C48">
        <w:rPr>
          <w:rStyle w:val="FootnoteReference"/>
          <w:rFonts w:asciiTheme="majorBidi" w:hAnsiTheme="majorBidi" w:cstheme="majorBidi"/>
        </w:rPr>
        <w:footnoteReference w:id="5"/>
      </w:r>
      <w:r w:rsidRPr="00C54C48">
        <w:rPr>
          <w:rFonts w:asciiTheme="majorBidi" w:hAnsiTheme="majorBidi" w:cstheme="majorBidi"/>
        </w:rPr>
        <w:t xml:space="preserve"> The estimate does not take into account that some reform options, if adopted</w:t>
      </w:r>
      <w:r w:rsidR="0033286E">
        <w:rPr>
          <w:rFonts w:asciiTheme="majorBidi" w:hAnsiTheme="majorBidi" w:cstheme="majorBidi"/>
        </w:rPr>
        <w:t>, might</w:t>
      </w:r>
      <w:r w:rsidRPr="00C54C48">
        <w:rPr>
          <w:rFonts w:asciiTheme="majorBidi" w:hAnsiTheme="majorBidi" w:cstheme="majorBidi"/>
        </w:rPr>
        <w:t xml:space="preserve"> result in shorter proceedings and require fewer working hours</w:t>
      </w:r>
      <w:r w:rsidR="003B2C4B">
        <w:rPr>
          <w:rFonts w:asciiTheme="majorBidi" w:hAnsiTheme="majorBidi" w:cstheme="majorBidi"/>
        </w:rPr>
        <w:t xml:space="preserve"> per</w:t>
      </w:r>
      <w:r w:rsidR="00FD2D1A">
        <w:rPr>
          <w:rFonts w:asciiTheme="majorBidi" w:hAnsiTheme="majorBidi" w:cstheme="majorBidi"/>
        </w:rPr>
        <w:t xml:space="preserve"> </w:t>
      </w:r>
      <w:r w:rsidRPr="00C54C48">
        <w:rPr>
          <w:rFonts w:asciiTheme="majorBidi" w:hAnsiTheme="majorBidi" w:cstheme="majorBidi"/>
        </w:rPr>
        <w:t xml:space="preserve">case. </w:t>
      </w:r>
    </w:p>
    <w:p w14:paraId="142BB7D3" w14:textId="06E42428" w:rsidR="00290C9C" w:rsidRDefault="00290C9C"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t xml:space="preserve">It follows from the Study that a team of </w:t>
      </w:r>
      <w:r w:rsidR="003109BC">
        <w:rPr>
          <w:rFonts w:asciiTheme="majorBidi" w:hAnsiTheme="majorBidi" w:cstheme="majorBidi"/>
        </w:rPr>
        <w:t>fifteen (</w:t>
      </w:r>
      <w:r w:rsidRPr="00C54C48">
        <w:rPr>
          <w:rFonts w:asciiTheme="majorBidi" w:hAnsiTheme="majorBidi" w:cstheme="majorBidi"/>
        </w:rPr>
        <w:t>15</w:t>
      </w:r>
      <w:r w:rsidR="003109BC">
        <w:rPr>
          <w:rFonts w:asciiTheme="majorBidi" w:hAnsiTheme="majorBidi" w:cstheme="majorBidi"/>
        </w:rPr>
        <w:t>)</w:t>
      </w:r>
      <w:r w:rsidRPr="00C54C48">
        <w:rPr>
          <w:rFonts w:asciiTheme="majorBidi" w:hAnsiTheme="majorBidi" w:cstheme="majorBidi"/>
        </w:rPr>
        <w:t xml:space="preserve"> lawyers and </w:t>
      </w:r>
      <w:r w:rsidR="003109BC">
        <w:rPr>
          <w:rFonts w:asciiTheme="majorBidi" w:hAnsiTheme="majorBidi" w:cstheme="majorBidi"/>
        </w:rPr>
        <w:t>three (</w:t>
      </w:r>
      <w:r w:rsidR="0033286E">
        <w:rPr>
          <w:rFonts w:asciiTheme="majorBidi" w:hAnsiTheme="majorBidi" w:cstheme="majorBidi"/>
        </w:rPr>
        <w:t>3</w:t>
      </w:r>
      <w:r w:rsidR="003109BC">
        <w:rPr>
          <w:rFonts w:asciiTheme="majorBidi" w:hAnsiTheme="majorBidi" w:cstheme="majorBidi"/>
        </w:rPr>
        <w:t>)</w:t>
      </w:r>
      <w:r w:rsidRPr="00C54C48">
        <w:rPr>
          <w:rFonts w:asciiTheme="majorBidi" w:hAnsiTheme="majorBidi" w:cstheme="majorBidi"/>
        </w:rPr>
        <w:t xml:space="preserve"> administrative </w:t>
      </w:r>
      <w:r w:rsidR="003109BC">
        <w:rPr>
          <w:rFonts w:asciiTheme="majorBidi" w:hAnsiTheme="majorBidi" w:cstheme="majorBidi"/>
        </w:rPr>
        <w:t>staff</w:t>
      </w:r>
      <w:r w:rsidR="003109BC" w:rsidRPr="00C54C48">
        <w:rPr>
          <w:rFonts w:asciiTheme="majorBidi" w:hAnsiTheme="majorBidi" w:cstheme="majorBidi"/>
        </w:rPr>
        <w:t xml:space="preserve"> </w:t>
      </w:r>
      <w:r w:rsidRPr="00C54C48">
        <w:rPr>
          <w:rFonts w:asciiTheme="majorBidi" w:hAnsiTheme="majorBidi" w:cstheme="majorBidi"/>
        </w:rPr>
        <w:t xml:space="preserve">could handle 4-6 mediation cases and 7-9 arbitration cases concurrently, while also providing some assistance during cooling-off periods. If it were decided to start with a smaller team and expand over time, a team of eight </w:t>
      </w:r>
      <w:r w:rsidR="003109BC">
        <w:rPr>
          <w:rFonts w:asciiTheme="majorBidi" w:hAnsiTheme="majorBidi" w:cstheme="majorBidi"/>
        </w:rPr>
        <w:t xml:space="preserve">(8) </w:t>
      </w:r>
      <w:r w:rsidRPr="00C54C48">
        <w:rPr>
          <w:rFonts w:asciiTheme="majorBidi" w:hAnsiTheme="majorBidi" w:cstheme="majorBidi"/>
        </w:rPr>
        <w:t xml:space="preserve">lawyers and two </w:t>
      </w:r>
      <w:r w:rsidR="003109BC">
        <w:rPr>
          <w:rFonts w:asciiTheme="majorBidi" w:hAnsiTheme="majorBidi" w:cstheme="majorBidi"/>
        </w:rPr>
        <w:t xml:space="preserve">(2) </w:t>
      </w:r>
      <w:r w:rsidRPr="00C54C48">
        <w:rPr>
          <w:rFonts w:asciiTheme="majorBidi" w:hAnsiTheme="majorBidi" w:cstheme="majorBidi"/>
        </w:rPr>
        <w:t>administrative staff could, on the basis of a conservative estimate, handle 2-3 mediation cases and 3-4 arbitration cases concurrently, while also providing some assistance during cooling-off periods. Both scenarios include the costs of a secondment programme, which would allow government lawyers f</w:t>
      </w:r>
      <w:r w:rsidR="00A0276C">
        <w:rPr>
          <w:rFonts w:asciiTheme="majorBidi" w:hAnsiTheme="majorBidi" w:cstheme="majorBidi"/>
        </w:rPr>
        <w:t>r</w:t>
      </w:r>
      <w:r w:rsidRPr="00C54C48">
        <w:rPr>
          <w:rFonts w:asciiTheme="majorBidi" w:hAnsiTheme="majorBidi" w:cstheme="majorBidi"/>
        </w:rPr>
        <w:t xml:space="preserve">om member countries to join staff of the centre as paid seconded for a period to be determined (see A/CN.9/1004, para. 44). </w:t>
      </w:r>
      <w:r w:rsidR="006C16B4">
        <w:rPr>
          <w:rFonts w:asciiTheme="majorBidi" w:hAnsiTheme="majorBidi" w:cstheme="majorBidi"/>
        </w:rPr>
        <w:t>More staff might be required if further activities should be undertaken by the centre.</w:t>
      </w:r>
    </w:p>
    <w:p w14:paraId="6C37C6C2" w14:textId="450BF22F" w:rsidR="00290C9C" w:rsidRPr="00F463A2" w:rsidRDefault="00F463A2" w:rsidP="00290C9C">
      <w:pPr>
        <w:pStyle w:val="SingleTxt"/>
        <w:tabs>
          <w:tab w:val="clear" w:pos="1742"/>
          <w:tab w:val="clear" w:pos="2218"/>
          <w:tab w:val="left" w:pos="1701"/>
          <w:tab w:val="num" w:pos="2843"/>
        </w:tabs>
        <w:ind w:left="1276"/>
        <w:rPr>
          <w:rFonts w:asciiTheme="majorBidi" w:hAnsiTheme="majorBidi" w:cstheme="majorBidi"/>
          <w:b/>
          <w:bCs/>
        </w:rPr>
      </w:pPr>
      <w:r w:rsidRPr="00F463A2">
        <w:rPr>
          <w:rFonts w:asciiTheme="majorBidi" w:hAnsiTheme="majorBidi" w:cstheme="majorBidi"/>
          <w:b/>
          <w:bCs/>
        </w:rPr>
        <w:t xml:space="preserve">2. </w:t>
      </w:r>
      <w:r w:rsidR="00290C9C" w:rsidRPr="00F463A2">
        <w:rPr>
          <w:rFonts w:asciiTheme="majorBidi" w:hAnsiTheme="majorBidi" w:cstheme="majorBidi"/>
          <w:b/>
          <w:bCs/>
        </w:rPr>
        <w:t xml:space="preserve">Budget as outlined in Annex </w:t>
      </w:r>
      <w:r w:rsidR="00ED078A">
        <w:rPr>
          <w:rFonts w:asciiTheme="majorBidi" w:hAnsiTheme="majorBidi" w:cstheme="majorBidi"/>
          <w:b/>
          <w:bCs/>
        </w:rPr>
        <w:t>1</w:t>
      </w:r>
    </w:p>
    <w:p w14:paraId="32D0E7A7" w14:textId="7B413932" w:rsidR="00290C9C" w:rsidRPr="00C54C48" w:rsidRDefault="00B445B1"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 xml:space="preserve">The Working Group may wish to consider the hypothetical budget of an advisory centre in Annex </w:t>
      </w:r>
      <w:r w:rsidR="00ED078A">
        <w:rPr>
          <w:rFonts w:asciiTheme="majorBidi" w:hAnsiTheme="majorBidi" w:cstheme="majorBidi"/>
        </w:rPr>
        <w:t>1</w:t>
      </w:r>
      <w:r>
        <w:rPr>
          <w:rFonts w:asciiTheme="majorBidi" w:hAnsiTheme="majorBidi" w:cstheme="majorBidi"/>
        </w:rPr>
        <w:t xml:space="preserve"> to this note. It is</w:t>
      </w:r>
      <w:r w:rsidR="00290C9C" w:rsidRPr="00C54C48">
        <w:rPr>
          <w:rFonts w:asciiTheme="majorBidi" w:hAnsiTheme="majorBidi" w:cstheme="majorBidi"/>
        </w:rPr>
        <w:t xml:space="preserve"> base</w:t>
      </w:r>
      <w:r>
        <w:rPr>
          <w:rFonts w:asciiTheme="majorBidi" w:hAnsiTheme="majorBidi" w:cstheme="majorBidi"/>
        </w:rPr>
        <w:t>d</w:t>
      </w:r>
      <w:r w:rsidR="00290C9C" w:rsidRPr="00C54C48">
        <w:rPr>
          <w:rFonts w:asciiTheme="majorBidi" w:hAnsiTheme="majorBidi" w:cstheme="majorBidi"/>
        </w:rPr>
        <w:t xml:space="preserve"> on the </w:t>
      </w:r>
      <w:r w:rsidR="00F463A2">
        <w:rPr>
          <w:rFonts w:asciiTheme="majorBidi" w:hAnsiTheme="majorBidi" w:cstheme="majorBidi"/>
        </w:rPr>
        <w:t>standards applied in the United Nations.</w:t>
      </w:r>
      <w:r w:rsidR="00F463A2">
        <w:rPr>
          <w:rStyle w:val="FootnoteReference"/>
          <w:rFonts w:asciiTheme="majorBidi" w:hAnsiTheme="majorBidi" w:cstheme="majorBidi"/>
        </w:rPr>
        <w:footnoteReference w:id="6"/>
      </w:r>
      <w:r w:rsidR="00F463A2">
        <w:rPr>
          <w:rFonts w:asciiTheme="majorBidi" w:hAnsiTheme="majorBidi" w:cstheme="majorBidi"/>
        </w:rPr>
        <w:t xml:space="preserve"> </w:t>
      </w:r>
    </w:p>
    <w:p w14:paraId="1353D028" w14:textId="44D83A4E" w:rsidR="00290C9C" w:rsidRPr="00B445B1" w:rsidRDefault="00290C9C" w:rsidP="00B445B1">
      <w:pPr>
        <w:pStyle w:val="SingleTxt"/>
        <w:numPr>
          <w:ilvl w:val="0"/>
          <w:numId w:val="16"/>
        </w:numPr>
        <w:tabs>
          <w:tab w:val="clear" w:pos="1742"/>
          <w:tab w:val="clear" w:pos="2218"/>
          <w:tab w:val="left" w:pos="1701"/>
        </w:tabs>
        <w:rPr>
          <w:rFonts w:asciiTheme="majorBidi" w:hAnsiTheme="majorBidi" w:cstheme="majorBidi"/>
          <w:i/>
          <w:iCs/>
        </w:rPr>
      </w:pPr>
      <w:r w:rsidRPr="00B445B1">
        <w:rPr>
          <w:rFonts w:asciiTheme="majorBidi" w:hAnsiTheme="majorBidi" w:cstheme="majorBidi"/>
          <w:i/>
          <w:iCs/>
        </w:rPr>
        <w:t>Scenario A</w:t>
      </w:r>
    </w:p>
    <w:p w14:paraId="116543E2" w14:textId="653FF2BE" w:rsidR="00290C9C" w:rsidRPr="00C54C48" w:rsidRDefault="00290C9C"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t>The installation (and therefore non-recurring) costs of the centre would amount to US$274,</w:t>
      </w:r>
      <w:r w:rsidR="006C16B4">
        <w:rPr>
          <w:rFonts w:asciiTheme="majorBidi" w:hAnsiTheme="majorBidi" w:cstheme="majorBidi"/>
        </w:rPr>
        <w:t>525</w:t>
      </w:r>
      <w:r w:rsidRPr="00C54C48">
        <w:rPr>
          <w:rFonts w:asciiTheme="majorBidi" w:hAnsiTheme="majorBidi" w:cstheme="majorBidi"/>
        </w:rPr>
        <w:t xml:space="preserve"> and the recurring costs (not including rent, travel and translation costs, experts, tribunal costs, etc.) would amount to US$</w:t>
      </w:r>
      <w:r w:rsidR="006C16B4">
        <w:rPr>
          <w:rFonts w:asciiTheme="majorBidi" w:hAnsiTheme="majorBidi" w:cstheme="majorBidi"/>
        </w:rPr>
        <w:t>4</w:t>
      </w:r>
      <w:r w:rsidRPr="00C54C48">
        <w:rPr>
          <w:rFonts w:asciiTheme="majorBidi" w:hAnsiTheme="majorBidi" w:cstheme="majorBidi"/>
        </w:rPr>
        <w:t>,</w:t>
      </w:r>
      <w:r w:rsidR="006C16B4">
        <w:rPr>
          <w:rFonts w:asciiTheme="majorBidi" w:hAnsiTheme="majorBidi" w:cstheme="majorBidi"/>
        </w:rPr>
        <w:t>115</w:t>
      </w:r>
      <w:r w:rsidRPr="00C54C48">
        <w:rPr>
          <w:rFonts w:asciiTheme="majorBidi" w:hAnsiTheme="majorBidi" w:cstheme="majorBidi"/>
        </w:rPr>
        <w:t>,</w:t>
      </w:r>
      <w:r w:rsidR="006C16B4">
        <w:rPr>
          <w:rFonts w:asciiTheme="majorBidi" w:hAnsiTheme="majorBidi" w:cstheme="majorBidi"/>
        </w:rPr>
        <w:t>866</w:t>
      </w:r>
      <w:r w:rsidRPr="00C54C48">
        <w:rPr>
          <w:rFonts w:asciiTheme="majorBidi" w:hAnsiTheme="majorBidi" w:cstheme="majorBidi"/>
        </w:rPr>
        <w:t xml:space="preserve"> per annum, assuming that the centre has </w:t>
      </w:r>
      <w:r w:rsidR="005F3016">
        <w:rPr>
          <w:rFonts w:asciiTheme="majorBidi" w:hAnsiTheme="majorBidi" w:cstheme="majorBidi"/>
        </w:rPr>
        <w:t>fifteen (</w:t>
      </w:r>
      <w:r w:rsidRPr="00C54C48">
        <w:rPr>
          <w:rFonts w:asciiTheme="majorBidi" w:hAnsiTheme="majorBidi" w:cstheme="majorBidi"/>
        </w:rPr>
        <w:t>15</w:t>
      </w:r>
      <w:r w:rsidR="005F3016">
        <w:rPr>
          <w:rFonts w:asciiTheme="majorBidi" w:hAnsiTheme="majorBidi" w:cstheme="majorBidi"/>
        </w:rPr>
        <w:t>)</w:t>
      </w:r>
      <w:r w:rsidRPr="00C54C48">
        <w:rPr>
          <w:rFonts w:asciiTheme="majorBidi" w:hAnsiTheme="majorBidi" w:cstheme="majorBidi"/>
        </w:rPr>
        <w:t xml:space="preserve"> lawyers as staff, one </w:t>
      </w:r>
      <w:r w:rsidR="005F3016">
        <w:rPr>
          <w:rFonts w:asciiTheme="majorBidi" w:hAnsiTheme="majorBidi" w:cstheme="majorBidi"/>
        </w:rPr>
        <w:t xml:space="preserve">(1) </w:t>
      </w:r>
      <w:r w:rsidRPr="00C54C48">
        <w:rPr>
          <w:rFonts w:asciiTheme="majorBidi" w:hAnsiTheme="majorBidi" w:cstheme="majorBidi"/>
        </w:rPr>
        <w:t xml:space="preserve">executive director, three </w:t>
      </w:r>
      <w:r w:rsidR="005F3016">
        <w:rPr>
          <w:rFonts w:asciiTheme="majorBidi" w:hAnsiTheme="majorBidi" w:cstheme="majorBidi"/>
        </w:rPr>
        <w:t xml:space="preserve">(3) </w:t>
      </w:r>
      <w:r w:rsidRPr="00C54C48">
        <w:rPr>
          <w:rFonts w:asciiTheme="majorBidi" w:hAnsiTheme="majorBidi" w:cstheme="majorBidi"/>
        </w:rPr>
        <w:t xml:space="preserve">senior associates, three </w:t>
      </w:r>
      <w:r w:rsidR="005F3016">
        <w:rPr>
          <w:rFonts w:asciiTheme="majorBidi" w:hAnsiTheme="majorBidi" w:cstheme="majorBidi"/>
        </w:rPr>
        <w:t xml:space="preserve">(3) </w:t>
      </w:r>
      <w:r w:rsidRPr="00C54C48">
        <w:rPr>
          <w:rFonts w:asciiTheme="majorBidi" w:hAnsiTheme="majorBidi" w:cstheme="majorBidi"/>
        </w:rPr>
        <w:t xml:space="preserve">upper mid-level associates, two </w:t>
      </w:r>
      <w:r w:rsidR="005F3016">
        <w:rPr>
          <w:rFonts w:asciiTheme="majorBidi" w:hAnsiTheme="majorBidi" w:cstheme="majorBidi"/>
        </w:rPr>
        <w:t xml:space="preserve">(2) </w:t>
      </w:r>
      <w:r w:rsidRPr="00C54C48">
        <w:rPr>
          <w:rFonts w:asciiTheme="majorBidi" w:hAnsiTheme="majorBidi" w:cstheme="majorBidi"/>
        </w:rPr>
        <w:t xml:space="preserve">mid-level associates, three </w:t>
      </w:r>
      <w:r w:rsidR="005F3016">
        <w:rPr>
          <w:rFonts w:asciiTheme="majorBidi" w:hAnsiTheme="majorBidi" w:cstheme="majorBidi"/>
        </w:rPr>
        <w:t xml:space="preserve">(3) </w:t>
      </w:r>
      <w:r w:rsidRPr="00C54C48">
        <w:rPr>
          <w:rFonts w:asciiTheme="majorBidi" w:hAnsiTheme="majorBidi" w:cstheme="majorBidi"/>
        </w:rPr>
        <w:t xml:space="preserve">junior associates, </w:t>
      </w:r>
      <w:r w:rsidR="00807C40">
        <w:rPr>
          <w:rFonts w:asciiTheme="majorBidi" w:hAnsiTheme="majorBidi" w:cstheme="majorBidi"/>
        </w:rPr>
        <w:t xml:space="preserve">and </w:t>
      </w:r>
      <w:r w:rsidRPr="00C54C48">
        <w:rPr>
          <w:rFonts w:asciiTheme="majorBidi" w:hAnsiTheme="majorBidi" w:cstheme="majorBidi"/>
        </w:rPr>
        <w:t xml:space="preserve">three </w:t>
      </w:r>
      <w:r w:rsidR="005F3016">
        <w:rPr>
          <w:rFonts w:asciiTheme="majorBidi" w:hAnsiTheme="majorBidi" w:cstheme="majorBidi"/>
        </w:rPr>
        <w:t xml:space="preserve">(3) </w:t>
      </w:r>
      <w:r w:rsidRPr="00C54C48">
        <w:rPr>
          <w:rFonts w:asciiTheme="majorBidi" w:hAnsiTheme="majorBidi" w:cstheme="majorBidi"/>
        </w:rPr>
        <w:t>secondees. The total costs of establishing the centre and operating it for the first year would be US$</w:t>
      </w:r>
      <w:r w:rsidR="006C16B4">
        <w:rPr>
          <w:rFonts w:asciiTheme="majorBidi" w:hAnsiTheme="majorBidi" w:cstheme="majorBidi"/>
        </w:rPr>
        <w:t>4</w:t>
      </w:r>
      <w:r w:rsidRPr="00C54C48">
        <w:rPr>
          <w:rFonts w:asciiTheme="majorBidi" w:hAnsiTheme="majorBidi" w:cstheme="majorBidi"/>
        </w:rPr>
        <w:t>,</w:t>
      </w:r>
      <w:r w:rsidR="006C16B4">
        <w:rPr>
          <w:rFonts w:asciiTheme="majorBidi" w:hAnsiTheme="majorBidi" w:cstheme="majorBidi"/>
        </w:rPr>
        <w:t>289</w:t>
      </w:r>
      <w:r w:rsidRPr="00C54C48">
        <w:rPr>
          <w:rFonts w:asciiTheme="majorBidi" w:hAnsiTheme="majorBidi" w:cstheme="majorBidi"/>
        </w:rPr>
        <w:t>,</w:t>
      </w:r>
      <w:r w:rsidR="006C16B4">
        <w:rPr>
          <w:rFonts w:asciiTheme="majorBidi" w:hAnsiTheme="majorBidi" w:cstheme="majorBidi"/>
        </w:rPr>
        <w:t>670</w:t>
      </w:r>
      <w:r w:rsidRPr="00C54C48">
        <w:rPr>
          <w:rFonts w:asciiTheme="majorBidi" w:hAnsiTheme="majorBidi" w:cstheme="majorBidi"/>
        </w:rPr>
        <w:t xml:space="preserve">. </w:t>
      </w:r>
    </w:p>
    <w:p w14:paraId="74E9F52A" w14:textId="054A5DE7" w:rsidR="00290C9C" w:rsidRPr="00B445B1" w:rsidRDefault="00290C9C" w:rsidP="00B445B1">
      <w:pPr>
        <w:pStyle w:val="SingleTxt"/>
        <w:numPr>
          <w:ilvl w:val="0"/>
          <w:numId w:val="16"/>
        </w:numPr>
        <w:tabs>
          <w:tab w:val="clear" w:pos="1742"/>
          <w:tab w:val="clear" w:pos="2218"/>
          <w:tab w:val="left" w:pos="1701"/>
        </w:tabs>
        <w:rPr>
          <w:rFonts w:asciiTheme="majorBidi" w:hAnsiTheme="majorBidi" w:cstheme="majorBidi"/>
          <w:i/>
          <w:iCs/>
        </w:rPr>
      </w:pPr>
      <w:r w:rsidRPr="00B445B1">
        <w:rPr>
          <w:rFonts w:asciiTheme="majorBidi" w:hAnsiTheme="majorBidi" w:cstheme="majorBidi"/>
          <w:i/>
          <w:iCs/>
        </w:rPr>
        <w:t>Scenario B</w:t>
      </w:r>
    </w:p>
    <w:p w14:paraId="4E6F31B6" w14:textId="41AFCE4F" w:rsidR="00290C9C" w:rsidRPr="00C54C48" w:rsidRDefault="00290C9C"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i/>
          <w:iCs/>
        </w:rPr>
      </w:pPr>
      <w:r w:rsidRPr="00C54C48">
        <w:rPr>
          <w:rFonts w:asciiTheme="majorBidi" w:hAnsiTheme="majorBidi" w:cstheme="majorBidi"/>
        </w:rPr>
        <w:t>On the other hand, the installation (and therefore non-recurring) costs of the centre would amount to US$2</w:t>
      </w:r>
      <w:r w:rsidR="006C16B4">
        <w:rPr>
          <w:rFonts w:asciiTheme="majorBidi" w:hAnsiTheme="majorBidi" w:cstheme="majorBidi"/>
        </w:rPr>
        <w:t>52,914</w:t>
      </w:r>
      <w:r w:rsidRPr="00C54C48">
        <w:rPr>
          <w:rFonts w:asciiTheme="majorBidi" w:hAnsiTheme="majorBidi" w:cstheme="majorBidi"/>
        </w:rPr>
        <w:t>, and the recurring costs would amount to US$</w:t>
      </w:r>
      <w:r w:rsidR="006C16B4">
        <w:rPr>
          <w:rFonts w:asciiTheme="majorBidi" w:hAnsiTheme="majorBidi" w:cstheme="majorBidi"/>
        </w:rPr>
        <w:t>3</w:t>
      </w:r>
      <w:r w:rsidRPr="00C54C48">
        <w:rPr>
          <w:rFonts w:asciiTheme="majorBidi" w:hAnsiTheme="majorBidi" w:cstheme="majorBidi"/>
        </w:rPr>
        <w:t>,</w:t>
      </w:r>
      <w:r w:rsidR="006C16B4">
        <w:rPr>
          <w:rFonts w:asciiTheme="majorBidi" w:hAnsiTheme="majorBidi" w:cstheme="majorBidi"/>
        </w:rPr>
        <w:t>040</w:t>
      </w:r>
      <w:r w:rsidRPr="00C54C48">
        <w:rPr>
          <w:rFonts w:asciiTheme="majorBidi" w:hAnsiTheme="majorBidi" w:cstheme="majorBidi"/>
        </w:rPr>
        <w:t>,</w:t>
      </w:r>
      <w:r w:rsidR="006C16B4">
        <w:rPr>
          <w:rFonts w:asciiTheme="majorBidi" w:hAnsiTheme="majorBidi" w:cstheme="majorBidi"/>
        </w:rPr>
        <w:t>824</w:t>
      </w:r>
      <w:r w:rsidRPr="00C54C48">
        <w:rPr>
          <w:rFonts w:asciiTheme="majorBidi" w:hAnsiTheme="majorBidi" w:cstheme="majorBidi"/>
        </w:rPr>
        <w:t xml:space="preserve"> per annum, assuming that the centre has a staff of </w:t>
      </w:r>
      <w:r w:rsidR="002E7303">
        <w:rPr>
          <w:rFonts w:asciiTheme="majorBidi" w:hAnsiTheme="majorBidi" w:cstheme="majorBidi"/>
        </w:rPr>
        <w:t>eight (</w:t>
      </w:r>
      <w:r w:rsidRPr="00C54C48">
        <w:rPr>
          <w:rFonts w:asciiTheme="majorBidi" w:hAnsiTheme="majorBidi" w:cstheme="majorBidi"/>
        </w:rPr>
        <w:t>8</w:t>
      </w:r>
      <w:r w:rsidR="002E7303">
        <w:rPr>
          <w:rFonts w:asciiTheme="majorBidi" w:hAnsiTheme="majorBidi" w:cstheme="majorBidi"/>
        </w:rPr>
        <w:t>)</w:t>
      </w:r>
      <w:r w:rsidRPr="00C54C48">
        <w:rPr>
          <w:rFonts w:asciiTheme="majorBidi" w:hAnsiTheme="majorBidi" w:cstheme="majorBidi"/>
        </w:rPr>
        <w:t xml:space="preserve"> lawyers, one </w:t>
      </w:r>
      <w:r w:rsidR="002E7303">
        <w:rPr>
          <w:rFonts w:asciiTheme="majorBidi" w:hAnsiTheme="majorBidi" w:cstheme="majorBidi"/>
        </w:rPr>
        <w:t xml:space="preserve">(1) </w:t>
      </w:r>
      <w:r w:rsidRPr="00C54C48">
        <w:rPr>
          <w:rFonts w:asciiTheme="majorBidi" w:hAnsiTheme="majorBidi" w:cstheme="majorBidi"/>
        </w:rPr>
        <w:t xml:space="preserve">executive director, two </w:t>
      </w:r>
      <w:r w:rsidR="002E7303">
        <w:rPr>
          <w:rFonts w:asciiTheme="majorBidi" w:hAnsiTheme="majorBidi" w:cstheme="majorBidi"/>
        </w:rPr>
        <w:t xml:space="preserve">(2) </w:t>
      </w:r>
      <w:r w:rsidRPr="00C54C48">
        <w:rPr>
          <w:rFonts w:asciiTheme="majorBidi" w:hAnsiTheme="majorBidi" w:cstheme="majorBidi"/>
        </w:rPr>
        <w:t xml:space="preserve">senior associates, one </w:t>
      </w:r>
      <w:r w:rsidR="002E7303">
        <w:rPr>
          <w:rFonts w:asciiTheme="majorBidi" w:hAnsiTheme="majorBidi" w:cstheme="majorBidi"/>
        </w:rPr>
        <w:t xml:space="preserve">(1) </w:t>
      </w:r>
      <w:r w:rsidRPr="00C54C48">
        <w:rPr>
          <w:rFonts w:asciiTheme="majorBidi" w:hAnsiTheme="majorBidi" w:cstheme="majorBidi"/>
        </w:rPr>
        <w:t>upper mid-level associate, one</w:t>
      </w:r>
      <w:r w:rsidR="002E7303">
        <w:rPr>
          <w:rFonts w:asciiTheme="majorBidi" w:hAnsiTheme="majorBidi" w:cstheme="majorBidi"/>
        </w:rPr>
        <w:t xml:space="preserve"> (1)</w:t>
      </w:r>
      <w:r w:rsidRPr="00C54C48">
        <w:rPr>
          <w:rFonts w:asciiTheme="majorBidi" w:hAnsiTheme="majorBidi" w:cstheme="majorBidi"/>
        </w:rPr>
        <w:t xml:space="preserve"> mid-level associate, one </w:t>
      </w:r>
      <w:r w:rsidR="002E7303">
        <w:rPr>
          <w:rFonts w:asciiTheme="majorBidi" w:hAnsiTheme="majorBidi" w:cstheme="majorBidi"/>
        </w:rPr>
        <w:t xml:space="preserve">(1) </w:t>
      </w:r>
      <w:r w:rsidRPr="00C54C48">
        <w:rPr>
          <w:rFonts w:asciiTheme="majorBidi" w:hAnsiTheme="majorBidi" w:cstheme="majorBidi"/>
        </w:rPr>
        <w:t xml:space="preserve">junior associate, and two </w:t>
      </w:r>
      <w:r w:rsidR="002E7303">
        <w:rPr>
          <w:rFonts w:asciiTheme="majorBidi" w:hAnsiTheme="majorBidi" w:cstheme="majorBidi"/>
        </w:rPr>
        <w:t xml:space="preserve">(2) </w:t>
      </w:r>
      <w:r w:rsidRPr="00C54C48">
        <w:rPr>
          <w:rFonts w:asciiTheme="majorBidi" w:hAnsiTheme="majorBidi" w:cstheme="majorBidi"/>
        </w:rPr>
        <w:t>secondees. The total costs of establishing the centre and operating it for the first year would be US$</w:t>
      </w:r>
      <w:r w:rsidR="006C16B4">
        <w:rPr>
          <w:rFonts w:asciiTheme="majorBidi" w:hAnsiTheme="majorBidi" w:cstheme="majorBidi"/>
        </w:rPr>
        <w:t>3</w:t>
      </w:r>
      <w:r w:rsidRPr="00C54C48">
        <w:rPr>
          <w:rFonts w:asciiTheme="majorBidi" w:hAnsiTheme="majorBidi" w:cstheme="majorBidi"/>
        </w:rPr>
        <w:t>,</w:t>
      </w:r>
      <w:r w:rsidR="006C16B4">
        <w:rPr>
          <w:rFonts w:asciiTheme="majorBidi" w:hAnsiTheme="majorBidi" w:cstheme="majorBidi"/>
        </w:rPr>
        <w:t>110,769</w:t>
      </w:r>
      <w:r w:rsidRPr="00C54C48">
        <w:rPr>
          <w:rFonts w:asciiTheme="majorBidi" w:hAnsiTheme="majorBidi" w:cstheme="majorBidi"/>
        </w:rPr>
        <w:t>.</w:t>
      </w:r>
      <w:r w:rsidRPr="00C54C48">
        <w:rPr>
          <w:rFonts w:asciiTheme="majorBidi" w:hAnsiTheme="majorBidi" w:cstheme="majorBidi"/>
          <w:i/>
          <w:iCs/>
        </w:rPr>
        <w:t xml:space="preserve"> </w:t>
      </w:r>
    </w:p>
    <w:p w14:paraId="1AD2EADC" w14:textId="43935BFB" w:rsidR="00290C9C" w:rsidRPr="00F463A2" w:rsidRDefault="00F463A2" w:rsidP="00290C9C">
      <w:pPr>
        <w:pStyle w:val="SingleTxt"/>
        <w:tabs>
          <w:tab w:val="clear" w:pos="1742"/>
          <w:tab w:val="clear" w:pos="2218"/>
          <w:tab w:val="left" w:pos="1701"/>
          <w:tab w:val="num" w:pos="2843"/>
        </w:tabs>
        <w:ind w:left="1276"/>
        <w:rPr>
          <w:rFonts w:asciiTheme="majorBidi" w:hAnsiTheme="majorBidi" w:cstheme="majorBidi"/>
          <w:b/>
          <w:bCs/>
        </w:rPr>
      </w:pPr>
      <w:r w:rsidRPr="00F463A2">
        <w:rPr>
          <w:rFonts w:asciiTheme="majorBidi" w:hAnsiTheme="majorBidi" w:cstheme="majorBidi"/>
          <w:b/>
          <w:bCs/>
        </w:rPr>
        <w:t xml:space="preserve">3. </w:t>
      </w:r>
      <w:r w:rsidR="00290C9C" w:rsidRPr="00F463A2">
        <w:rPr>
          <w:rFonts w:asciiTheme="majorBidi" w:hAnsiTheme="majorBidi" w:cstheme="majorBidi"/>
          <w:b/>
          <w:bCs/>
        </w:rPr>
        <w:t>Ways of financing these costs</w:t>
      </w:r>
      <w:r w:rsidR="00290C9C" w:rsidRPr="00F463A2">
        <w:rPr>
          <w:rFonts w:asciiTheme="majorBidi" w:hAnsiTheme="majorBidi" w:cstheme="majorBidi"/>
          <w:b/>
          <w:bCs/>
        </w:rPr>
        <w:tab/>
      </w:r>
    </w:p>
    <w:p w14:paraId="02421F31" w14:textId="2CDA5074" w:rsidR="0089645C" w:rsidRDefault="0089645C" w:rsidP="006C16B4">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t xml:space="preserve">The Study suggests that funding of USD 16 million would be required for the </w:t>
      </w:r>
      <w:r>
        <w:rPr>
          <w:rFonts w:asciiTheme="majorBidi" w:hAnsiTheme="majorBidi" w:cstheme="majorBidi"/>
        </w:rPr>
        <w:t>establishment and functioning of the advisory centre</w:t>
      </w:r>
      <w:r w:rsidRPr="00C54C48">
        <w:rPr>
          <w:rFonts w:asciiTheme="majorBidi" w:hAnsiTheme="majorBidi" w:cstheme="majorBidi"/>
        </w:rPr>
        <w:t xml:space="preserve"> for five years under Scenario </w:t>
      </w:r>
      <w:r w:rsidR="00AA1E3B">
        <w:rPr>
          <w:rFonts w:asciiTheme="majorBidi" w:hAnsiTheme="majorBidi" w:cstheme="majorBidi"/>
        </w:rPr>
        <w:t>A</w:t>
      </w:r>
      <w:r w:rsidRPr="00C54C48">
        <w:rPr>
          <w:rFonts w:asciiTheme="majorBidi" w:hAnsiTheme="majorBidi" w:cstheme="majorBidi"/>
        </w:rPr>
        <w:t xml:space="preserve">. Alternatively, it suggests that funding of USD </w:t>
      </w:r>
      <w:r w:rsidR="00717D19">
        <w:rPr>
          <w:rFonts w:asciiTheme="majorBidi" w:hAnsiTheme="majorBidi" w:cstheme="majorBidi"/>
        </w:rPr>
        <w:t xml:space="preserve">10 </w:t>
      </w:r>
      <w:r w:rsidRPr="00C54C48">
        <w:rPr>
          <w:rFonts w:asciiTheme="majorBidi" w:hAnsiTheme="majorBidi" w:cstheme="majorBidi"/>
        </w:rPr>
        <w:t xml:space="preserve">million would be required under Scenario </w:t>
      </w:r>
      <w:r w:rsidR="00AA1E3B">
        <w:rPr>
          <w:rFonts w:asciiTheme="majorBidi" w:hAnsiTheme="majorBidi" w:cstheme="majorBidi"/>
        </w:rPr>
        <w:t>B</w:t>
      </w:r>
      <w:r w:rsidRPr="00C54C48">
        <w:rPr>
          <w:rFonts w:asciiTheme="majorBidi" w:hAnsiTheme="majorBidi" w:cstheme="majorBidi"/>
        </w:rPr>
        <w:t>.</w:t>
      </w:r>
    </w:p>
    <w:p w14:paraId="75EBE99D" w14:textId="0EADC702" w:rsidR="007250CD" w:rsidRDefault="003F3970" w:rsidP="006C16B4">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7250CD">
        <w:rPr>
          <w:rFonts w:asciiTheme="majorBidi" w:hAnsiTheme="majorBidi" w:cstheme="majorBidi"/>
          <w:lang w:eastAsia="en-GB"/>
        </w:rPr>
        <w:t xml:space="preserve">The Working Group </w:t>
      </w:r>
      <w:r w:rsidR="0033286E" w:rsidRPr="007250CD">
        <w:rPr>
          <w:rFonts w:asciiTheme="majorBidi" w:hAnsiTheme="majorBidi" w:cstheme="majorBidi"/>
          <w:lang w:eastAsia="en-GB"/>
        </w:rPr>
        <w:t>may</w:t>
      </w:r>
      <w:r w:rsidRPr="007250CD">
        <w:rPr>
          <w:rFonts w:asciiTheme="majorBidi" w:hAnsiTheme="majorBidi" w:cstheme="majorBidi"/>
          <w:lang w:eastAsia="en-GB"/>
        </w:rPr>
        <w:t xml:space="preserve"> wish to consider how these costs could be financed</w:t>
      </w:r>
      <w:r w:rsidR="008E35AA" w:rsidRPr="007250CD">
        <w:rPr>
          <w:rFonts w:asciiTheme="majorBidi" w:hAnsiTheme="majorBidi" w:cstheme="majorBidi"/>
          <w:lang w:eastAsia="en-GB"/>
        </w:rPr>
        <w:t xml:space="preserve"> based on the above assessments</w:t>
      </w:r>
      <w:r w:rsidR="007250CD" w:rsidRPr="007250CD">
        <w:rPr>
          <w:rFonts w:asciiTheme="majorBidi" w:hAnsiTheme="majorBidi" w:cstheme="majorBidi"/>
          <w:lang w:eastAsia="en-GB"/>
        </w:rPr>
        <w:t xml:space="preserve">. </w:t>
      </w:r>
      <w:r w:rsidR="007250CD" w:rsidRPr="007250CD">
        <w:rPr>
          <w:rFonts w:asciiTheme="majorBidi" w:hAnsiTheme="majorBidi" w:cstheme="majorBidi"/>
        </w:rPr>
        <w:t xml:space="preserve">While acknowledging that there would be a need for the </w:t>
      </w:r>
      <w:r w:rsidR="007250CD" w:rsidRPr="007250CD">
        <w:rPr>
          <w:rFonts w:asciiTheme="majorBidi" w:hAnsiTheme="majorBidi" w:cstheme="majorBidi"/>
          <w:lang w:eastAsia="en-GB"/>
        </w:rPr>
        <w:t>advisory centre</w:t>
      </w:r>
      <w:r w:rsidR="007250CD" w:rsidRPr="007250CD">
        <w:rPr>
          <w:rFonts w:asciiTheme="majorBidi" w:hAnsiTheme="majorBidi" w:cstheme="majorBidi"/>
        </w:rPr>
        <w:t xml:space="preserve"> to charge for its services to cover its costs sustainably, the Working Group ha</w:t>
      </w:r>
      <w:r w:rsidR="00B445B1">
        <w:rPr>
          <w:rFonts w:asciiTheme="majorBidi" w:hAnsiTheme="majorBidi" w:cstheme="majorBidi"/>
        </w:rPr>
        <w:t>d</w:t>
      </w:r>
      <w:r w:rsidR="007250CD" w:rsidRPr="007250CD">
        <w:rPr>
          <w:rFonts w:asciiTheme="majorBidi" w:hAnsiTheme="majorBidi" w:cstheme="majorBidi"/>
        </w:rPr>
        <w:t xml:space="preserve"> expressed that States may be required to pay for the services on sliding scale, depending on the country’s level of development and preference to be given to LDCs and developing States (A/CN.9/1004, para. 47). If so, the classification of States would need to be further considered (e.g.</w:t>
      </w:r>
      <w:r w:rsidR="001011A7">
        <w:rPr>
          <w:rFonts w:asciiTheme="majorBidi" w:hAnsiTheme="majorBidi" w:cstheme="majorBidi"/>
        </w:rPr>
        <w:t>,</w:t>
      </w:r>
      <w:r w:rsidR="007250CD" w:rsidRPr="007250CD">
        <w:rPr>
          <w:rFonts w:asciiTheme="majorBidi" w:hAnsiTheme="majorBidi" w:cstheme="majorBidi"/>
        </w:rPr>
        <w:t xml:space="preserve"> by using the World Bank’s income-related classification of developing countries with high-income developing countries </w:t>
      </w:r>
      <w:r w:rsidR="007250CD" w:rsidRPr="007250CD">
        <w:rPr>
          <w:rFonts w:asciiTheme="majorBidi" w:hAnsiTheme="majorBidi" w:cstheme="majorBidi"/>
        </w:rPr>
        <w:lastRenderedPageBreak/>
        <w:t>(</w:t>
      </w:r>
      <w:r w:rsidR="005A60E1">
        <w:rPr>
          <w:rFonts w:asciiTheme="majorBidi" w:hAnsiTheme="majorBidi" w:cstheme="majorBidi"/>
        </w:rPr>
        <w:t>“</w:t>
      </w:r>
      <w:r w:rsidR="007250CD" w:rsidRPr="007250CD">
        <w:rPr>
          <w:rFonts w:asciiTheme="majorBidi" w:hAnsiTheme="majorBidi" w:cstheme="majorBidi"/>
        </w:rPr>
        <w:t>Category A</w:t>
      </w:r>
      <w:r w:rsidR="005A60E1">
        <w:rPr>
          <w:rFonts w:asciiTheme="majorBidi" w:hAnsiTheme="majorBidi" w:cstheme="majorBidi"/>
        </w:rPr>
        <w:t>”</w:t>
      </w:r>
      <w:r w:rsidR="007250CD" w:rsidRPr="007250CD">
        <w:rPr>
          <w:rFonts w:asciiTheme="majorBidi" w:hAnsiTheme="majorBidi" w:cstheme="majorBidi"/>
        </w:rPr>
        <w:t>), upper-middle-income developing countries (</w:t>
      </w:r>
      <w:r w:rsidR="005A60E1">
        <w:rPr>
          <w:rFonts w:asciiTheme="majorBidi" w:hAnsiTheme="majorBidi" w:cstheme="majorBidi"/>
        </w:rPr>
        <w:t>“</w:t>
      </w:r>
      <w:r w:rsidR="007250CD" w:rsidRPr="007250CD">
        <w:rPr>
          <w:rFonts w:asciiTheme="majorBidi" w:hAnsiTheme="majorBidi" w:cstheme="majorBidi"/>
        </w:rPr>
        <w:t>Category B</w:t>
      </w:r>
      <w:r w:rsidR="005A60E1">
        <w:rPr>
          <w:rFonts w:asciiTheme="majorBidi" w:hAnsiTheme="majorBidi" w:cstheme="majorBidi"/>
        </w:rPr>
        <w:t>”</w:t>
      </w:r>
      <w:r w:rsidR="007250CD" w:rsidRPr="007250CD">
        <w:rPr>
          <w:rFonts w:asciiTheme="majorBidi" w:hAnsiTheme="majorBidi" w:cstheme="majorBidi"/>
        </w:rPr>
        <w:t>), and lower-middle-income developing countries (</w:t>
      </w:r>
      <w:r w:rsidR="005A60E1">
        <w:rPr>
          <w:rFonts w:asciiTheme="majorBidi" w:hAnsiTheme="majorBidi" w:cstheme="majorBidi"/>
        </w:rPr>
        <w:t>“</w:t>
      </w:r>
      <w:r w:rsidR="007250CD" w:rsidRPr="007250CD">
        <w:rPr>
          <w:rFonts w:asciiTheme="majorBidi" w:hAnsiTheme="majorBidi" w:cstheme="majorBidi"/>
        </w:rPr>
        <w:t>Category C</w:t>
      </w:r>
      <w:r w:rsidR="005A60E1">
        <w:rPr>
          <w:rFonts w:asciiTheme="majorBidi" w:hAnsiTheme="majorBidi" w:cstheme="majorBidi"/>
        </w:rPr>
        <w:t>”</w:t>
      </w:r>
      <w:r w:rsidR="007250CD" w:rsidRPr="007250CD">
        <w:rPr>
          <w:rFonts w:asciiTheme="majorBidi" w:hAnsiTheme="majorBidi" w:cstheme="majorBidi"/>
        </w:rPr>
        <w:t>).</w:t>
      </w:r>
    </w:p>
    <w:p w14:paraId="2278E54D" w14:textId="587D1BE4" w:rsidR="00290C9C" w:rsidRPr="007250CD" w:rsidRDefault="003F3970" w:rsidP="006C16B4">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7250CD">
        <w:rPr>
          <w:rFonts w:asciiTheme="majorBidi" w:hAnsiTheme="majorBidi" w:cstheme="majorBidi"/>
          <w:lang w:eastAsia="en-GB"/>
        </w:rPr>
        <w:t xml:space="preserve"> </w:t>
      </w:r>
      <w:r w:rsidR="007250CD">
        <w:rPr>
          <w:rFonts w:asciiTheme="majorBidi" w:hAnsiTheme="majorBidi" w:cstheme="majorBidi"/>
          <w:lang w:eastAsia="en-GB"/>
        </w:rPr>
        <w:t>As a</w:t>
      </w:r>
      <w:r w:rsidR="00290C9C" w:rsidRPr="007250CD">
        <w:rPr>
          <w:rFonts w:asciiTheme="majorBidi" w:hAnsiTheme="majorBidi" w:cstheme="majorBidi"/>
          <w:lang w:eastAsia="en-GB"/>
        </w:rPr>
        <w:t xml:space="preserve"> one-time membership fee from the participating </w:t>
      </w:r>
      <w:r w:rsidR="0033286E" w:rsidRPr="007250CD">
        <w:rPr>
          <w:rFonts w:asciiTheme="majorBidi" w:hAnsiTheme="majorBidi" w:cstheme="majorBidi"/>
          <w:lang w:eastAsia="en-GB"/>
        </w:rPr>
        <w:t>S</w:t>
      </w:r>
      <w:r w:rsidR="00290C9C" w:rsidRPr="007250CD">
        <w:rPr>
          <w:rFonts w:asciiTheme="majorBidi" w:hAnsiTheme="majorBidi" w:cstheme="majorBidi"/>
          <w:lang w:eastAsia="en-GB"/>
        </w:rPr>
        <w:t xml:space="preserve">tates might not be </w:t>
      </w:r>
      <w:proofErr w:type="gramStart"/>
      <w:r w:rsidR="0033286E" w:rsidRPr="007250CD">
        <w:rPr>
          <w:rFonts w:asciiTheme="majorBidi" w:hAnsiTheme="majorBidi" w:cstheme="majorBidi"/>
          <w:lang w:eastAsia="en-GB"/>
        </w:rPr>
        <w:t>sufficient</w:t>
      </w:r>
      <w:proofErr w:type="gramEnd"/>
      <w:r w:rsidR="00290C9C" w:rsidRPr="007250CD">
        <w:rPr>
          <w:rFonts w:asciiTheme="majorBidi" w:hAnsiTheme="majorBidi" w:cstheme="majorBidi"/>
          <w:lang w:eastAsia="en-GB"/>
        </w:rPr>
        <w:t xml:space="preserve"> for the establishment and operation of </w:t>
      </w:r>
      <w:r w:rsidR="0033286E" w:rsidRPr="007250CD">
        <w:rPr>
          <w:rFonts w:asciiTheme="majorBidi" w:hAnsiTheme="majorBidi" w:cstheme="majorBidi"/>
          <w:lang w:eastAsia="en-GB"/>
        </w:rPr>
        <w:t>an advisory centre</w:t>
      </w:r>
      <w:r w:rsidR="007250CD">
        <w:rPr>
          <w:rFonts w:asciiTheme="majorBidi" w:hAnsiTheme="majorBidi" w:cstheme="majorBidi"/>
          <w:lang w:eastAsia="en-GB"/>
        </w:rPr>
        <w:t>,</w:t>
      </w:r>
      <w:r w:rsidR="00290C9C" w:rsidRPr="007250CD">
        <w:rPr>
          <w:rFonts w:asciiTheme="majorBidi" w:hAnsiTheme="majorBidi" w:cstheme="majorBidi"/>
          <w:lang w:eastAsia="en-GB"/>
        </w:rPr>
        <w:t xml:space="preserve"> multiple sources of income</w:t>
      </w:r>
      <w:r w:rsidR="0033286E" w:rsidRPr="007250CD">
        <w:rPr>
          <w:rFonts w:asciiTheme="majorBidi" w:hAnsiTheme="majorBidi" w:cstheme="majorBidi"/>
          <w:lang w:eastAsia="en-GB"/>
        </w:rPr>
        <w:t xml:space="preserve"> might be required</w:t>
      </w:r>
      <w:r w:rsidR="00290C9C" w:rsidRPr="007250CD">
        <w:rPr>
          <w:rFonts w:asciiTheme="majorBidi" w:hAnsiTheme="majorBidi" w:cstheme="majorBidi"/>
          <w:lang w:eastAsia="en-GB"/>
        </w:rPr>
        <w:t xml:space="preserve"> in order to meet these objectives. </w:t>
      </w:r>
      <w:r w:rsidRPr="007250CD">
        <w:rPr>
          <w:rFonts w:asciiTheme="majorBidi" w:hAnsiTheme="majorBidi" w:cstheme="majorBidi"/>
          <w:lang w:eastAsia="en-GB"/>
        </w:rPr>
        <w:t xml:space="preserve">The Working Group </w:t>
      </w:r>
      <w:r w:rsidR="0033286E" w:rsidRPr="007250CD">
        <w:rPr>
          <w:rFonts w:asciiTheme="majorBidi" w:hAnsiTheme="majorBidi" w:cstheme="majorBidi"/>
          <w:lang w:eastAsia="en-GB"/>
        </w:rPr>
        <w:t>may</w:t>
      </w:r>
      <w:r w:rsidRPr="007250CD">
        <w:rPr>
          <w:rFonts w:asciiTheme="majorBidi" w:hAnsiTheme="majorBidi" w:cstheme="majorBidi"/>
          <w:lang w:eastAsia="en-GB"/>
        </w:rPr>
        <w:t xml:space="preserve"> wish to consider whether the gap </w:t>
      </w:r>
      <w:r w:rsidR="007250CD">
        <w:rPr>
          <w:rFonts w:asciiTheme="majorBidi" w:hAnsiTheme="majorBidi" w:cstheme="majorBidi"/>
          <w:lang w:eastAsia="en-GB"/>
        </w:rPr>
        <w:t>could</w:t>
      </w:r>
      <w:r w:rsidRPr="007250CD">
        <w:rPr>
          <w:rFonts w:asciiTheme="majorBidi" w:hAnsiTheme="majorBidi" w:cstheme="majorBidi"/>
          <w:lang w:eastAsia="en-GB"/>
        </w:rPr>
        <w:t xml:space="preserve"> be filled </w:t>
      </w:r>
      <w:r w:rsidR="00290C9C" w:rsidRPr="007250CD">
        <w:rPr>
          <w:rFonts w:asciiTheme="majorBidi" w:hAnsiTheme="majorBidi" w:cstheme="majorBidi"/>
          <w:lang w:eastAsia="en-GB"/>
        </w:rPr>
        <w:t>by</w:t>
      </w:r>
      <w:r w:rsidR="007250CD">
        <w:rPr>
          <w:rFonts w:asciiTheme="majorBidi" w:hAnsiTheme="majorBidi" w:cstheme="majorBidi"/>
          <w:lang w:eastAsia="en-GB"/>
        </w:rPr>
        <w:t>: (</w:t>
      </w:r>
      <w:proofErr w:type="spellStart"/>
      <w:r w:rsidR="007250CD">
        <w:rPr>
          <w:rFonts w:asciiTheme="majorBidi" w:hAnsiTheme="majorBidi" w:cstheme="majorBidi"/>
          <w:lang w:eastAsia="en-GB"/>
        </w:rPr>
        <w:t>i</w:t>
      </w:r>
      <w:proofErr w:type="spellEnd"/>
      <w:r w:rsidR="007250CD">
        <w:rPr>
          <w:rFonts w:asciiTheme="majorBidi" w:hAnsiTheme="majorBidi" w:cstheme="majorBidi"/>
          <w:lang w:eastAsia="en-GB"/>
        </w:rPr>
        <w:t>)</w:t>
      </w:r>
      <w:r w:rsidR="00290C9C" w:rsidRPr="007250CD">
        <w:rPr>
          <w:rFonts w:asciiTheme="majorBidi" w:hAnsiTheme="majorBidi" w:cstheme="majorBidi"/>
          <w:lang w:eastAsia="en-GB"/>
        </w:rPr>
        <w:t xml:space="preserve"> voluntary contributions by States (as official development assistance)</w:t>
      </w:r>
      <w:r w:rsidR="007250CD">
        <w:rPr>
          <w:rFonts w:asciiTheme="majorBidi" w:hAnsiTheme="majorBidi" w:cstheme="majorBidi"/>
          <w:lang w:eastAsia="en-GB"/>
        </w:rPr>
        <w:t>;</w:t>
      </w:r>
      <w:r w:rsidR="00290C9C" w:rsidRPr="007250CD">
        <w:rPr>
          <w:rFonts w:asciiTheme="majorBidi" w:hAnsiTheme="majorBidi" w:cstheme="majorBidi"/>
          <w:lang w:eastAsia="en-GB"/>
        </w:rPr>
        <w:t xml:space="preserve"> </w:t>
      </w:r>
      <w:r w:rsidR="007250CD">
        <w:rPr>
          <w:rFonts w:asciiTheme="majorBidi" w:hAnsiTheme="majorBidi" w:cstheme="majorBidi"/>
          <w:lang w:eastAsia="en-GB"/>
        </w:rPr>
        <w:t>(ii)</w:t>
      </w:r>
      <w:r w:rsidR="00290C9C" w:rsidRPr="007250CD">
        <w:rPr>
          <w:rFonts w:asciiTheme="majorBidi" w:hAnsiTheme="majorBidi" w:cstheme="majorBidi"/>
          <w:lang w:eastAsia="en-GB"/>
        </w:rPr>
        <w:t xml:space="preserve"> private </w:t>
      </w:r>
      <w:r w:rsidR="0033286E" w:rsidRPr="007250CD">
        <w:rPr>
          <w:rFonts w:asciiTheme="majorBidi" w:hAnsiTheme="majorBidi" w:cstheme="majorBidi"/>
          <w:lang w:eastAsia="en-GB"/>
        </w:rPr>
        <w:t>donors</w:t>
      </w:r>
      <w:r w:rsidR="000E7C29">
        <w:rPr>
          <w:rFonts w:asciiTheme="majorBidi" w:hAnsiTheme="majorBidi" w:cstheme="majorBidi"/>
          <w:lang w:eastAsia="en-GB"/>
        </w:rPr>
        <w:t xml:space="preserve"> and </w:t>
      </w:r>
      <w:r w:rsidR="000E7C29" w:rsidRPr="00C54C48">
        <w:rPr>
          <w:rFonts w:asciiTheme="majorBidi" w:hAnsiTheme="majorBidi" w:cstheme="majorBidi"/>
        </w:rPr>
        <w:t>development assistance</w:t>
      </w:r>
      <w:r w:rsidR="000E7C29">
        <w:rPr>
          <w:rFonts w:asciiTheme="majorBidi" w:hAnsiTheme="majorBidi" w:cstheme="majorBidi"/>
        </w:rPr>
        <w:t xml:space="preserve"> agencies or organizations</w:t>
      </w:r>
      <w:r w:rsidR="007250CD">
        <w:rPr>
          <w:rFonts w:asciiTheme="majorBidi" w:hAnsiTheme="majorBidi" w:cstheme="majorBidi"/>
          <w:lang w:eastAsia="en-GB"/>
        </w:rPr>
        <w:t>; (iii)</w:t>
      </w:r>
      <w:r w:rsidRPr="007250CD">
        <w:rPr>
          <w:rFonts w:asciiTheme="majorBidi" w:hAnsiTheme="majorBidi" w:cstheme="majorBidi"/>
          <w:lang w:eastAsia="en-GB"/>
        </w:rPr>
        <w:t xml:space="preserve"> </w:t>
      </w:r>
      <w:r w:rsidR="00290C9C" w:rsidRPr="007250CD">
        <w:rPr>
          <w:rFonts w:asciiTheme="majorBidi" w:hAnsiTheme="majorBidi" w:cstheme="majorBidi"/>
          <w:lang w:eastAsia="en-GB"/>
        </w:rPr>
        <w:t>costs recovered from the claimant</w:t>
      </w:r>
      <w:r w:rsidR="007250CD">
        <w:rPr>
          <w:rFonts w:asciiTheme="majorBidi" w:hAnsiTheme="majorBidi" w:cstheme="majorBidi"/>
          <w:lang w:eastAsia="en-GB"/>
        </w:rPr>
        <w:t>;</w:t>
      </w:r>
      <w:r w:rsidR="00290C9C" w:rsidRPr="007250CD">
        <w:rPr>
          <w:rFonts w:asciiTheme="majorBidi" w:hAnsiTheme="majorBidi" w:cstheme="majorBidi"/>
          <w:lang w:eastAsia="en-GB"/>
        </w:rPr>
        <w:t xml:space="preserve"> and </w:t>
      </w:r>
      <w:r w:rsidR="007250CD">
        <w:rPr>
          <w:rFonts w:asciiTheme="majorBidi" w:hAnsiTheme="majorBidi" w:cstheme="majorBidi"/>
          <w:lang w:eastAsia="en-GB"/>
        </w:rPr>
        <w:t>(iv)</w:t>
      </w:r>
      <w:r w:rsidRPr="007250CD">
        <w:rPr>
          <w:rFonts w:asciiTheme="majorBidi" w:hAnsiTheme="majorBidi" w:cstheme="majorBidi"/>
          <w:lang w:eastAsia="en-GB"/>
        </w:rPr>
        <w:t xml:space="preserve"> </w:t>
      </w:r>
      <w:r w:rsidR="00290C9C" w:rsidRPr="007250CD">
        <w:rPr>
          <w:rFonts w:asciiTheme="majorBidi" w:hAnsiTheme="majorBidi" w:cstheme="majorBidi"/>
          <w:lang w:eastAsia="en-GB"/>
        </w:rPr>
        <w:t>fee</w:t>
      </w:r>
      <w:r w:rsidR="00F463A2" w:rsidRPr="007250CD">
        <w:rPr>
          <w:rFonts w:asciiTheme="majorBidi" w:hAnsiTheme="majorBidi" w:cstheme="majorBidi"/>
          <w:lang w:eastAsia="en-GB"/>
        </w:rPr>
        <w:t>s</w:t>
      </w:r>
      <w:r w:rsidR="00290C9C" w:rsidRPr="007250CD">
        <w:rPr>
          <w:rFonts w:asciiTheme="majorBidi" w:hAnsiTheme="majorBidi" w:cstheme="majorBidi"/>
          <w:lang w:eastAsia="en-GB"/>
        </w:rPr>
        <w:t xml:space="preserve"> </w:t>
      </w:r>
      <w:r w:rsidR="00F463A2" w:rsidRPr="007250CD">
        <w:rPr>
          <w:rFonts w:asciiTheme="majorBidi" w:hAnsiTheme="majorBidi" w:cstheme="majorBidi"/>
          <w:lang w:eastAsia="en-GB"/>
        </w:rPr>
        <w:t xml:space="preserve">paid </w:t>
      </w:r>
      <w:r w:rsidR="00290C9C" w:rsidRPr="007250CD">
        <w:rPr>
          <w:rFonts w:asciiTheme="majorBidi" w:hAnsiTheme="majorBidi" w:cstheme="majorBidi"/>
          <w:lang w:eastAsia="en-GB"/>
        </w:rPr>
        <w:t xml:space="preserve">by ISDS users. </w:t>
      </w:r>
    </w:p>
    <w:p w14:paraId="13017EB6" w14:textId="48282EA3" w:rsidR="00290C9C" w:rsidRDefault="00F463A2" w:rsidP="00290C9C">
      <w:pPr>
        <w:pStyle w:val="SingleTxt"/>
        <w:tabs>
          <w:tab w:val="clear" w:pos="1742"/>
          <w:tab w:val="clear" w:pos="2218"/>
          <w:tab w:val="left" w:pos="1701"/>
          <w:tab w:val="num" w:pos="2843"/>
        </w:tabs>
        <w:ind w:left="1276"/>
        <w:rPr>
          <w:rFonts w:asciiTheme="majorBidi" w:hAnsiTheme="majorBidi" w:cstheme="majorBidi"/>
          <w:b/>
          <w:bCs/>
        </w:rPr>
      </w:pPr>
      <w:r w:rsidRPr="007250CD">
        <w:rPr>
          <w:rFonts w:asciiTheme="majorBidi" w:hAnsiTheme="majorBidi" w:cstheme="majorBidi"/>
          <w:b/>
          <w:bCs/>
        </w:rPr>
        <w:t xml:space="preserve">4. </w:t>
      </w:r>
      <w:r w:rsidR="00290C9C" w:rsidRPr="007250CD">
        <w:rPr>
          <w:rFonts w:asciiTheme="majorBidi" w:hAnsiTheme="majorBidi" w:cstheme="majorBidi"/>
          <w:b/>
          <w:bCs/>
        </w:rPr>
        <w:t xml:space="preserve">Financial Structure </w:t>
      </w:r>
    </w:p>
    <w:p w14:paraId="751CB426" w14:textId="718EB31C" w:rsidR="00D9151F" w:rsidRPr="00D9151F" w:rsidRDefault="00D9151F" w:rsidP="00D9151F">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 xml:space="preserve">The Working Group may wish to consider the following draft provision on the financial structure of an advisory centre, to be adjusted depending on the </w:t>
      </w:r>
      <w:proofErr w:type="gramStart"/>
      <w:r>
        <w:rPr>
          <w:rFonts w:asciiTheme="majorBidi" w:hAnsiTheme="majorBidi" w:cstheme="majorBidi"/>
        </w:rPr>
        <w:t>manner in which</w:t>
      </w:r>
      <w:proofErr w:type="gramEnd"/>
      <w:r>
        <w:rPr>
          <w:rFonts w:asciiTheme="majorBidi" w:hAnsiTheme="majorBidi" w:cstheme="majorBidi"/>
        </w:rPr>
        <w:t xml:space="preserve"> the centre would be established</w:t>
      </w:r>
      <w:r w:rsidRPr="00D9151F">
        <w:rPr>
          <w:rFonts w:asciiTheme="majorBidi" w:hAnsiTheme="majorBidi" w:cstheme="majorBidi"/>
        </w:rPr>
        <w:t>.</w:t>
      </w:r>
    </w:p>
    <w:p w14:paraId="693801A0" w14:textId="77777777" w:rsidR="00D9151F" w:rsidRPr="00D9151F" w:rsidRDefault="00D9151F" w:rsidP="00D9151F">
      <w:pPr>
        <w:pStyle w:val="SingleTxt"/>
        <w:tabs>
          <w:tab w:val="left" w:pos="1701"/>
          <w:tab w:val="num" w:pos="2843"/>
        </w:tabs>
        <w:ind w:left="1276"/>
        <w:rPr>
          <w:rFonts w:asciiTheme="majorBidi" w:hAnsiTheme="majorBidi" w:cstheme="majorBidi"/>
          <w:b/>
          <w:bCs/>
          <w:i/>
          <w:iCs/>
        </w:rPr>
      </w:pPr>
      <w:r w:rsidRPr="00D9151F">
        <w:rPr>
          <w:rFonts w:asciiTheme="majorBidi" w:hAnsiTheme="majorBidi" w:cstheme="majorBidi"/>
          <w:b/>
          <w:bCs/>
          <w:i/>
          <w:iCs/>
        </w:rPr>
        <w:t xml:space="preserve">Draft provision 6 - Financial structure of the Centre </w:t>
      </w:r>
    </w:p>
    <w:p w14:paraId="24A33FA7" w14:textId="77777777" w:rsidR="00D9151F" w:rsidRPr="00D9151F" w:rsidRDefault="00D9151F" w:rsidP="00D9151F">
      <w:pPr>
        <w:pStyle w:val="SingleTxt"/>
        <w:tabs>
          <w:tab w:val="left" w:pos="1701"/>
          <w:tab w:val="num" w:pos="2843"/>
        </w:tabs>
        <w:ind w:left="1531" w:right="1531"/>
        <w:rPr>
          <w:rFonts w:asciiTheme="majorBidi" w:hAnsiTheme="majorBidi" w:cstheme="majorBidi"/>
          <w:i/>
          <w:iCs/>
        </w:rPr>
      </w:pPr>
      <w:r w:rsidRPr="00D9151F">
        <w:rPr>
          <w:rFonts w:asciiTheme="majorBidi" w:hAnsiTheme="majorBidi" w:cstheme="majorBidi"/>
          <w:i/>
          <w:iCs/>
        </w:rPr>
        <w:t>1. A trust fund shall be established to enable the sustainable operation of the Centre (the “Trust Fund”).</w:t>
      </w:r>
    </w:p>
    <w:p w14:paraId="25CDAC0E" w14:textId="58684BA8" w:rsidR="00D9151F" w:rsidRPr="00D9151F" w:rsidRDefault="00D9151F" w:rsidP="00D9151F">
      <w:pPr>
        <w:pStyle w:val="SingleTxt"/>
        <w:tabs>
          <w:tab w:val="left" w:pos="1701"/>
          <w:tab w:val="num" w:pos="2843"/>
        </w:tabs>
        <w:ind w:left="1531" w:right="1531"/>
        <w:rPr>
          <w:rFonts w:asciiTheme="majorBidi" w:hAnsiTheme="majorBidi" w:cstheme="majorBidi"/>
          <w:i/>
          <w:iCs/>
        </w:rPr>
      </w:pPr>
      <w:r w:rsidRPr="00D9151F">
        <w:rPr>
          <w:rFonts w:asciiTheme="majorBidi" w:hAnsiTheme="majorBidi" w:cstheme="majorBidi"/>
          <w:i/>
          <w:iCs/>
        </w:rPr>
        <w:t>2. The Trust Fund shall receive contributions from all the Members</w:t>
      </w:r>
      <w:r w:rsidR="00ED2484">
        <w:rPr>
          <w:rFonts w:asciiTheme="majorBidi" w:hAnsiTheme="majorBidi" w:cstheme="majorBidi"/>
          <w:i/>
          <w:iCs/>
        </w:rPr>
        <w:t xml:space="preserve"> </w:t>
      </w:r>
      <w:proofErr w:type="gramStart"/>
      <w:r w:rsidR="00ED2484">
        <w:rPr>
          <w:rFonts w:asciiTheme="majorBidi" w:hAnsiTheme="majorBidi" w:cstheme="majorBidi"/>
          <w:i/>
          <w:iCs/>
        </w:rPr>
        <w:t>taking into account</w:t>
      </w:r>
      <w:proofErr w:type="gramEnd"/>
      <w:r w:rsidRPr="00D9151F">
        <w:rPr>
          <w:rFonts w:asciiTheme="majorBidi" w:hAnsiTheme="majorBidi" w:cstheme="majorBidi"/>
          <w:i/>
          <w:iCs/>
        </w:rPr>
        <w:t xml:space="preserve"> their level of economic development and as decided by the [governing body of the Centre]. [Least developed Countries are exempted from paying a contribution.] It may also receive contributions or donations from public and private organizations and sponsors.</w:t>
      </w:r>
    </w:p>
    <w:p w14:paraId="5E4E6C60" w14:textId="42C421D2" w:rsidR="00D9151F" w:rsidRPr="00D9151F" w:rsidRDefault="00D9151F" w:rsidP="00D9151F">
      <w:pPr>
        <w:pStyle w:val="SingleTxt"/>
        <w:tabs>
          <w:tab w:val="left" w:pos="1701"/>
          <w:tab w:val="num" w:pos="2843"/>
        </w:tabs>
        <w:ind w:left="1531" w:right="1531"/>
        <w:rPr>
          <w:rFonts w:asciiTheme="majorBidi" w:hAnsiTheme="majorBidi" w:cstheme="majorBidi"/>
          <w:i/>
          <w:iCs/>
        </w:rPr>
      </w:pPr>
      <w:r w:rsidRPr="00D9151F">
        <w:rPr>
          <w:rFonts w:asciiTheme="majorBidi" w:hAnsiTheme="majorBidi" w:cstheme="majorBidi"/>
          <w:i/>
          <w:iCs/>
        </w:rPr>
        <w:t xml:space="preserve">3. The Centre shall charge fees for the legal services in accordance with the schedule of fees set out in Annex on Fees to this Agreement. The fee for State Beneficiaries shall be set </w:t>
      </w:r>
      <w:proofErr w:type="gramStart"/>
      <w:r w:rsidR="00ED2484">
        <w:rPr>
          <w:rFonts w:asciiTheme="majorBidi" w:hAnsiTheme="majorBidi" w:cstheme="majorBidi"/>
          <w:i/>
          <w:iCs/>
        </w:rPr>
        <w:t>taking into account</w:t>
      </w:r>
      <w:proofErr w:type="gramEnd"/>
      <w:r w:rsidRPr="00D9151F">
        <w:rPr>
          <w:rFonts w:asciiTheme="majorBidi" w:hAnsiTheme="majorBidi" w:cstheme="majorBidi"/>
          <w:i/>
          <w:iCs/>
        </w:rPr>
        <w:t xml:space="preserve"> their level of economic development and decided by the [governing body of the Centre]. Least developed Countries are not exempted from paying a fee for [Services], [for Services except those related to information-sharing, training, and capacity building] [for legal representation]. </w:t>
      </w:r>
    </w:p>
    <w:p w14:paraId="01A0902C" w14:textId="77777777" w:rsidR="00D9151F" w:rsidRPr="00D9151F" w:rsidRDefault="00D9151F" w:rsidP="00D9151F">
      <w:pPr>
        <w:pStyle w:val="SingleTxt"/>
        <w:tabs>
          <w:tab w:val="left" w:pos="1701"/>
          <w:tab w:val="num" w:pos="2843"/>
        </w:tabs>
        <w:ind w:left="1531" w:right="1531"/>
        <w:rPr>
          <w:rFonts w:asciiTheme="majorBidi" w:hAnsiTheme="majorBidi" w:cstheme="majorBidi"/>
          <w:i/>
          <w:iCs/>
        </w:rPr>
      </w:pPr>
      <w:r w:rsidRPr="00D9151F">
        <w:rPr>
          <w:rFonts w:asciiTheme="majorBidi" w:hAnsiTheme="majorBidi" w:cstheme="majorBidi"/>
          <w:i/>
          <w:iCs/>
        </w:rPr>
        <w:t xml:space="preserve">4. The annual budget of the Centre shall be from the resources of the Trust Fund, as well as from the fees it charges for its services in accordance with the rates established by the [governing body]. </w:t>
      </w:r>
    </w:p>
    <w:p w14:paraId="4892103C" w14:textId="2606C061" w:rsidR="00D9151F" w:rsidRDefault="00D9151F" w:rsidP="00D9151F">
      <w:pPr>
        <w:pStyle w:val="SingleTxt"/>
        <w:tabs>
          <w:tab w:val="clear" w:pos="1742"/>
          <w:tab w:val="clear" w:pos="2218"/>
          <w:tab w:val="left" w:pos="1701"/>
          <w:tab w:val="num" w:pos="2843"/>
        </w:tabs>
        <w:ind w:left="1531" w:right="1531"/>
        <w:rPr>
          <w:rFonts w:asciiTheme="majorBidi" w:hAnsiTheme="majorBidi" w:cstheme="majorBidi"/>
          <w:i/>
          <w:iCs/>
        </w:rPr>
      </w:pPr>
      <w:r w:rsidRPr="00D9151F">
        <w:rPr>
          <w:rFonts w:asciiTheme="majorBidi" w:hAnsiTheme="majorBidi" w:cstheme="majorBidi"/>
          <w:i/>
          <w:iCs/>
        </w:rPr>
        <w:t>5. The Centre shall have an external auditor.</w:t>
      </w:r>
    </w:p>
    <w:p w14:paraId="6C0F16A3" w14:textId="6C754B86" w:rsidR="00D9151F" w:rsidRPr="00D9151F" w:rsidRDefault="00D9151F" w:rsidP="00D9151F">
      <w:pPr>
        <w:pStyle w:val="SingleTxt"/>
        <w:tabs>
          <w:tab w:val="clear" w:pos="1742"/>
          <w:tab w:val="clear" w:pos="2218"/>
          <w:tab w:val="left" w:pos="1701"/>
          <w:tab w:val="num" w:pos="2843"/>
        </w:tabs>
        <w:ind w:right="1531"/>
        <w:rPr>
          <w:rFonts w:asciiTheme="majorBidi" w:hAnsiTheme="majorBidi" w:cstheme="majorBidi"/>
          <w:b/>
          <w:bCs/>
          <w:i/>
          <w:iCs/>
        </w:rPr>
      </w:pPr>
      <w:r w:rsidRPr="00D9151F">
        <w:rPr>
          <w:rFonts w:asciiTheme="majorBidi" w:hAnsiTheme="majorBidi" w:cstheme="majorBidi"/>
          <w:b/>
          <w:bCs/>
          <w:i/>
          <w:iCs/>
        </w:rPr>
        <w:t>Comments</w:t>
      </w:r>
    </w:p>
    <w:p w14:paraId="26A7400A" w14:textId="0EFA981B" w:rsidR="00290C9C" w:rsidRPr="007250CD" w:rsidRDefault="00290C9C" w:rsidP="007250CD">
      <w:pPr>
        <w:pStyle w:val="SingleTxt"/>
        <w:numPr>
          <w:ilvl w:val="0"/>
          <w:numId w:val="15"/>
        </w:numPr>
        <w:tabs>
          <w:tab w:val="clear" w:pos="1742"/>
          <w:tab w:val="clear" w:pos="2218"/>
          <w:tab w:val="left" w:pos="1701"/>
        </w:tabs>
        <w:rPr>
          <w:rFonts w:asciiTheme="majorBidi" w:hAnsiTheme="majorBidi" w:cstheme="majorBidi"/>
          <w:b/>
          <w:bCs/>
          <w:i/>
          <w:iCs/>
        </w:rPr>
      </w:pPr>
      <w:r w:rsidRPr="007250CD">
        <w:rPr>
          <w:rFonts w:asciiTheme="majorBidi" w:hAnsiTheme="majorBidi" w:cstheme="majorBidi"/>
          <w:b/>
          <w:bCs/>
          <w:i/>
          <w:iCs/>
        </w:rPr>
        <w:t>One-Time Membership Fee</w:t>
      </w:r>
    </w:p>
    <w:p w14:paraId="79508CE1" w14:textId="15389767" w:rsidR="00290C9C" w:rsidRPr="00C54C48" w:rsidRDefault="003F3970"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t xml:space="preserve">The Working Group may wish to consider how to </w:t>
      </w:r>
      <w:r w:rsidR="00C54C48" w:rsidRPr="00C54C48">
        <w:rPr>
          <w:rFonts w:asciiTheme="majorBidi" w:hAnsiTheme="majorBidi" w:cstheme="majorBidi"/>
        </w:rPr>
        <w:t>ensure smooth commencement of the activities of</w:t>
      </w:r>
      <w:r w:rsidRPr="00C54C48">
        <w:rPr>
          <w:rFonts w:asciiTheme="majorBidi" w:hAnsiTheme="majorBidi" w:cstheme="majorBidi"/>
        </w:rPr>
        <w:t xml:space="preserve"> the centre, as</w:t>
      </w:r>
      <w:r w:rsidRPr="00C54C48">
        <w:rPr>
          <w:rFonts w:asciiTheme="majorBidi" w:hAnsiTheme="majorBidi" w:cstheme="majorBidi"/>
          <w:i/>
          <w:iCs/>
        </w:rPr>
        <w:t xml:space="preserve"> </w:t>
      </w:r>
      <w:r w:rsidR="00290C9C" w:rsidRPr="00C54C48">
        <w:rPr>
          <w:rFonts w:asciiTheme="majorBidi" w:hAnsiTheme="majorBidi" w:cstheme="majorBidi"/>
          <w:lang w:eastAsia="en-GB"/>
        </w:rPr>
        <w:t xml:space="preserve">income from services would only accrue at a later </w:t>
      </w:r>
      <w:r w:rsidR="00F463A2">
        <w:rPr>
          <w:rFonts w:asciiTheme="majorBidi" w:hAnsiTheme="majorBidi" w:cstheme="majorBidi"/>
          <w:lang w:eastAsia="en-GB"/>
        </w:rPr>
        <w:t>stage</w:t>
      </w:r>
      <w:r w:rsidR="00290C9C" w:rsidRPr="00C54C48">
        <w:rPr>
          <w:rFonts w:asciiTheme="majorBidi" w:hAnsiTheme="majorBidi" w:cstheme="majorBidi"/>
          <w:lang w:eastAsia="en-GB"/>
        </w:rPr>
        <w:t xml:space="preserve">, i.e., after the </w:t>
      </w:r>
      <w:r w:rsidR="00F463A2">
        <w:rPr>
          <w:rFonts w:asciiTheme="majorBidi" w:hAnsiTheme="majorBidi" w:cstheme="majorBidi"/>
          <w:lang w:eastAsia="en-GB"/>
        </w:rPr>
        <w:t>centre would commence</w:t>
      </w:r>
      <w:r w:rsidRPr="00C54C48">
        <w:rPr>
          <w:rFonts w:asciiTheme="majorBidi" w:hAnsiTheme="majorBidi" w:cstheme="majorBidi"/>
          <w:lang w:eastAsia="en-GB"/>
        </w:rPr>
        <w:t xml:space="preserve"> </w:t>
      </w:r>
      <w:r w:rsidR="00F463A2">
        <w:rPr>
          <w:rFonts w:asciiTheme="majorBidi" w:hAnsiTheme="majorBidi" w:cstheme="majorBidi"/>
          <w:lang w:eastAsia="en-GB"/>
        </w:rPr>
        <w:t>to operate</w:t>
      </w:r>
      <w:r w:rsidR="00290C9C" w:rsidRPr="00C54C48">
        <w:rPr>
          <w:rFonts w:asciiTheme="majorBidi" w:hAnsiTheme="majorBidi" w:cstheme="majorBidi"/>
          <w:lang w:eastAsia="en-GB"/>
        </w:rPr>
        <w:t>.</w:t>
      </w:r>
      <w:r w:rsidR="00290C9C" w:rsidRPr="00C54C48">
        <w:rPr>
          <w:rStyle w:val="FootnoteReference"/>
          <w:rFonts w:asciiTheme="majorBidi" w:hAnsiTheme="majorBidi" w:cstheme="majorBidi"/>
          <w:lang w:eastAsia="en-GB"/>
        </w:rPr>
        <w:footnoteReference w:id="7"/>
      </w:r>
      <w:r w:rsidR="00290C9C" w:rsidRPr="00C54C48">
        <w:rPr>
          <w:rFonts w:asciiTheme="majorBidi" w:hAnsiTheme="majorBidi" w:cstheme="majorBidi"/>
          <w:lang w:eastAsia="en-GB"/>
        </w:rPr>
        <w:t xml:space="preserve"> </w:t>
      </w:r>
      <w:r w:rsidR="003C3BDD">
        <w:rPr>
          <w:rFonts w:asciiTheme="majorBidi" w:hAnsiTheme="majorBidi" w:cstheme="majorBidi"/>
          <w:lang w:eastAsia="en-GB"/>
        </w:rPr>
        <w:t>Possible options include the payment of a</w:t>
      </w:r>
      <w:r w:rsidR="00290C9C" w:rsidRPr="00C54C48">
        <w:rPr>
          <w:rFonts w:asciiTheme="majorBidi" w:hAnsiTheme="majorBidi" w:cstheme="majorBidi"/>
          <w:lang w:eastAsia="en-GB"/>
        </w:rPr>
        <w:t xml:space="preserve"> one-time </w:t>
      </w:r>
      <w:r w:rsidR="003C3BDD">
        <w:rPr>
          <w:rFonts w:asciiTheme="majorBidi" w:hAnsiTheme="majorBidi" w:cstheme="majorBidi"/>
          <w:lang w:eastAsia="en-GB"/>
        </w:rPr>
        <w:t xml:space="preserve">reasonable </w:t>
      </w:r>
      <w:r w:rsidR="00290C9C" w:rsidRPr="00C54C48">
        <w:rPr>
          <w:rFonts w:asciiTheme="majorBidi" w:hAnsiTheme="majorBidi" w:cstheme="majorBidi"/>
          <w:lang w:eastAsia="en-GB"/>
        </w:rPr>
        <w:t>membership fee by developing countries.</w:t>
      </w:r>
      <w:r w:rsidR="00290C9C" w:rsidRPr="00C54C48">
        <w:rPr>
          <w:rStyle w:val="FootnoteReference"/>
          <w:rFonts w:asciiTheme="majorBidi" w:hAnsiTheme="majorBidi" w:cstheme="majorBidi"/>
          <w:lang w:eastAsia="en-GB"/>
        </w:rPr>
        <w:footnoteReference w:id="8"/>
      </w:r>
      <w:r w:rsidR="00F579E1">
        <w:rPr>
          <w:rFonts w:asciiTheme="majorBidi" w:hAnsiTheme="majorBidi" w:cstheme="majorBidi"/>
          <w:lang w:eastAsia="en-GB"/>
        </w:rPr>
        <w:t xml:space="preserve"> </w:t>
      </w:r>
      <w:r w:rsidR="000E7C29">
        <w:rPr>
          <w:rFonts w:asciiTheme="majorBidi" w:hAnsiTheme="majorBidi" w:cstheme="majorBidi"/>
          <w:lang w:eastAsia="en-GB"/>
        </w:rPr>
        <w:t>Developed States also might participate in the centre, and pay membership fees, particularly if the centre also functions as a forum for exchanging information, developing best practices, and facilitating training.</w:t>
      </w:r>
      <w:r w:rsidR="00F579E1">
        <w:rPr>
          <w:rFonts w:asciiTheme="majorBidi" w:hAnsiTheme="majorBidi" w:cstheme="majorBidi"/>
          <w:lang w:eastAsia="en-GB"/>
        </w:rPr>
        <w:t xml:space="preserve"> </w:t>
      </w:r>
    </w:p>
    <w:p w14:paraId="22399E5C" w14:textId="62888031" w:rsidR="00290C9C" w:rsidRPr="00C54C48" w:rsidRDefault="00290C9C"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i/>
          <w:iCs/>
        </w:rPr>
      </w:pPr>
      <w:r w:rsidRPr="00C54C48">
        <w:rPr>
          <w:rFonts w:asciiTheme="majorBidi" w:hAnsiTheme="majorBidi" w:cstheme="majorBidi"/>
          <w:lang w:eastAsia="en-GB"/>
        </w:rPr>
        <w:t>Taking the example of the ACWL, the Study suggests that Category A countries could be required to pay USD 486,000, Category B countries could be required to pay USD 162,000, and Category C countries could be required to pay USD 81,000 into a fund.</w:t>
      </w:r>
      <w:r w:rsidRPr="00C54C48">
        <w:rPr>
          <w:rStyle w:val="FootnoteReference"/>
          <w:rFonts w:asciiTheme="majorBidi" w:hAnsiTheme="majorBidi" w:cstheme="majorBidi"/>
          <w:lang w:eastAsia="en-GB"/>
        </w:rPr>
        <w:footnoteReference w:id="9"/>
      </w:r>
      <w:r w:rsidRPr="00C54C48">
        <w:rPr>
          <w:rFonts w:asciiTheme="majorBidi" w:hAnsiTheme="majorBidi" w:cstheme="majorBidi"/>
          <w:lang w:eastAsia="en-GB"/>
        </w:rPr>
        <w:t xml:space="preserve"> As the Working Group had expressed its wish to account for the level of economic development of the </w:t>
      </w:r>
      <w:r w:rsidR="00A0276C">
        <w:rPr>
          <w:rFonts w:asciiTheme="majorBidi" w:hAnsiTheme="majorBidi" w:cstheme="majorBidi"/>
          <w:lang w:eastAsia="en-GB"/>
        </w:rPr>
        <w:t>S</w:t>
      </w:r>
      <w:r w:rsidRPr="00C54C48">
        <w:rPr>
          <w:rFonts w:asciiTheme="majorBidi" w:hAnsiTheme="majorBidi" w:cstheme="majorBidi"/>
          <w:lang w:eastAsia="en-GB"/>
        </w:rPr>
        <w:t xml:space="preserve">tates, the one-time membership fee could be determined by using the ‘means test’. By contrast, LDCs may not be required to contribute to the </w:t>
      </w:r>
      <w:r w:rsidR="003D1840">
        <w:rPr>
          <w:rFonts w:asciiTheme="majorBidi" w:hAnsiTheme="majorBidi" w:cstheme="majorBidi"/>
          <w:lang w:eastAsia="en-GB"/>
        </w:rPr>
        <w:t>e</w:t>
      </w:r>
      <w:r w:rsidRPr="00C54C48">
        <w:rPr>
          <w:rFonts w:asciiTheme="majorBidi" w:hAnsiTheme="majorBidi" w:cstheme="majorBidi"/>
          <w:lang w:eastAsia="en-GB"/>
        </w:rPr>
        <w:t xml:space="preserve">ndowment </w:t>
      </w:r>
      <w:r w:rsidR="003D1840">
        <w:rPr>
          <w:rFonts w:asciiTheme="majorBidi" w:hAnsiTheme="majorBidi" w:cstheme="majorBidi"/>
          <w:lang w:eastAsia="en-GB"/>
        </w:rPr>
        <w:t>f</w:t>
      </w:r>
      <w:r w:rsidRPr="00C54C48">
        <w:rPr>
          <w:rFonts w:asciiTheme="majorBidi" w:hAnsiTheme="majorBidi" w:cstheme="majorBidi"/>
          <w:lang w:eastAsia="en-GB"/>
        </w:rPr>
        <w:t>und.</w:t>
      </w:r>
      <w:r w:rsidRPr="00C54C48">
        <w:rPr>
          <w:rStyle w:val="FootnoteReference"/>
          <w:rFonts w:asciiTheme="majorBidi" w:hAnsiTheme="majorBidi" w:cstheme="majorBidi"/>
          <w:lang w:eastAsia="en-GB"/>
        </w:rPr>
        <w:footnoteReference w:id="10"/>
      </w:r>
      <w:r w:rsidRPr="00C54C48">
        <w:rPr>
          <w:rFonts w:asciiTheme="majorBidi" w:hAnsiTheme="majorBidi" w:cstheme="majorBidi"/>
          <w:lang w:eastAsia="en-GB"/>
        </w:rPr>
        <w:t xml:space="preserve"> The total funds gathered by these calculations </w:t>
      </w:r>
      <w:r w:rsidRPr="00C54C48">
        <w:rPr>
          <w:rFonts w:asciiTheme="majorBidi" w:hAnsiTheme="majorBidi" w:cstheme="majorBidi"/>
          <w:lang w:eastAsia="en-GB"/>
        </w:rPr>
        <w:lastRenderedPageBreak/>
        <w:t>could amount to USD 3,321,000 (from one</w:t>
      </w:r>
      <w:r w:rsidR="00806F40">
        <w:rPr>
          <w:rFonts w:asciiTheme="majorBidi" w:hAnsiTheme="majorBidi" w:cstheme="majorBidi"/>
          <w:lang w:eastAsia="en-GB"/>
        </w:rPr>
        <w:t xml:space="preserve"> (1)</w:t>
      </w:r>
      <w:r w:rsidRPr="00C54C48">
        <w:rPr>
          <w:rFonts w:asciiTheme="majorBidi" w:hAnsiTheme="majorBidi" w:cstheme="majorBidi"/>
          <w:lang w:eastAsia="en-GB"/>
        </w:rPr>
        <w:t xml:space="preserve"> high-income,</w:t>
      </w:r>
      <w:r w:rsidR="00806F40">
        <w:rPr>
          <w:rFonts w:asciiTheme="majorBidi" w:hAnsiTheme="majorBidi" w:cstheme="majorBidi"/>
          <w:lang w:eastAsia="en-GB"/>
        </w:rPr>
        <w:t xml:space="preserve"> ten</w:t>
      </w:r>
      <w:r w:rsidRPr="00C54C48">
        <w:rPr>
          <w:rFonts w:asciiTheme="majorBidi" w:hAnsiTheme="majorBidi" w:cstheme="majorBidi"/>
          <w:lang w:eastAsia="en-GB"/>
        </w:rPr>
        <w:t xml:space="preserve"> </w:t>
      </w:r>
      <w:r w:rsidR="00806F40">
        <w:rPr>
          <w:rFonts w:asciiTheme="majorBidi" w:hAnsiTheme="majorBidi" w:cstheme="majorBidi"/>
          <w:lang w:eastAsia="en-GB"/>
        </w:rPr>
        <w:t>(</w:t>
      </w:r>
      <w:r w:rsidRPr="00C54C48">
        <w:rPr>
          <w:rFonts w:asciiTheme="majorBidi" w:hAnsiTheme="majorBidi" w:cstheme="majorBidi"/>
          <w:lang w:eastAsia="en-GB"/>
        </w:rPr>
        <w:t>10</w:t>
      </w:r>
      <w:r w:rsidR="00806F40">
        <w:rPr>
          <w:rFonts w:asciiTheme="majorBidi" w:hAnsiTheme="majorBidi" w:cstheme="majorBidi"/>
          <w:lang w:eastAsia="en-GB"/>
        </w:rPr>
        <w:t>)</w:t>
      </w:r>
      <w:r w:rsidRPr="00C54C48">
        <w:rPr>
          <w:rFonts w:asciiTheme="majorBidi" w:hAnsiTheme="majorBidi" w:cstheme="majorBidi"/>
          <w:lang w:eastAsia="en-GB"/>
        </w:rPr>
        <w:t xml:space="preserve"> upper-middle-come, and </w:t>
      </w:r>
      <w:r w:rsidR="00806F40">
        <w:rPr>
          <w:rFonts w:asciiTheme="majorBidi" w:hAnsiTheme="majorBidi" w:cstheme="majorBidi"/>
          <w:lang w:eastAsia="en-GB"/>
        </w:rPr>
        <w:t>fifteen (</w:t>
      </w:r>
      <w:r w:rsidRPr="00C54C48">
        <w:rPr>
          <w:rFonts w:asciiTheme="majorBidi" w:hAnsiTheme="majorBidi" w:cstheme="majorBidi"/>
          <w:lang w:eastAsia="en-GB"/>
        </w:rPr>
        <w:t>15</w:t>
      </w:r>
      <w:r w:rsidR="00806F40">
        <w:rPr>
          <w:rFonts w:asciiTheme="majorBidi" w:hAnsiTheme="majorBidi" w:cstheme="majorBidi"/>
          <w:lang w:eastAsia="en-GB"/>
        </w:rPr>
        <w:t>)</w:t>
      </w:r>
      <w:r w:rsidRPr="00C54C48">
        <w:rPr>
          <w:rFonts w:asciiTheme="majorBidi" w:hAnsiTheme="majorBidi" w:cstheme="majorBidi"/>
          <w:lang w:eastAsia="en-GB"/>
        </w:rPr>
        <w:t xml:space="preserve"> lower-middle-income countries).</w:t>
      </w:r>
      <w:r w:rsidRPr="00C54C48">
        <w:rPr>
          <w:rStyle w:val="FootnoteReference"/>
          <w:rFonts w:asciiTheme="majorBidi" w:hAnsiTheme="majorBidi" w:cstheme="majorBidi"/>
          <w:lang w:eastAsia="en-GB"/>
        </w:rPr>
        <w:footnoteReference w:id="11"/>
      </w:r>
      <w:r w:rsidRPr="00C54C48">
        <w:rPr>
          <w:rFonts w:asciiTheme="majorBidi" w:hAnsiTheme="majorBidi" w:cstheme="majorBidi"/>
          <w:lang w:eastAsia="en-GB"/>
        </w:rPr>
        <w:t xml:space="preserve"> Lastly, the developed countries could pay a fixed amount and a financial contribution could be agreed as a part of the accession protocol.</w:t>
      </w:r>
      <w:r w:rsidRPr="00C54C48">
        <w:rPr>
          <w:rStyle w:val="FootnoteReference"/>
          <w:rFonts w:asciiTheme="majorBidi" w:hAnsiTheme="majorBidi" w:cstheme="majorBidi"/>
          <w:lang w:eastAsia="en-GB"/>
        </w:rPr>
        <w:footnoteReference w:id="12"/>
      </w:r>
    </w:p>
    <w:p w14:paraId="177CE466" w14:textId="26F8E0F3" w:rsidR="00290C9C" w:rsidRPr="007250CD" w:rsidRDefault="00290C9C" w:rsidP="007250CD">
      <w:pPr>
        <w:pStyle w:val="SingleTxt"/>
        <w:numPr>
          <w:ilvl w:val="0"/>
          <w:numId w:val="15"/>
        </w:numPr>
        <w:tabs>
          <w:tab w:val="clear" w:pos="1742"/>
          <w:tab w:val="clear" w:pos="2218"/>
          <w:tab w:val="left" w:pos="1701"/>
        </w:tabs>
        <w:rPr>
          <w:rFonts w:asciiTheme="majorBidi" w:hAnsiTheme="majorBidi" w:cstheme="majorBidi"/>
          <w:b/>
          <w:bCs/>
          <w:i/>
          <w:iCs/>
        </w:rPr>
      </w:pPr>
      <w:r w:rsidRPr="007250CD">
        <w:rPr>
          <w:rFonts w:asciiTheme="majorBidi" w:hAnsiTheme="majorBidi" w:cstheme="majorBidi"/>
          <w:b/>
          <w:bCs/>
          <w:i/>
          <w:iCs/>
        </w:rPr>
        <w:t>Voluntary Contributions</w:t>
      </w:r>
    </w:p>
    <w:p w14:paraId="2D52E0A4" w14:textId="543220A3" w:rsidR="00290C9C" w:rsidRPr="00C54C48" w:rsidRDefault="00290C9C"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t xml:space="preserve">Since the Working Group has expressed that preference should be given to LDCs and Category C </w:t>
      </w:r>
      <w:r w:rsidR="003C3BDD">
        <w:rPr>
          <w:rFonts w:asciiTheme="majorBidi" w:hAnsiTheme="majorBidi" w:cstheme="majorBidi"/>
        </w:rPr>
        <w:t>S</w:t>
      </w:r>
      <w:r w:rsidRPr="00C54C48">
        <w:rPr>
          <w:rFonts w:asciiTheme="majorBidi" w:hAnsiTheme="majorBidi" w:cstheme="majorBidi"/>
        </w:rPr>
        <w:t>tates, the largest part of the</w:t>
      </w:r>
      <w:r w:rsidR="004810BA">
        <w:rPr>
          <w:rFonts w:asciiTheme="majorBidi" w:hAnsiTheme="majorBidi" w:cstheme="majorBidi"/>
        </w:rPr>
        <w:t xml:space="preserve"> centre’s</w:t>
      </w:r>
      <w:r w:rsidRPr="00C54C48">
        <w:rPr>
          <w:rFonts w:asciiTheme="majorBidi" w:hAnsiTheme="majorBidi" w:cstheme="majorBidi"/>
        </w:rPr>
        <w:t xml:space="preserve"> services would likely be dedicated towards these </w:t>
      </w:r>
      <w:r w:rsidR="00A0276C">
        <w:rPr>
          <w:rFonts w:asciiTheme="majorBidi" w:hAnsiTheme="majorBidi" w:cstheme="majorBidi"/>
        </w:rPr>
        <w:t>S</w:t>
      </w:r>
      <w:r w:rsidRPr="00C54C48">
        <w:rPr>
          <w:rFonts w:asciiTheme="majorBidi" w:hAnsiTheme="majorBidi" w:cstheme="majorBidi"/>
        </w:rPr>
        <w:t xml:space="preserve">tates. However, </w:t>
      </w:r>
      <w:proofErr w:type="gramStart"/>
      <w:r w:rsidRPr="00C54C48">
        <w:rPr>
          <w:rFonts w:asciiTheme="majorBidi" w:hAnsiTheme="majorBidi" w:cstheme="majorBidi"/>
        </w:rPr>
        <w:t>as a consequence</w:t>
      </w:r>
      <w:proofErr w:type="gramEnd"/>
      <w:r w:rsidRPr="00C54C48">
        <w:rPr>
          <w:rFonts w:asciiTheme="majorBidi" w:hAnsiTheme="majorBidi" w:cstheme="majorBidi"/>
        </w:rPr>
        <w:t xml:space="preserve">, the funds generated by the </w:t>
      </w:r>
      <w:r w:rsidR="003C3BDD">
        <w:rPr>
          <w:rFonts w:asciiTheme="majorBidi" w:hAnsiTheme="majorBidi" w:cstheme="majorBidi"/>
        </w:rPr>
        <w:t>advisory centre</w:t>
      </w:r>
      <w:r w:rsidRPr="00C54C48">
        <w:rPr>
          <w:rFonts w:asciiTheme="majorBidi" w:hAnsiTheme="majorBidi" w:cstheme="majorBidi"/>
        </w:rPr>
        <w:t xml:space="preserve"> may be insufficient to cover the costs that it would likely incur. </w:t>
      </w:r>
    </w:p>
    <w:p w14:paraId="5F80C745" w14:textId="2F5074C1" w:rsidR="00290C9C" w:rsidRPr="00C54C48" w:rsidRDefault="00290C9C"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t xml:space="preserve">In order to fill this gap, </w:t>
      </w:r>
      <w:r w:rsidR="003F3970" w:rsidRPr="00C54C48">
        <w:rPr>
          <w:rFonts w:asciiTheme="majorBidi" w:hAnsiTheme="majorBidi" w:cstheme="majorBidi"/>
        </w:rPr>
        <w:t xml:space="preserve">the Working Group may wish to consider </w:t>
      </w:r>
      <w:r w:rsidR="00FB156B" w:rsidRPr="00C54C48">
        <w:rPr>
          <w:rFonts w:asciiTheme="majorBidi" w:hAnsiTheme="majorBidi" w:cstheme="majorBidi"/>
        </w:rPr>
        <w:t xml:space="preserve">that </w:t>
      </w:r>
      <w:r w:rsidRPr="00C54C48">
        <w:rPr>
          <w:rFonts w:asciiTheme="majorBidi" w:hAnsiTheme="majorBidi" w:cstheme="majorBidi"/>
        </w:rPr>
        <w:t xml:space="preserve">a part of </w:t>
      </w:r>
      <w:r w:rsidR="003C3BDD">
        <w:rPr>
          <w:rFonts w:asciiTheme="majorBidi" w:hAnsiTheme="majorBidi" w:cstheme="majorBidi"/>
        </w:rPr>
        <w:t>the</w:t>
      </w:r>
      <w:r w:rsidRPr="00C54C48">
        <w:rPr>
          <w:rFonts w:asciiTheme="majorBidi" w:hAnsiTheme="majorBidi" w:cstheme="majorBidi"/>
        </w:rPr>
        <w:t xml:space="preserve"> income </w:t>
      </w:r>
      <w:r w:rsidR="003C3BDD">
        <w:rPr>
          <w:rFonts w:asciiTheme="majorBidi" w:hAnsiTheme="majorBidi" w:cstheme="majorBidi"/>
        </w:rPr>
        <w:t xml:space="preserve">of the advisory centre </w:t>
      </w:r>
      <w:r w:rsidRPr="00C54C48">
        <w:rPr>
          <w:rFonts w:asciiTheme="majorBidi" w:hAnsiTheme="majorBidi" w:cstheme="majorBidi"/>
        </w:rPr>
        <w:t xml:space="preserve">could </w:t>
      </w:r>
      <w:r w:rsidR="003C3BDD">
        <w:rPr>
          <w:rFonts w:asciiTheme="majorBidi" w:hAnsiTheme="majorBidi" w:cstheme="majorBidi"/>
        </w:rPr>
        <w:t>originate</w:t>
      </w:r>
      <w:r w:rsidRPr="00C54C48">
        <w:rPr>
          <w:rFonts w:asciiTheme="majorBidi" w:hAnsiTheme="majorBidi" w:cstheme="majorBidi"/>
        </w:rPr>
        <w:t xml:space="preserve"> from voluntary contributions by private donors and official development assistance</w:t>
      </w:r>
      <w:r w:rsidR="00687B60">
        <w:rPr>
          <w:rFonts w:asciiTheme="majorBidi" w:hAnsiTheme="majorBidi" w:cstheme="majorBidi"/>
        </w:rPr>
        <w:t xml:space="preserve"> agencies or organizations</w:t>
      </w:r>
      <w:r w:rsidRPr="00C54C48">
        <w:rPr>
          <w:rFonts w:asciiTheme="majorBidi" w:hAnsiTheme="majorBidi" w:cstheme="majorBidi"/>
        </w:rPr>
        <w:t xml:space="preserve">. </w:t>
      </w:r>
      <w:r w:rsidR="0089645C">
        <w:rPr>
          <w:rFonts w:asciiTheme="majorBidi" w:hAnsiTheme="majorBidi" w:cstheme="majorBidi"/>
        </w:rPr>
        <w:t>The potential conflicts of interest highlighted in para.</w:t>
      </w:r>
      <w:r w:rsidR="00AA1E3B">
        <w:rPr>
          <w:rFonts w:asciiTheme="majorBidi" w:hAnsiTheme="majorBidi" w:cstheme="majorBidi"/>
        </w:rPr>
        <w:t xml:space="preserve"> 39</w:t>
      </w:r>
      <w:r w:rsidR="0089645C">
        <w:rPr>
          <w:rFonts w:asciiTheme="majorBidi" w:hAnsiTheme="majorBidi" w:cstheme="majorBidi"/>
        </w:rPr>
        <w:t xml:space="preserve"> of document A/CN.9/</w:t>
      </w:r>
      <w:r w:rsidR="00AA1E3B">
        <w:rPr>
          <w:rFonts w:asciiTheme="majorBidi" w:hAnsiTheme="majorBidi" w:cstheme="majorBidi"/>
        </w:rPr>
        <w:t>1004</w:t>
      </w:r>
      <w:r w:rsidR="0089645C">
        <w:rPr>
          <w:rFonts w:asciiTheme="majorBidi" w:hAnsiTheme="majorBidi" w:cstheme="majorBidi"/>
        </w:rPr>
        <w:t xml:space="preserve"> may be noted.</w:t>
      </w:r>
    </w:p>
    <w:p w14:paraId="6A699E25" w14:textId="648BDA45" w:rsidR="00290C9C" w:rsidRPr="00C54C48" w:rsidRDefault="00687B60"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As an illustration,</w:t>
      </w:r>
      <w:r w:rsidR="00290C9C" w:rsidRPr="00C54C48">
        <w:rPr>
          <w:rFonts w:asciiTheme="majorBidi" w:hAnsiTheme="majorBidi" w:cstheme="majorBidi"/>
        </w:rPr>
        <w:t xml:space="preserve"> the ACWL is financed through voluntary contributions from </w:t>
      </w:r>
      <w:r w:rsidR="00FB156B" w:rsidRPr="00C54C48">
        <w:rPr>
          <w:rFonts w:asciiTheme="majorBidi" w:hAnsiTheme="majorBidi" w:cstheme="majorBidi"/>
        </w:rPr>
        <w:t>S</w:t>
      </w:r>
      <w:r w:rsidR="00290C9C" w:rsidRPr="00C54C48">
        <w:rPr>
          <w:rFonts w:asciiTheme="majorBidi" w:hAnsiTheme="majorBidi" w:cstheme="majorBidi"/>
        </w:rPr>
        <w:t>tates, collected on a five-year cycle. The establishment of the</w:t>
      </w:r>
      <w:r w:rsidR="004810BA">
        <w:rPr>
          <w:rFonts w:asciiTheme="majorBidi" w:hAnsiTheme="majorBidi" w:cstheme="majorBidi"/>
        </w:rPr>
        <w:t xml:space="preserve"> centre</w:t>
      </w:r>
      <w:r w:rsidR="00290C9C" w:rsidRPr="00C54C48">
        <w:rPr>
          <w:rFonts w:asciiTheme="majorBidi" w:hAnsiTheme="majorBidi" w:cstheme="majorBidi"/>
        </w:rPr>
        <w:t xml:space="preserve"> enhances legitimacy and fairness in ISDS, which is seen as public service and for the public good. Thus, </w:t>
      </w:r>
      <w:r w:rsidR="00FB156B" w:rsidRPr="00C54C48">
        <w:rPr>
          <w:rFonts w:asciiTheme="majorBidi" w:hAnsiTheme="majorBidi" w:cstheme="majorBidi"/>
        </w:rPr>
        <w:t>S</w:t>
      </w:r>
      <w:r w:rsidR="00290C9C" w:rsidRPr="00C54C48">
        <w:rPr>
          <w:rFonts w:asciiTheme="majorBidi" w:hAnsiTheme="majorBidi" w:cstheme="majorBidi"/>
        </w:rPr>
        <w:t xml:space="preserve">tates and public institutions could commit to provide the required financing. </w:t>
      </w:r>
    </w:p>
    <w:p w14:paraId="18EC2611" w14:textId="22635C4F" w:rsidR="00290C9C" w:rsidRPr="007250CD" w:rsidRDefault="00290C9C" w:rsidP="007250CD">
      <w:pPr>
        <w:pStyle w:val="SingleTxt"/>
        <w:numPr>
          <w:ilvl w:val="0"/>
          <w:numId w:val="15"/>
        </w:numPr>
        <w:tabs>
          <w:tab w:val="clear" w:pos="1742"/>
          <w:tab w:val="clear" w:pos="2218"/>
          <w:tab w:val="left" w:pos="1701"/>
        </w:tabs>
        <w:rPr>
          <w:rFonts w:asciiTheme="majorBidi" w:hAnsiTheme="majorBidi" w:cstheme="majorBidi"/>
          <w:b/>
          <w:bCs/>
          <w:i/>
          <w:iCs/>
        </w:rPr>
      </w:pPr>
      <w:r w:rsidRPr="007250CD">
        <w:rPr>
          <w:rFonts w:asciiTheme="majorBidi" w:hAnsiTheme="majorBidi" w:cstheme="majorBidi"/>
          <w:b/>
          <w:bCs/>
          <w:i/>
          <w:iCs/>
        </w:rPr>
        <w:t>Fees to be charge</w:t>
      </w:r>
      <w:r w:rsidR="00A45A96">
        <w:rPr>
          <w:rFonts w:asciiTheme="majorBidi" w:hAnsiTheme="majorBidi" w:cstheme="majorBidi"/>
          <w:b/>
          <w:bCs/>
          <w:i/>
          <w:iCs/>
        </w:rPr>
        <w:t>d to beneficiaries</w:t>
      </w:r>
      <w:r w:rsidRPr="007250CD">
        <w:rPr>
          <w:rFonts w:asciiTheme="majorBidi" w:hAnsiTheme="majorBidi" w:cstheme="majorBidi"/>
          <w:b/>
          <w:bCs/>
          <w:i/>
          <w:iCs/>
        </w:rPr>
        <w:t xml:space="preserve"> </w:t>
      </w:r>
    </w:p>
    <w:p w14:paraId="367D13F2" w14:textId="5120E39F" w:rsidR="00290C9C" w:rsidRPr="00C54C48" w:rsidRDefault="00290C9C"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i/>
          <w:iCs/>
        </w:rPr>
      </w:pPr>
      <w:r w:rsidRPr="00C54C48">
        <w:rPr>
          <w:rFonts w:asciiTheme="majorBidi" w:hAnsiTheme="majorBidi" w:cstheme="majorBidi"/>
        </w:rPr>
        <w:t xml:space="preserve">The </w:t>
      </w:r>
      <w:r w:rsidR="00FB156B" w:rsidRPr="00C54C48">
        <w:rPr>
          <w:rFonts w:asciiTheme="majorBidi" w:hAnsiTheme="majorBidi" w:cstheme="majorBidi"/>
        </w:rPr>
        <w:t xml:space="preserve">Working Group may further consider if and which </w:t>
      </w:r>
      <w:r w:rsidRPr="00C54C48">
        <w:rPr>
          <w:rFonts w:asciiTheme="majorBidi" w:hAnsiTheme="majorBidi" w:cstheme="majorBidi"/>
        </w:rPr>
        <w:t xml:space="preserve">cost of services provided by the </w:t>
      </w:r>
      <w:r w:rsidR="00687B60">
        <w:rPr>
          <w:rFonts w:asciiTheme="majorBidi" w:hAnsiTheme="majorBidi" w:cstheme="majorBidi"/>
        </w:rPr>
        <w:t>advisory centre</w:t>
      </w:r>
      <w:r w:rsidRPr="00C54C48">
        <w:rPr>
          <w:rFonts w:asciiTheme="majorBidi" w:hAnsiTheme="majorBidi" w:cstheme="majorBidi"/>
        </w:rPr>
        <w:t xml:space="preserve"> should be borne by the beneficiaries.  The rate of these services </w:t>
      </w:r>
      <w:r w:rsidR="00687B60">
        <w:rPr>
          <w:rFonts w:asciiTheme="majorBidi" w:hAnsiTheme="majorBidi" w:cstheme="majorBidi"/>
        </w:rPr>
        <w:t>might</w:t>
      </w:r>
      <w:r w:rsidRPr="00C54C48">
        <w:rPr>
          <w:rFonts w:asciiTheme="majorBidi" w:hAnsiTheme="majorBidi" w:cstheme="majorBidi"/>
        </w:rPr>
        <w:t xml:space="preserve"> not be the same for all </w:t>
      </w:r>
      <w:r w:rsidR="00687B60">
        <w:rPr>
          <w:rFonts w:asciiTheme="majorBidi" w:hAnsiTheme="majorBidi" w:cstheme="majorBidi"/>
        </w:rPr>
        <w:t>S</w:t>
      </w:r>
      <w:r w:rsidRPr="00C54C48">
        <w:rPr>
          <w:rFonts w:asciiTheme="majorBidi" w:hAnsiTheme="majorBidi" w:cstheme="majorBidi"/>
        </w:rPr>
        <w:t>tates and</w:t>
      </w:r>
      <w:r w:rsidR="00687B60">
        <w:rPr>
          <w:rFonts w:asciiTheme="majorBidi" w:hAnsiTheme="majorBidi" w:cstheme="majorBidi"/>
        </w:rPr>
        <w:t xml:space="preserve"> would</w:t>
      </w:r>
      <w:r w:rsidRPr="00C54C48">
        <w:rPr>
          <w:rFonts w:asciiTheme="majorBidi" w:hAnsiTheme="majorBidi" w:cstheme="majorBidi"/>
        </w:rPr>
        <w:t xml:space="preserve"> </w:t>
      </w:r>
      <w:r w:rsidR="00ED2484">
        <w:rPr>
          <w:rFonts w:asciiTheme="majorBidi" w:hAnsiTheme="majorBidi" w:cstheme="majorBidi"/>
        </w:rPr>
        <w:t xml:space="preserve">need to </w:t>
      </w:r>
      <w:proofErr w:type="gramStart"/>
      <w:r w:rsidR="00ED2484">
        <w:rPr>
          <w:rFonts w:asciiTheme="majorBidi" w:hAnsiTheme="majorBidi" w:cstheme="majorBidi"/>
        </w:rPr>
        <w:t>take into account</w:t>
      </w:r>
      <w:proofErr w:type="gramEnd"/>
      <w:r w:rsidRPr="00C54C48">
        <w:rPr>
          <w:rFonts w:asciiTheme="majorBidi" w:hAnsiTheme="majorBidi" w:cstheme="majorBidi"/>
        </w:rPr>
        <w:t xml:space="preserve"> their level of economic development. Accordingly, the LDCs</w:t>
      </w:r>
      <w:r w:rsidR="000C3E8D">
        <w:rPr>
          <w:rFonts w:asciiTheme="majorBidi" w:hAnsiTheme="majorBidi" w:cstheme="majorBidi"/>
        </w:rPr>
        <w:t xml:space="preserve"> and </w:t>
      </w:r>
      <w:r w:rsidR="003F714F">
        <w:t>non-LDC lower-middle income countries</w:t>
      </w:r>
      <w:r w:rsidRPr="00C54C48">
        <w:rPr>
          <w:rFonts w:asciiTheme="majorBidi" w:hAnsiTheme="majorBidi" w:cstheme="majorBidi"/>
        </w:rPr>
        <w:t xml:space="preserve"> could be required </w:t>
      </w:r>
      <w:r w:rsidR="00806F40">
        <w:rPr>
          <w:rFonts w:asciiTheme="majorBidi" w:hAnsiTheme="majorBidi" w:cstheme="majorBidi"/>
        </w:rPr>
        <w:t xml:space="preserve">to </w:t>
      </w:r>
      <w:r w:rsidRPr="00C54C48">
        <w:rPr>
          <w:rFonts w:asciiTheme="majorBidi" w:hAnsiTheme="majorBidi" w:cstheme="majorBidi"/>
        </w:rPr>
        <w:t>pay at a nominal rate, while the high- and middle-income developing countries</w:t>
      </w:r>
      <w:r w:rsidR="00807C40">
        <w:rPr>
          <w:rFonts w:asciiTheme="majorBidi" w:hAnsiTheme="majorBidi" w:cstheme="majorBidi"/>
        </w:rPr>
        <w:t xml:space="preserve"> </w:t>
      </w:r>
      <w:r w:rsidRPr="00C54C48">
        <w:rPr>
          <w:rFonts w:asciiTheme="majorBidi" w:hAnsiTheme="majorBidi" w:cstheme="majorBidi"/>
        </w:rPr>
        <w:t>could be required to pay at the market rate and discounted rate</w:t>
      </w:r>
      <w:r w:rsidR="00D25564">
        <w:rPr>
          <w:rFonts w:asciiTheme="majorBidi" w:hAnsiTheme="majorBidi" w:cstheme="majorBidi"/>
        </w:rPr>
        <w:t>,</w:t>
      </w:r>
      <w:r w:rsidRPr="00C54C48">
        <w:rPr>
          <w:rFonts w:asciiTheme="majorBidi" w:hAnsiTheme="majorBidi" w:cstheme="majorBidi"/>
        </w:rPr>
        <w:t xml:space="preserve"> respectively.</w:t>
      </w:r>
      <w:r w:rsidRPr="00C54C48">
        <w:rPr>
          <w:rFonts w:asciiTheme="majorBidi" w:hAnsiTheme="majorBidi" w:cstheme="majorBidi"/>
          <w:i/>
          <w:iCs/>
        </w:rPr>
        <w:t xml:space="preserve"> </w:t>
      </w:r>
      <w:r w:rsidR="00807C40">
        <w:rPr>
          <w:rFonts w:asciiTheme="majorBidi" w:hAnsiTheme="majorBidi" w:cstheme="majorBidi"/>
        </w:rPr>
        <w:t>If developed countries are permitted to avail of the centre’s advisory services, they too could be required to pay market rates.</w:t>
      </w:r>
    </w:p>
    <w:p w14:paraId="77730679" w14:textId="64416B98" w:rsidR="00290C9C" w:rsidRPr="00C54C48" w:rsidRDefault="00290C9C"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t xml:space="preserve">The Study </w:t>
      </w:r>
      <w:r w:rsidR="00687B60">
        <w:rPr>
          <w:rFonts w:asciiTheme="majorBidi" w:hAnsiTheme="majorBidi" w:cstheme="majorBidi"/>
        </w:rPr>
        <w:t>indicates</w:t>
      </w:r>
      <w:r w:rsidRPr="00C54C48">
        <w:rPr>
          <w:rFonts w:asciiTheme="majorBidi" w:hAnsiTheme="majorBidi" w:cstheme="majorBidi"/>
        </w:rPr>
        <w:t xml:space="preserve"> that charging for services (even at highly discounted rates) can help </w:t>
      </w:r>
      <w:r w:rsidR="00C253D5">
        <w:rPr>
          <w:rFonts w:asciiTheme="majorBidi" w:hAnsiTheme="majorBidi" w:cstheme="majorBidi"/>
        </w:rPr>
        <w:t xml:space="preserve">to </w:t>
      </w:r>
      <w:r w:rsidRPr="00C54C48">
        <w:rPr>
          <w:rFonts w:asciiTheme="majorBidi" w:hAnsiTheme="majorBidi" w:cstheme="majorBidi"/>
        </w:rPr>
        <w:t xml:space="preserve">achieve some degree of financial autonomy.  The annual recurring cost in Scenario </w:t>
      </w:r>
      <w:r w:rsidR="00AA1E3B">
        <w:rPr>
          <w:rFonts w:asciiTheme="majorBidi" w:hAnsiTheme="majorBidi" w:cstheme="majorBidi"/>
        </w:rPr>
        <w:t>A</w:t>
      </w:r>
      <w:r w:rsidRPr="00C54C48">
        <w:rPr>
          <w:rFonts w:asciiTheme="majorBidi" w:hAnsiTheme="majorBidi" w:cstheme="majorBidi"/>
        </w:rPr>
        <w:t xml:space="preserve"> could be USD 3,</w:t>
      </w:r>
      <w:r w:rsidR="00AA1E3B">
        <w:rPr>
          <w:rFonts w:asciiTheme="majorBidi" w:hAnsiTheme="majorBidi" w:cstheme="majorBidi"/>
        </w:rPr>
        <w:t>715</w:t>
      </w:r>
      <w:r w:rsidRPr="00C54C48">
        <w:rPr>
          <w:rFonts w:asciiTheme="majorBidi" w:hAnsiTheme="majorBidi" w:cstheme="majorBidi"/>
        </w:rPr>
        <w:t>,</w:t>
      </w:r>
      <w:r w:rsidR="00AA1E3B">
        <w:rPr>
          <w:rFonts w:asciiTheme="majorBidi" w:hAnsiTheme="majorBidi" w:cstheme="majorBidi"/>
        </w:rPr>
        <w:t>866</w:t>
      </w:r>
      <w:r w:rsidRPr="00C54C48">
        <w:rPr>
          <w:rFonts w:asciiTheme="majorBidi" w:hAnsiTheme="majorBidi" w:cstheme="majorBidi"/>
        </w:rPr>
        <w:t>, wherein</w:t>
      </w:r>
      <w:r w:rsidR="004810BA">
        <w:rPr>
          <w:rFonts w:asciiTheme="majorBidi" w:hAnsiTheme="majorBidi" w:cstheme="majorBidi"/>
        </w:rPr>
        <w:t xml:space="preserve"> the centre</w:t>
      </w:r>
      <w:r w:rsidRPr="00C54C48">
        <w:rPr>
          <w:rFonts w:asciiTheme="majorBidi" w:hAnsiTheme="majorBidi" w:cstheme="majorBidi"/>
        </w:rPr>
        <w:t xml:space="preserve"> could function with </w:t>
      </w:r>
      <w:r w:rsidR="007920C2">
        <w:rPr>
          <w:rFonts w:asciiTheme="majorBidi" w:hAnsiTheme="majorBidi" w:cstheme="majorBidi"/>
        </w:rPr>
        <w:t>fifteen (</w:t>
      </w:r>
      <w:r w:rsidRPr="00C54C48">
        <w:rPr>
          <w:rFonts w:asciiTheme="majorBidi" w:hAnsiTheme="majorBidi" w:cstheme="majorBidi"/>
        </w:rPr>
        <w:t>15</w:t>
      </w:r>
      <w:r w:rsidR="007920C2">
        <w:rPr>
          <w:rFonts w:asciiTheme="majorBidi" w:hAnsiTheme="majorBidi" w:cstheme="majorBidi"/>
        </w:rPr>
        <w:t>)</w:t>
      </w:r>
      <w:r w:rsidRPr="00C54C48">
        <w:rPr>
          <w:rFonts w:asciiTheme="majorBidi" w:hAnsiTheme="majorBidi" w:cstheme="majorBidi"/>
        </w:rPr>
        <w:t xml:space="preserve"> lawyers working for 22,500 billable hours on an average. </w:t>
      </w:r>
    </w:p>
    <w:p w14:paraId="12CC4ED0" w14:textId="2FC0D494" w:rsidR="00290C9C" w:rsidRPr="00C54C48" w:rsidRDefault="00290C9C"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t xml:space="preserve">The Study suggests that a break-even point can be achieved at an average hourly rate of USD 136 (for scenario </w:t>
      </w:r>
      <w:r w:rsidR="00AA1E3B">
        <w:rPr>
          <w:rFonts w:asciiTheme="majorBidi" w:hAnsiTheme="majorBidi" w:cstheme="majorBidi"/>
        </w:rPr>
        <w:t>A</w:t>
      </w:r>
      <w:r w:rsidRPr="00C54C48">
        <w:rPr>
          <w:rFonts w:asciiTheme="majorBidi" w:hAnsiTheme="majorBidi" w:cstheme="majorBidi"/>
        </w:rPr>
        <w:t xml:space="preserve">).  </w:t>
      </w:r>
    </w:p>
    <w:p w14:paraId="42F848F8" w14:textId="1E307859" w:rsidR="00290C9C" w:rsidRPr="00C54C48" w:rsidRDefault="00290C9C"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t xml:space="preserve">Considering that different hourly rates could vary depending on the category of </w:t>
      </w:r>
      <w:r w:rsidR="00687B60">
        <w:rPr>
          <w:rFonts w:asciiTheme="majorBidi" w:hAnsiTheme="majorBidi" w:cstheme="majorBidi"/>
        </w:rPr>
        <w:t>beneficiaries</w:t>
      </w:r>
      <w:r w:rsidRPr="00C54C48">
        <w:rPr>
          <w:rFonts w:asciiTheme="majorBidi" w:hAnsiTheme="majorBidi" w:cstheme="majorBidi"/>
        </w:rPr>
        <w:t xml:space="preserve">, while also assuming that all categories would use </w:t>
      </w:r>
      <w:r w:rsidR="00687B60">
        <w:rPr>
          <w:rFonts w:asciiTheme="majorBidi" w:hAnsiTheme="majorBidi" w:cstheme="majorBidi"/>
        </w:rPr>
        <w:t>the</w:t>
      </w:r>
      <w:r w:rsidRPr="00C54C48">
        <w:rPr>
          <w:rFonts w:asciiTheme="majorBidi" w:hAnsiTheme="majorBidi" w:cstheme="majorBidi"/>
        </w:rPr>
        <w:t xml:space="preserve"> services, the break-even point </w:t>
      </w:r>
      <w:r w:rsidR="00A45A96">
        <w:rPr>
          <w:rFonts w:asciiTheme="majorBidi" w:hAnsiTheme="majorBidi" w:cstheme="majorBidi"/>
        </w:rPr>
        <w:t>is</w:t>
      </w:r>
      <w:r w:rsidRPr="00C54C48">
        <w:rPr>
          <w:rFonts w:asciiTheme="majorBidi" w:hAnsiTheme="majorBidi" w:cstheme="majorBidi"/>
        </w:rPr>
        <w:t xml:space="preserve"> achieved</w:t>
      </w:r>
      <w:r w:rsidR="00A45A96">
        <w:rPr>
          <w:rFonts w:asciiTheme="majorBidi" w:hAnsiTheme="majorBidi" w:cstheme="majorBidi"/>
        </w:rPr>
        <w:t xml:space="preserve"> under the Study</w:t>
      </w:r>
      <w:r w:rsidRPr="00C54C48">
        <w:rPr>
          <w:rFonts w:asciiTheme="majorBidi" w:hAnsiTheme="majorBidi" w:cstheme="majorBidi"/>
        </w:rPr>
        <w:t xml:space="preserve"> by the following division: Category A </w:t>
      </w:r>
      <w:r w:rsidR="00A45A96">
        <w:rPr>
          <w:rFonts w:asciiTheme="majorBidi" w:hAnsiTheme="majorBidi" w:cstheme="majorBidi"/>
        </w:rPr>
        <w:t>S</w:t>
      </w:r>
      <w:r w:rsidRPr="00C54C48">
        <w:rPr>
          <w:rFonts w:asciiTheme="majorBidi" w:hAnsiTheme="majorBidi" w:cstheme="majorBidi"/>
        </w:rPr>
        <w:t xml:space="preserve">tates could pay USD 400 per hour, Category B </w:t>
      </w:r>
      <w:r w:rsidR="00E31175">
        <w:rPr>
          <w:rFonts w:asciiTheme="majorBidi" w:hAnsiTheme="majorBidi" w:cstheme="majorBidi"/>
        </w:rPr>
        <w:t>S</w:t>
      </w:r>
      <w:r w:rsidRPr="00C54C48">
        <w:rPr>
          <w:rFonts w:asciiTheme="majorBidi" w:hAnsiTheme="majorBidi" w:cstheme="majorBidi"/>
        </w:rPr>
        <w:t xml:space="preserve">tates could pay USD 90 per hour, Category C </w:t>
      </w:r>
      <w:r w:rsidR="00E31175">
        <w:rPr>
          <w:rFonts w:asciiTheme="majorBidi" w:hAnsiTheme="majorBidi" w:cstheme="majorBidi"/>
        </w:rPr>
        <w:t>S</w:t>
      </w:r>
      <w:r w:rsidRPr="00C54C48">
        <w:rPr>
          <w:rFonts w:asciiTheme="majorBidi" w:hAnsiTheme="majorBidi" w:cstheme="majorBidi"/>
        </w:rPr>
        <w:t xml:space="preserve">tates could pay USD 40 per hour, and LDCs could pay USD 20 per hour. This could generate an income of USD 2,250,000, USD 506,250, USD 225,000, and USD 112,500 from the respective categories of </w:t>
      </w:r>
      <w:r w:rsidR="00B57779">
        <w:rPr>
          <w:rFonts w:asciiTheme="majorBidi" w:hAnsiTheme="majorBidi" w:cstheme="majorBidi"/>
        </w:rPr>
        <w:t>S</w:t>
      </w:r>
      <w:r w:rsidRPr="00C54C48">
        <w:rPr>
          <w:rFonts w:asciiTheme="majorBidi" w:hAnsiTheme="majorBidi" w:cstheme="majorBidi"/>
        </w:rPr>
        <w:t xml:space="preserve">tates. </w:t>
      </w:r>
    </w:p>
    <w:p w14:paraId="4A142FE7" w14:textId="4485C1A7" w:rsidR="00290C9C" w:rsidRPr="00C54C48" w:rsidRDefault="00290C9C"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t>However, considering that the</w:t>
      </w:r>
      <w:r w:rsidR="00A45A96">
        <w:rPr>
          <w:rFonts w:asciiTheme="majorBidi" w:hAnsiTheme="majorBidi" w:cstheme="majorBidi"/>
        </w:rPr>
        <w:t xml:space="preserve"> services</w:t>
      </w:r>
      <w:r w:rsidRPr="00C54C48">
        <w:rPr>
          <w:rFonts w:asciiTheme="majorBidi" w:hAnsiTheme="majorBidi" w:cstheme="majorBidi"/>
        </w:rPr>
        <w:t xml:space="preserve"> may </w:t>
      </w:r>
      <w:r w:rsidR="00A45A96">
        <w:rPr>
          <w:rFonts w:asciiTheme="majorBidi" w:hAnsiTheme="majorBidi" w:cstheme="majorBidi"/>
        </w:rPr>
        <w:t>be available in</w:t>
      </w:r>
      <w:r w:rsidRPr="00C54C48">
        <w:rPr>
          <w:rFonts w:asciiTheme="majorBidi" w:hAnsiTheme="majorBidi" w:cstheme="majorBidi"/>
        </w:rPr>
        <w:t xml:space="preserve"> priority to LDCs, the break-even point might not be reached based on the above-mentioned hourly rates.  So</w:t>
      </w:r>
      <w:r w:rsidR="005829BE">
        <w:rPr>
          <w:rFonts w:asciiTheme="majorBidi" w:hAnsiTheme="majorBidi" w:cstheme="majorBidi"/>
        </w:rPr>
        <w:t>,</w:t>
      </w:r>
      <w:r w:rsidRPr="00C54C48">
        <w:rPr>
          <w:rFonts w:asciiTheme="majorBidi" w:hAnsiTheme="majorBidi" w:cstheme="majorBidi"/>
        </w:rPr>
        <w:t xml:space="preserve"> while </w:t>
      </w:r>
      <w:r w:rsidRPr="00C54C48">
        <w:rPr>
          <w:rFonts w:asciiTheme="majorBidi" w:hAnsiTheme="majorBidi" w:cstheme="majorBidi"/>
          <w:color w:val="000000" w:themeColor="text1"/>
        </w:rPr>
        <w:t xml:space="preserve">it is theoretically feasible to entirely finance the centre’s costs by means of discounted fees for the services charged by the centre, </w:t>
      </w:r>
      <w:r w:rsidR="00C56934">
        <w:rPr>
          <w:rFonts w:asciiTheme="majorBidi" w:hAnsiTheme="majorBidi" w:cstheme="majorBidi"/>
          <w:color w:val="000000" w:themeColor="text1"/>
        </w:rPr>
        <w:t xml:space="preserve">this may not be </w:t>
      </w:r>
      <w:proofErr w:type="gramStart"/>
      <w:r w:rsidR="00C56934">
        <w:rPr>
          <w:rFonts w:asciiTheme="majorBidi" w:hAnsiTheme="majorBidi" w:cstheme="majorBidi"/>
          <w:color w:val="000000" w:themeColor="text1"/>
        </w:rPr>
        <w:t>sufficient</w:t>
      </w:r>
      <w:proofErr w:type="gramEnd"/>
      <w:r w:rsidR="00C56934">
        <w:rPr>
          <w:rFonts w:asciiTheme="majorBidi" w:hAnsiTheme="majorBidi" w:cstheme="majorBidi"/>
          <w:color w:val="000000" w:themeColor="text1"/>
        </w:rPr>
        <w:t>. In order to ensure that the centre would</w:t>
      </w:r>
      <w:r w:rsidRPr="00C54C48">
        <w:rPr>
          <w:rFonts w:asciiTheme="majorBidi" w:hAnsiTheme="majorBidi" w:cstheme="majorBidi"/>
          <w:color w:val="000000" w:themeColor="text1"/>
        </w:rPr>
        <w:t xml:space="preserve"> delive</w:t>
      </w:r>
      <w:r w:rsidR="00C56934">
        <w:rPr>
          <w:rFonts w:asciiTheme="majorBidi" w:hAnsiTheme="majorBidi" w:cstheme="majorBidi"/>
          <w:color w:val="000000" w:themeColor="text1"/>
        </w:rPr>
        <w:t>r</w:t>
      </w:r>
      <w:r w:rsidRPr="00C54C48">
        <w:rPr>
          <w:rFonts w:asciiTheme="majorBidi" w:hAnsiTheme="majorBidi" w:cstheme="majorBidi"/>
          <w:color w:val="000000" w:themeColor="text1"/>
        </w:rPr>
        <w:t xml:space="preserve"> services at the lowest possible rate, in particular to the</w:t>
      </w:r>
      <w:r w:rsidR="00BE73C8">
        <w:rPr>
          <w:rFonts w:asciiTheme="majorBidi" w:hAnsiTheme="majorBidi" w:cstheme="majorBidi"/>
          <w:color w:val="000000" w:themeColor="text1"/>
        </w:rPr>
        <w:t xml:space="preserve"> </w:t>
      </w:r>
      <w:r w:rsidR="00993816">
        <w:rPr>
          <w:rFonts w:asciiTheme="majorBidi" w:hAnsiTheme="majorBidi" w:cstheme="majorBidi"/>
          <w:color w:val="000000" w:themeColor="text1"/>
        </w:rPr>
        <w:t>LDCs</w:t>
      </w:r>
      <w:r w:rsidR="00BE73C8">
        <w:rPr>
          <w:rFonts w:asciiTheme="majorBidi" w:hAnsiTheme="majorBidi" w:cstheme="majorBidi"/>
          <w:color w:val="000000" w:themeColor="text1"/>
        </w:rPr>
        <w:t xml:space="preserve"> </w:t>
      </w:r>
      <w:r w:rsidRPr="00C54C48">
        <w:rPr>
          <w:rFonts w:asciiTheme="majorBidi" w:hAnsiTheme="majorBidi" w:cstheme="majorBidi"/>
          <w:color w:val="000000" w:themeColor="text1"/>
        </w:rPr>
        <w:t>among its members</w:t>
      </w:r>
      <w:r w:rsidR="00C56934">
        <w:rPr>
          <w:rFonts w:asciiTheme="majorBidi" w:hAnsiTheme="majorBidi" w:cstheme="majorBidi"/>
          <w:color w:val="000000" w:themeColor="text1"/>
        </w:rPr>
        <w:t>, other options might need to be explored,</w:t>
      </w:r>
      <w:r w:rsidRPr="00C54C48">
        <w:rPr>
          <w:rStyle w:val="FootnoteReference"/>
          <w:rFonts w:asciiTheme="majorBidi" w:hAnsiTheme="majorBidi" w:cstheme="majorBidi"/>
        </w:rPr>
        <w:footnoteReference w:id="13"/>
      </w:r>
      <w:r w:rsidR="00C56934">
        <w:rPr>
          <w:rFonts w:asciiTheme="majorBidi" w:hAnsiTheme="majorBidi" w:cstheme="majorBidi"/>
          <w:color w:val="000000" w:themeColor="text1"/>
        </w:rPr>
        <w:t xml:space="preserve"> such as: (</w:t>
      </w:r>
      <w:proofErr w:type="spellStart"/>
      <w:r w:rsidR="00C56934">
        <w:rPr>
          <w:rFonts w:asciiTheme="majorBidi" w:hAnsiTheme="majorBidi" w:cstheme="majorBidi"/>
          <w:color w:val="000000" w:themeColor="text1"/>
        </w:rPr>
        <w:t>i</w:t>
      </w:r>
      <w:proofErr w:type="spellEnd"/>
      <w:r w:rsidR="00C56934">
        <w:rPr>
          <w:rFonts w:asciiTheme="majorBidi" w:hAnsiTheme="majorBidi" w:cstheme="majorBidi"/>
          <w:color w:val="000000" w:themeColor="text1"/>
        </w:rPr>
        <w:t>)</w:t>
      </w:r>
      <w:r w:rsidRPr="00C54C48">
        <w:rPr>
          <w:rFonts w:asciiTheme="majorBidi" w:hAnsiTheme="majorBidi" w:cstheme="majorBidi"/>
          <w:color w:val="000000" w:themeColor="text1"/>
        </w:rPr>
        <w:t xml:space="preserve"> </w:t>
      </w:r>
      <w:r w:rsidR="00C56934" w:rsidRPr="00C54C48">
        <w:rPr>
          <w:rFonts w:asciiTheme="majorBidi" w:hAnsiTheme="majorBidi" w:cstheme="majorBidi"/>
        </w:rPr>
        <w:t xml:space="preserve">increasing the hourly rates for all categories of </w:t>
      </w:r>
      <w:r w:rsidR="00C56934">
        <w:rPr>
          <w:rFonts w:asciiTheme="majorBidi" w:hAnsiTheme="majorBidi" w:cstheme="majorBidi"/>
        </w:rPr>
        <w:t>S</w:t>
      </w:r>
      <w:r w:rsidR="00C56934" w:rsidRPr="00C54C48">
        <w:rPr>
          <w:rFonts w:asciiTheme="majorBidi" w:hAnsiTheme="majorBidi" w:cstheme="majorBidi"/>
        </w:rPr>
        <w:t>tates</w:t>
      </w:r>
      <w:r w:rsidR="00C56934">
        <w:rPr>
          <w:rFonts w:asciiTheme="majorBidi" w:hAnsiTheme="majorBidi" w:cstheme="majorBidi"/>
        </w:rPr>
        <w:t xml:space="preserve">; or (ii) </w:t>
      </w:r>
      <w:r w:rsidR="00C56934" w:rsidRPr="00C54C48">
        <w:rPr>
          <w:rFonts w:asciiTheme="majorBidi" w:hAnsiTheme="majorBidi" w:cstheme="majorBidi"/>
        </w:rPr>
        <w:t>capped hourly rates for an average number of hours per case</w:t>
      </w:r>
      <w:r w:rsidR="00C56934">
        <w:rPr>
          <w:rFonts w:asciiTheme="majorBidi" w:hAnsiTheme="majorBidi" w:cstheme="majorBidi"/>
        </w:rPr>
        <w:t xml:space="preserve">, </w:t>
      </w:r>
      <w:r w:rsidR="00C56934" w:rsidRPr="00C54C48">
        <w:rPr>
          <w:rFonts w:asciiTheme="majorBidi" w:hAnsiTheme="majorBidi" w:cstheme="majorBidi"/>
        </w:rPr>
        <w:t>combined with a lump-sum amount for series of services</w:t>
      </w:r>
      <w:r w:rsidR="00C56934">
        <w:rPr>
          <w:rFonts w:asciiTheme="majorBidi" w:hAnsiTheme="majorBidi" w:cstheme="majorBidi"/>
        </w:rPr>
        <w:t>.</w:t>
      </w:r>
    </w:p>
    <w:p w14:paraId="2AFF6ABC" w14:textId="7E36F5CA" w:rsidR="00290C9C" w:rsidRPr="00C54C48" w:rsidRDefault="00290C9C"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lastRenderedPageBreak/>
        <w:t>In addition, the Working Group ha</w:t>
      </w:r>
      <w:r w:rsidR="00C56934">
        <w:rPr>
          <w:rFonts w:asciiTheme="majorBidi" w:hAnsiTheme="majorBidi" w:cstheme="majorBidi"/>
        </w:rPr>
        <w:t>d</w:t>
      </w:r>
      <w:r w:rsidRPr="00C54C48">
        <w:rPr>
          <w:rFonts w:asciiTheme="majorBidi" w:hAnsiTheme="majorBidi" w:cstheme="majorBidi"/>
        </w:rPr>
        <w:t xml:space="preserve"> </w:t>
      </w:r>
      <w:r w:rsidR="00C56934">
        <w:rPr>
          <w:rFonts w:asciiTheme="majorBidi" w:hAnsiTheme="majorBidi" w:cstheme="majorBidi"/>
        </w:rPr>
        <w:t>noted</w:t>
      </w:r>
      <w:r w:rsidRPr="00C54C48">
        <w:rPr>
          <w:rFonts w:asciiTheme="majorBidi" w:hAnsiTheme="majorBidi" w:cstheme="majorBidi"/>
        </w:rPr>
        <w:t xml:space="preserve"> that ADR methods such as mediation are largely underutilised in the context of ISDS</w:t>
      </w:r>
      <w:r w:rsidR="00C56934">
        <w:rPr>
          <w:rFonts w:asciiTheme="majorBidi" w:hAnsiTheme="majorBidi" w:cstheme="majorBidi"/>
        </w:rPr>
        <w:t>. In that context,</w:t>
      </w:r>
      <w:r w:rsidRPr="00C54C48">
        <w:rPr>
          <w:rFonts w:asciiTheme="majorBidi" w:hAnsiTheme="majorBidi" w:cstheme="majorBidi"/>
        </w:rPr>
        <w:t xml:space="preserve"> it was stated that the role of the </w:t>
      </w:r>
      <w:r w:rsidR="00C56934">
        <w:rPr>
          <w:rFonts w:asciiTheme="majorBidi" w:hAnsiTheme="majorBidi" w:cstheme="majorBidi"/>
        </w:rPr>
        <w:t>advisory centre</w:t>
      </w:r>
      <w:r w:rsidRPr="00C54C48">
        <w:rPr>
          <w:rFonts w:asciiTheme="majorBidi" w:hAnsiTheme="majorBidi" w:cstheme="majorBidi"/>
        </w:rPr>
        <w:t xml:space="preserve"> in the resolution of disputes outside the adversarial methods should also be explored (A/CN.9/1044, para. </w:t>
      </w:r>
      <w:r w:rsidR="00AA1E3B">
        <w:rPr>
          <w:rFonts w:asciiTheme="majorBidi" w:hAnsiTheme="majorBidi" w:cstheme="majorBidi"/>
        </w:rPr>
        <w:t>39</w:t>
      </w:r>
      <w:r w:rsidRPr="00C54C48">
        <w:rPr>
          <w:rFonts w:asciiTheme="majorBidi" w:hAnsiTheme="majorBidi" w:cstheme="majorBidi"/>
        </w:rPr>
        <w:t xml:space="preserve">). In order to meet this objective, the rates for amicable settlement services could be discounted (for example, a discount of 25 per cent or more could apply as compared to the fees charged in arbitration) to incentivise </w:t>
      </w:r>
      <w:r w:rsidR="00380881">
        <w:rPr>
          <w:rFonts w:asciiTheme="majorBidi" w:hAnsiTheme="majorBidi" w:cstheme="majorBidi"/>
        </w:rPr>
        <w:t xml:space="preserve">the </w:t>
      </w:r>
      <w:r w:rsidR="00C56934">
        <w:rPr>
          <w:rFonts w:asciiTheme="majorBidi" w:hAnsiTheme="majorBidi" w:cstheme="majorBidi"/>
        </w:rPr>
        <w:t xml:space="preserve">use of </w:t>
      </w:r>
      <w:r w:rsidRPr="00C54C48">
        <w:rPr>
          <w:rFonts w:asciiTheme="majorBidi" w:hAnsiTheme="majorBidi" w:cstheme="majorBidi"/>
        </w:rPr>
        <w:t xml:space="preserve">mediation. </w:t>
      </w:r>
    </w:p>
    <w:p w14:paraId="23AE6A04" w14:textId="08C865DD" w:rsidR="00290C9C" w:rsidRPr="007250CD" w:rsidRDefault="00290C9C" w:rsidP="007250CD">
      <w:pPr>
        <w:pStyle w:val="SingleTxt"/>
        <w:numPr>
          <w:ilvl w:val="0"/>
          <w:numId w:val="15"/>
        </w:numPr>
        <w:tabs>
          <w:tab w:val="clear" w:pos="1742"/>
          <w:tab w:val="clear" w:pos="2218"/>
          <w:tab w:val="left" w:pos="1701"/>
        </w:tabs>
        <w:rPr>
          <w:rFonts w:asciiTheme="majorBidi" w:hAnsiTheme="majorBidi" w:cstheme="majorBidi"/>
          <w:b/>
          <w:bCs/>
          <w:i/>
          <w:iCs/>
        </w:rPr>
      </w:pPr>
      <w:r w:rsidRPr="007250CD">
        <w:rPr>
          <w:rFonts w:asciiTheme="majorBidi" w:hAnsiTheme="majorBidi" w:cstheme="majorBidi"/>
          <w:b/>
          <w:bCs/>
          <w:i/>
          <w:iCs/>
        </w:rPr>
        <w:t>Recovery of costs</w:t>
      </w:r>
    </w:p>
    <w:p w14:paraId="7525EC5F" w14:textId="55CD4A99" w:rsidR="00290C9C" w:rsidRPr="00C54C48" w:rsidRDefault="00C56934"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 xml:space="preserve">Another source of funding might be found in costs to be recovered in situations where the beneficiaries of the centre would </w:t>
      </w:r>
      <w:r w:rsidR="00290C9C" w:rsidRPr="00C54C48">
        <w:rPr>
          <w:rFonts w:asciiTheme="majorBidi" w:hAnsiTheme="majorBidi" w:cstheme="majorBidi"/>
        </w:rPr>
        <w:t>prevail in a dispute</w:t>
      </w:r>
      <w:r>
        <w:rPr>
          <w:rFonts w:asciiTheme="majorBidi" w:hAnsiTheme="majorBidi" w:cstheme="majorBidi"/>
        </w:rPr>
        <w:t xml:space="preserve">. </w:t>
      </w:r>
      <w:r w:rsidR="00FB156B" w:rsidRPr="00C54C48">
        <w:rPr>
          <w:rFonts w:asciiTheme="majorBidi" w:hAnsiTheme="majorBidi" w:cstheme="majorBidi"/>
        </w:rPr>
        <w:t xml:space="preserve">The Working Group may wish to consider </w:t>
      </w:r>
      <w:r>
        <w:rPr>
          <w:rFonts w:asciiTheme="majorBidi" w:hAnsiTheme="majorBidi" w:cstheme="majorBidi"/>
        </w:rPr>
        <w:t>an option</w:t>
      </w:r>
      <w:r w:rsidR="00290C9C" w:rsidRPr="00C54C48">
        <w:rPr>
          <w:rFonts w:asciiTheme="majorBidi" w:hAnsiTheme="majorBidi" w:cstheme="majorBidi"/>
        </w:rPr>
        <w:t xml:space="preserve"> requir</w:t>
      </w:r>
      <w:r>
        <w:rPr>
          <w:rFonts w:asciiTheme="majorBidi" w:hAnsiTheme="majorBidi" w:cstheme="majorBidi"/>
        </w:rPr>
        <w:t>ing</w:t>
      </w:r>
      <w:r w:rsidR="00290C9C" w:rsidRPr="00C54C48">
        <w:rPr>
          <w:rFonts w:asciiTheme="majorBidi" w:hAnsiTheme="majorBidi" w:cstheme="majorBidi"/>
        </w:rPr>
        <w:t xml:space="preserve"> the</w:t>
      </w:r>
      <w:r w:rsidR="00904BEB">
        <w:rPr>
          <w:rFonts w:asciiTheme="majorBidi" w:hAnsiTheme="majorBidi" w:cstheme="majorBidi"/>
        </w:rPr>
        <w:t xml:space="preserve"> ISDS</w:t>
      </w:r>
      <w:r w:rsidR="00290C9C" w:rsidRPr="00C54C48">
        <w:rPr>
          <w:rFonts w:asciiTheme="majorBidi" w:hAnsiTheme="majorBidi" w:cstheme="majorBidi"/>
        </w:rPr>
        <w:t xml:space="preserve"> tribunal</w:t>
      </w:r>
      <w:r w:rsidR="00904BEB">
        <w:rPr>
          <w:rFonts w:asciiTheme="majorBidi" w:hAnsiTheme="majorBidi" w:cstheme="majorBidi"/>
        </w:rPr>
        <w:t>s</w:t>
      </w:r>
      <w:r w:rsidR="00290C9C" w:rsidRPr="00C54C48">
        <w:rPr>
          <w:rFonts w:asciiTheme="majorBidi" w:hAnsiTheme="majorBidi" w:cstheme="majorBidi"/>
        </w:rPr>
        <w:t xml:space="preserve"> to recover the costs incurred by the </w:t>
      </w:r>
      <w:r>
        <w:rPr>
          <w:rFonts w:asciiTheme="majorBidi" w:hAnsiTheme="majorBidi" w:cstheme="majorBidi"/>
        </w:rPr>
        <w:t>centre</w:t>
      </w:r>
      <w:r w:rsidR="00290C9C" w:rsidRPr="00C54C48">
        <w:rPr>
          <w:rFonts w:asciiTheme="majorBidi" w:hAnsiTheme="majorBidi" w:cstheme="majorBidi"/>
        </w:rPr>
        <w:t xml:space="preserve"> for the corresponding working hours at the prevailing market rate. </w:t>
      </w:r>
    </w:p>
    <w:p w14:paraId="4AE9FF4F" w14:textId="638302A7" w:rsidR="00290C9C" w:rsidRPr="007250CD" w:rsidRDefault="00290C9C" w:rsidP="007250CD">
      <w:pPr>
        <w:pStyle w:val="SingleTxt"/>
        <w:numPr>
          <w:ilvl w:val="0"/>
          <w:numId w:val="15"/>
        </w:numPr>
        <w:tabs>
          <w:tab w:val="clear" w:pos="1742"/>
          <w:tab w:val="clear" w:pos="2218"/>
          <w:tab w:val="left" w:pos="1701"/>
        </w:tabs>
        <w:rPr>
          <w:rFonts w:asciiTheme="majorBidi" w:hAnsiTheme="majorBidi" w:cstheme="majorBidi"/>
          <w:b/>
          <w:bCs/>
        </w:rPr>
      </w:pPr>
      <w:r w:rsidRPr="007250CD">
        <w:rPr>
          <w:rFonts w:asciiTheme="majorBidi" w:hAnsiTheme="majorBidi" w:cstheme="majorBidi"/>
          <w:b/>
          <w:bCs/>
          <w:i/>
          <w:iCs/>
        </w:rPr>
        <w:t>Users</w:t>
      </w:r>
      <w:r w:rsidR="00806F40">
        <w:rPr>
          <w:rFonts w:asciiTheme="majorBidi" w:hAnsiTheme="majorBidi" w:cstheme="majorBidi"/>
          <w:b/>
          <w:bCs/>
          <w:i/>
          <w:iCs/>
        </w:rPr>
        <w:t>’</w:t>
      </w:r>
      <w:r w:rsidRPr="007250CD">
        <w:rPr>
          <w:rFonts w:asciiTheme="majorBidi" w:hAnsiTheme="majorBidi" w:cstheme="majorBidi"/>
          <w:b/>
          <w:bCs/>
          <w:i/>
          <w:iCs/>
        </w:rPr>
        <w:t xml:space="preserve"> Fee from ISDS users</w:t>
      </w:r>
      <w:r w:rsidRPr="007250CD">
        <w:rPr>
          <w:rFonts w:asciiTheme="majorBidi" w:hAnsiTheme="majorBidi" w:cstheme="majorBidi"/>
          <w:b/>
          <w:bCs/>
        </w:rPr>
        <w:tab/>
      </w:r>
    </w:p>
    <w:p w14:paraId="0DF44ADA" w14:textId="3E8D192C" w:rsidR="00290C9C" w:rsidRDefault="00FB156B" w:rsidP="00290C9C">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t>The Working Group may wish to consider a</w:t>
      </w:r>
      <w:r w:rsidR="00290C9C" w:rsidRPr="00C54C48">
        <w:rPr>
          <w:rFonts w:asciiTheme="majorBidi" w:hAnsiTheme="majorBidi" w:cstheme="majorBidi"/>
        </w:rPr>
        <w:t xml:space="preserve"> user fee </w:t>
      </w:r>
      <w:r w:rsidRPr="00C54C48">
        <w:rPr>
          <w:rFonts w:asciiTheme="majorBidi" w:hAnsiTheme="majorBidi" w:cstheme="majorBidi"/>
        </w:rPr>
        <w:t xml:space="preserve">that </w:t>
      </w:r>
      <w:r w:rsidR="00290C9C" w:rsidRPr="00C54C48">
        <w:rPr>
          <w:rFonts w:asciiTheme="majorBidi" w:hAnsiTheme="majorBidi" w:cstheme="majorBidi"/>
        </w:rPr>
        <w:t xml:space="preserve">could be levied on all monies that the parties spend for </w:t>
      </w:r>
      <w:r w:rsidR="00904BEB">
        <w:rPr>
          <w:rFonts w:asciiTheme="majorBidi" w:hAnsiTheme="majorBidi" w:cstheme="majorBidi"/>
        </w:rPr>
        <w:t>ISDS</w:t>
      </w:r>
      <w:r w:rsidR="00290C9C" w:rsidRPr="00C54C48">
        <w:rPr>
          <w:rFonts w:asciiTheme="majorBidi" w:hAnsiTheme="majorBidi" w:cstheme="majorBidi"/>
        </w:rPr>
        <w:t xml:space="preserve">. If such funds (and equivalent funds earned by the potential multilateral investment court) are taxed (in toto or in part) and dedicated to the </w:t>
      </w:r>
      <w:r w:rsidR="00904BEB">
        <w:rPr>
          <w:rFonts w:asciiTheme="majorBidi" w:hAnsiTheme="majorBidi" w:cstheme="majorBidi"/>
        </w:rPr>
        <w:t>advisory centre</w:t>
      </w:r>
      <w:r w:rsidR="00290C9C" w:rsidRPr="00C54C48">
        <w:rPr>
          <w:rFonts w:asciiTheme="majorBidi" w:hAnsiTheme="majorBidi" w:cstheme="majorBidi"/>
        </w:rPr>
        <w:t>, it c</w:t>
      </w:r>
      <w:r w:rsidR="00904BEB">
        <w:rPr>
          <w:rFonts w:asciiTheme="majorBidi" w:hAnsiTheme="majorBidi" w:cstheme="majorBidi"/>
        </w:rPr>
        <w:t>ould</w:t>
      </w:r>
      <w:r w:rsidR="00290C9C" w:rsidRPr="00C54C48">
        <w:rPr>
          <w:rFonts w:asciiTheme="majorBidi" w:hAnsiTheme="majorBidi" w:cstheme="majorBidi"/>
        </w:rPr>
        <w:t xml:space="preserve"> provide stable financial support to </w:t>
      </w:r>
      <w:r w:rsidR="00904BEB">
        <w:rPr>
          <w:rFonts w:asciiTheme="majorBidi" w:hAnsiTheme="majorBidi" w:cstheme="majorBidi"/>
        </w:rPr>
        <w:t>it</w:t>
      </w:r>
      <w:r w:rsidR="00290C9C" w:rsidRPr="00C54C48">
        <w:rPr>
          <w:rFonts w:asciiTheme="majorBidi" w:hAnsiTheme="majorBidi" w:cstheme="majorBidi"/>
        </w:rPr>
        <w:t xml:space="preserve">. </w:t>
      </w:r>
    </w:p>
    <w:p w14:paraId="4AF452A5" w14:textId="77777777" w:rsidR="00A45A96" w:rsidRPr="007250CD" w:rsidRDefault="00A45A96" w:rsidP="00A45A96">
      <w:pPr>
        <w:pStyle w:val="SingleTxt"/>
        <w:numPr>
          <w:ilvl w:val="0"/>
          <w:numId w:val="15"/>
        </w:numPr>
        <w:tabs>
          <w:tab w:val="clear" w:pos="1742"/>
          <w:tab w:val="clear" w:pos="2218"/>
          <w:tab w:val="left" w:pos="1701"/>
        </w:tabs>
        <w:rPr>
          <w:rFonts w:asciiTheme="majorBidi" w:hAnsiTheme="majorBidi" w:cstheme="majorBidi"/>
          <w:b/>
          <w:bCs/>
          <w:i/>
          <w:iCs/>
        </w:rPr>
      </w:pPr>
      <w:r w:rsidRPr="007250CD">
        <w:rPr>
          <w:rFonts w:asciiTheme="majorBidi" w:hAnsiTheme="majorBidi" w:cstheme="majorBidi"/>
          <w:b/>
          <w:bCs/>
          <w:i/>
          <w:iCs/>
        </w:rPr>
        <w:t xml:space="preserve">Endowment Fund </w:t>
      </w:r>
    </w:p>
    <w:p w14:paraId="1A1357DD" w14:textId="77777777" w:rsidR="00A45A96" w:rsidRPr="00C54C48" w:rsidRDefault="00A45A96" w:rsidP="00A45A96">
      <w:pPr>
        <w:pStyle w:val="SingleTxt"/>
        <w:numPr>
          <w:ilvl w:val="2"/>
          <w:numId w:val="5"/>
        </w:numPr>
        <w:tabs>
          <w:tab w:val="clear" w:pos="1742"/>
          <w:tab w:val="clear" w:pos="2218"/>
          <w:tab w:val="left" w:pos="1701"/>
          <w:tab w:val="num" w:pos="1728"/>
        </w:tabs>
        <w:ind w:left="1276" w:firstLine="0"/>
        <w:rPr>
          <w:rFonts w:asciiTheme="majorBidi" w:hAnsiTheme="majorBidi" w:cstheme="majorBidi"/>
        </w:rPr>
      </w:pPr>
      <w:r w:rsidRPr="00C54C48">
        <w:rPr>
          <w:rFonts w:asciiTheme="majorBidi" w:hAnsiTheme="majorBidi" w:cstheme="majorBidi"/>
        </w:rPr>
        <w:tab/>
      </w:r>
      <w:r>
        <w:rPr>
          <w:rFonts w:asciiTheme="majorBidi" w:hAnsiTheme="majorBidi" w:cstheme="majorBidi"/>
        </w:rPr>
        <w:t>T</w:t>
      </w:r>
      <w:r w:rsidRPr="00C54C48">
        <w:rPr>
          <w:rFonts w:asciiTheme="majorBidi" w:hAnsiTheme="majorBidi" w:cstheme="majorBidi"/>
        </w:rPr>
        <w:t xml:space="preserve">he Working Group </w:t>
      </w:r>
      <w:r>
        <w:rPr>
          <w:rFonts w:asciiTheme="majorBidi" w:hAnsiTheme="majorBidi" w:cstheme="majorBidi"/>
        </w:rPr>
        <w:t>may wish to</w:t>
      </w:r>
      <w:r w:rsidRPr="00C54C48">
        <w:rPr>
          <w:rFonts w:asciiTheme="majorBidi" w:hAnsiTheme="majorBidi" w:cstheme="majorBidi"/>
        </w:rPr>
        <w:t xml:space="preserve"> consider how to guarantee a stability of income</w:t>
      </w:r>
      <w:r>
        <w:rPr>
          <w:rFonts w:asciiTheme="majorBidi" w:hAnsiTheme="majorBidi" w:cstheme="majorBidi"/>
        </w:rPr>
        <w:t xml:space="preserve">, </w:t>
      </w:r>
      <w:proofErr w:type="gramStart"/>
      <w:r>
        <w:rPr>
          <w:rFonts w:asciiTheme="majorBidi" w:hAnsiTheme="majorBidi" w:cstheme="majorBidi"/>
        </w:rPr>
        <w:t>so as to</w:t>
      </w:r>
      <w:proofErr w:type="gramEnd"/>
      <w:r>
        <w:rPr>
          <w:rFonts w:asciiTheme="majorBidi" w:hAnsiTheme="majorBidi" w:cstheme="majorBidi"/>
        </w:rPr>
        <w:t xml:space="preserve"> also ensure sustainability</w:t>
      </w:r>
      <w:r w:rsidRPr="00C54C48">
        <w:rPr>
          <w:rFonts w:asciiTheme="majorBidi" w:hAnsiTheme="majorBidi" w:cstheme="majorBidi"/>
        </w:rPr>
        <w:t xml:space="preserve">.  </w:t>
      </w:r>
      <w:r>
        <w:rPr>
          <w:rFonts w:asciiTheme="majorBidi" w:hAnsiTheme="majorBidi" w:cstheme="majorBidi"/>
        </w:rPr>
        <w:t>A possible option for consideration in this context is the establishment of</w:t>
      </w:r>
      <w:r w:rsidRPr="00C54C48">
        <w:rPr>
          <w:rFonts w:asciiTheme="majorBidi" w:hAnsiTheme="majorBidi" w:cstheme="majorBidi"/>
        </w:rPr>
        <w:t xml:space="preserve"> an endowment fund as a recipient of funds</w:t>
      </w:r>
      <w:r>
        <w:rPr>
          <w:rFonts w:asciiTheme="majorBidi" w:hAnsiTheme="majorBidi" w:cstheme="majorBidi"/>
        </w:rPr>
        <w:t xml:space="preserve"> from diverse sources</w:t>
      </w:r>
      <w:r w:rsidRPr="00C54C48">
        <w:rPr>
          <w:rFonts w:asciiTheme="majorBidi" w:hAnsiTheme="majorBidi" w:cstheme="majorBidi"/>
        </w:rPr>
        <w:t xml:space="preserve">. </w:t>
      </w:r>
    </w:p>
    <w:p w14:paraId="731E7D8B" w14:textId="54A7A902" w:rsidR="00A45A96" w:rsidRPr="006574C1" w:rsidRDefault="00A45A96" w:rsidP="00A45A96">
      <w:pPr>
        <w:pStyle w:val="SingleTxt"/>
        <w:numPr>
          <w:ilvl w:val="2"/>
          <w:numId w:val="5"/>
        </w:numPr>
        <w:tabs>
          <w:tab w:val="clear" w:pos="1742"/>
          <w:tab w:val="clear" w:pos="2218"/>
          <w:tab w:val="left" w:pos="1701"/>
          <w:tab w:val="num" w:pos="1728"/>
        </w:tabs>
        <w:ind w:left="1276" w:firstLine="0"/>
        <w:rPr>
          <w:rFonts w:asciiTheme="majorBidi" w:hAnsiTheme="majorBidi" w:cstheme="majorBidi"/>
          <w:i/>
          <w:iCs/>
        </w:rPr>
      </w:pPr>
      <w:r>
        <w:rPr>
          <w:rFonts w:asciiTheme="majorBidi" w:hAnsiTheme="majorBidi" w:cstheme="majorBidi"/>
        </w:rPr>
        <w:t xml:space="preserve">As an example of funding, it could be envisaged that provisions in investment treaties could foresee </w:t>
      </w:r>
      <w:r w:rsidRPr="00C54C48">
        <w:rPr>
          <w:rFonts w:asciiTheme="majorBidi" w:hAnsiTheme="majorBidi" w:cstheme="majorBidi"/>
        </w:rPr>
        <w:t xml:space="preserve">a fee </w:t>
      </w:r>
      <w:r>
        <w:rPr>
          <w:rFonts w:asciiTheme="majorBidi" w:hAnsiTheme="majorBidi" w:cstheme="majorBidi"/>
        </w:rPr>
        <w:t>would need to be</w:t>
      </w:r>
      <w:r w:rsidRPr="00C54C48">
        <w:rPr>
          <w:rFonts w:asciiTheme="majorBidi" w:hAnsiTheme="majorBidi" w:cstheme="majorBidi"/>
        </w:rPr>
        <w:t xml:space="preserve"> paid by claimants to the endowment fund</w:t>
      </w:r>
      <w:r>
        <w:rPr>
          <w:rFonts w:asciiTheme="majorBidi" w:hAnsiTheme="majorBidi" w:cstheme="majorBidi"/>
        </w:rPr>
        <w:t xml:space="preserve"> of the </w:t>
      </w:r>
      <w:r>
        <w:rPr>
          <w:rFonts w:asciiTheme="majorBidi" w:hAnsiTheme="majorBidi" w:cstheme="majorBidi"/>
          <w:lang w:eastAsia="en-GB"/>
        </w:rPr>
        <w:t xml:space="preserve">advisory centre as a condition for </w:t>
      </w:r>
      <w:r w:rsidR="00271666">
        <w:rPr>
          <w:rFonts w:asciiTheme="majorBidi" w:hAnsiTheme="majorBidi" w:cstheme="majorBidi"/>
          <w:lang w:eastAsia="en-GB"/>
        </w:rPr>
        <w:t>using</w:t>
      </w:r>
      <w:r w:rsidR="00BE73C8">
        <w:rPr>
          <w:rFonts w:asciiTheme="majorBidi" w:hAnsiTheme="majorBidi" w:cstheme="majorBidi"/>
          <w:lang w:eastAsia="en-GB"/>
        </w:rPr>
        <w:t xml:space="preserve"> the ISDS services provided by the centre.</w:t>
      </w:r>
      <w:r w:rsidRPr="00C54C48">
        <w:rPr>
          <w:rFonts w:asciiTheme="majorBidi" w:hAnsiTheme="majorBidi" w:cstheme="majorBidi"/>
        </w:rPr>
        <w:t xml:space="preserve"> This </w:t>
      </w:r>
      <w:r>
        <w:rPr>
          <w:rFonts w:asciiTheme="majorBidi" w:hAnsiTheme="majorBidi" w:cstheme="majorBidi"/>
        </w:rPr>
        <w:t>might</w:t>
      </w:r>
      <w:r w:rsidRPr="00C54C48">
        <w:rPr>
          <w:rFonts w:asciiTheme="majorBidi" w:hAnsiTheme="majorBidi" w:cstheme="majorBidi"/>
        </w:rPr>
        <w:t xml:space="preserve"> contribute to the financing of </w:t>
      </w:r>
      <w:r w:rsidR="00826834">
        <w:rPr>
          <w:rFonts w:asciiTheme="majorBidi" w:hAnsiTheme="majorBidi" w:cstheme="majorBidi"/>
        </w:rPr>
        <w:t xml:space="preserve">the </w:t>
      </w:r>
      <w:r>
        <w:rPr>
          <w:rFonts w:asciiTheme="majorBidi" w:hAnsiTheme="majorBidi" w:cstheme="majorBidi"/>
        </w:rPr>
        <w:t>centre</w:t>
      </w:r>
      <w:r w:rsidRPr="00C54C48">
        <w:rPr>
          <w:rFonts w:asciiTheme="majorBidi" w:hAnsiTheme="majorBidi" w:cstheme="majorBidi"/>
        </w:rPr>
        <w:t xml:space="preserve">, while also deterring claimants from bringing frivolous claims. </w:t>
      </w:r>
      <w:r>
        <w:rPr>
          <w:rFonts w:asciiTheme="majorBidi" w:hAnsiTheme="majorBidi" w:cstheme="majorBidi"/>
        </w:rPr>
        <w:t xml:space="preserve"> </w:t>
      </w:r>
    </w:p>
    <w:p w14:paraId="45D7DF74" w14:textId="2715E7FB" w:rsidR="00F34BE1" w:rsidRPr="006574C1" w:rsidRDefault="005A60E1" w:rsidP="006574C1">
      <w:pPr>
        <w:pStyle w:val="SingleTxt"/>
        <w:tabs>
          <w:tab w:val="clear" w:pos="1742"/>
          <w:tab w:val="clear" w:pos="2218"/>
        </w:tabs>
        <w:rPr>
          <w:rFonts w:asciiTheme="majorBidi" w:hAnsiTheme="majorBidi" w:cstheme="majorBidi"/>
          <w:b/>
          <w:bCs/>
        </w:rPr>
      </w:pPr>
      <w:r>
        <w:rPr>
          <w:rFonts w:asciiTheme="majorBidi" w:hAnsiTheme="majorBidi" w:cstheme="majorBidi"/>
          <w:b/>
          <w:bCs/>
        </w:rPr>
        <w:t>5</w:t>
      </w:r>
      <w:r w:rsidR="00C2214F" w:rsidRPr="006574C1">
        <w:rPr>
          <w:rFonts w:asciiTheme="majorBidi" w:hAnsiTheme="majorBidi" w:cstheme="majorBidi"/>
          <w:b/>
          <w:bCs/>
        </w:rPr>
        <w:t xml:space="preserve">. </w:t>
      </w:r>
      <w:r w:rsidR="00F34BE1" w:rsidRPr="006574C1">
        <w:rPr>
          <w:rFonts w:asciiTheme="majorBidi" w:hAnsiTheme="majorBidi" w:cstheme="majorBidi"/>
          <w:b/>
          <w:bCs/>
        </w:rPr>
        <w:t>Sustainability</w:t>
      </w:r>
    </w:p>
    <w:p w14:paraId="694B5B37" w14:textId="77777777" w:rsidR="00C2214F" w:rsidRPr="008C3C79" w:rsidRDefault="00F34BE1" w:rsidP="00C2214F">
      <w:pPr>
        <w:pStyle w:val="SingleTxt"/>
        <w:numPr>
          <w:ilvl w:val="2"/>
          <w:numId w:val="5"/>
        </w:numPr>
        <w:tabs>
          <w:tab w:val="clear" w:pos="1742"/>
          <w:tab w:val="clear" w:pos="2218"/>
          <w:tab w:val="clear" w:pos="2843"/>
          <w:tab w:val="left" w:pos="1701"/>
          <w:tab w:val="num" w:pos="1728"/>
          <w:tab w:val="num" w:pos="3126"/>
        </w:tabs>
        <w:ind w:left="1276" w:firstLine="0"/>
        <w:rPr>
          <w:rFonts w:asciiTheme="majorBidi" w:hAnsiTheme="majorBidi" w:cstheme="majorBidi"/>
        </w:rPr>
      </w:pPr>
      <w:r w:rsidRPr="008C3C79">
        <w:rPr>
          <w:rFonts w:asciiTheme="majorBidi" w:hAnsiTheme="majorBidi" w:cstheme="majorBidi"/>
        </w:rPr>
        <w:t xml:space="preserve">The Working Group may wish to note that the funding sustainability of an advisory centre should be a major focus, given the possible impact, on a longer term through its various services, on investment law. </w:t>
      </w:r>
      <w:proofErr w:type="gramStart"/>
      <w:r w:rsidRPr="008C3C79">
        <w:rPr>
          <w:rFonts w:asciiTheme="majorBidi" w:hAnsiTheme="majorBidi" w:cstheme="majorBidi"/>
        </w:rPr>
        <w:t>In particular, if</w:t>
      </w:r>
      <w:proofErr w:type="gramEnd"/>
      <w:r w:rsidRPr="008C3C79">
        <w:rPr>
          <w:rFonts w:asciiTheme="majorBidi" w:hAnsiTheme="majorBidi" w:cstheme="majorBidi"/>
        </w:rPr>
        <w:t xml:space="preserve"> the centre were to render assistance and defen</w:t>
      </w:r>
      <w:r>
        <w:rPr>
          <w:rFonts w:asciiTheme="majorBidi" w:hAnsiTheme="majorBidi" w:cstheme="majorBidi"/>
        </w:rPr>
        <w:t>c</w:t>
      </w:r>
      <w:r w:rsidRPr="008C3C79">
        <w:rPr>
          <w:rFonts w:asciiTheme="majorBidi" w:hAnsiTheme="majorBidi" w:cstheme="majorBidi"/>
        </w:rPr>
        <w:t xml:space="preserve">e services, beneficiaries need to be sure that the centre would be able to offer its services throughout the whole duration of </w:t>
      </w:r>
      <w:r>
        <w:rPr>
          <w:rFonts w:asciiTheme="majorBidi" w:hAnsiTheme="majorBidi" w:cstheme="majorBidi"/>
        </w:rPr>
        <w:t>a</w:t>
      </w:r>
      <w:r w:rsidRPr="008C3C79">
        <w:rPr>
          <w:rFonts w:asciiTheme="majorBidi" w:hAnsiTheme="majorBidi" w:cstheme="majorBidi"/>
        </w:rPr>
        <w:t xml:space="preserve"> case</w:t>
      </w:r>
      <w:r>
        <w:rPr>
          <w:rFonts w:asciiTheme="majorBidi" w:hAnsiTheme="majorBidi" w:cstheme="majorBidi"/>
        </w:rPr>
        <w:t xml:space="preserve"> it has taken up</w:t>
      </w:r>
      <w:r w:rsidRPr="008C3C79">
        <w:rPr>
          <w:rFonts w:asciiTheme="majorBidi" w:hAnsiTheme="majorBidi" w:cstheme="majorBidi"/>
        </w:rPr>
        <w:t>, which might take several years.</w:t>
      </w:r>
      <w:r w:rsidR="00C2214F">
        <w:rPr>
          <w:rFonts w:asciiTheme="majorBidi" w:hAnsiTheme="majorBidi" w:cstheme="majorBidi"/>
        </w:rPr>
        <w:t xml:space="preserve"> </w:t>
      </w:r>
      <w:r w:rsidR="00C2214F" w:rsidRPr="008C3C79">
        <w:rPr>
          <w:rFonts w:asciiTheme="majorBidi" w:hAnsiTheme="majorBidi" w:cstheme="majorBidi"/>
          <w:lang w:val="en-US"/>
        </w:rPr>
        <w:t xml:space="preserve">The Working Group may wish to consider the various funding schemes </w:t>
      </w:r>
      <w:proofErr w:type="gramStart"/>
      <w:r w:rsidR="00C2214F" w:rsidRPr="008C3C79">
        <w:rPr>
          <w:rFonts w:asciiTheme="majorBidi" w:hAnsiTheme="majorBidi" w:cstheme="majorBidi"/>
          <w:lang w:val="en-US"/>
        </w:rPr>
        <w:t>in light of</w:t>
      </w:r>
      <w:proofErr w:type="gramEnd"/>
      <w:r w:rsidR="00C2214F" w:rsidRPr="008C3C79">
        <w:rPr>
          <w:rFonts w:asciiTheme="majorBidi" w:hAnsiTheme="majorBidi" w:cstheme="majorBidi"/>
          <w:lang w:val="en-US"/>
        </w:rPr>
        <w:t xml:space="preserve"> the need to ensure both the independence of the </w:t>
      </w:r>
      <w:proofErr w:type="spellStart"/>
      <w:r w:rsidR="00C2214F" w:rsidRPr="008C3C79">
        <w:rPr>
          <w:rFonts w:asciiTheme="majorBidi" w:hAnsiTheme="majorBidi" w:cstheme="majorBidi"/>
          <w:lang w:val="en-US"/>
        </w:rPr>
        <w:t>centre</w:t>
      </w:r>
      <w:proofErr w:type="spellEnd"/>
      <w:r w:rsidR="00C2214F">
        <w:rPr>
          <w:rFonts w:asciiTheme="majorBidi" w:hAnsiTheme="majorBidi" w:cstheme="majorBidi"/>
          <w:lang w:val="en-US"/>
        </w:rPr>
        <w:t>,</w:t>
      </w:r>
      <w:r w:rsidR="00C2214F" w:rsidRPr="008C3C79">
        <w:rPr>
          <w:rFonts w:asciiTheme="majorBidi" w:hAnsiTheme="majorBidi" w:cstheme="majorBidi"/>
          <w:lang w:val="en-US"/>
        </w:rPr>
        <w:t xml:space="preserve"> and its long-term sustainability. </w:t>
      </w:r>
    </w:p>
    <w:p w14:paraId="4EB6B2FC" w14:textId="77777777" w:rsidR="00F34BE1" w:rsidRPr="008C3C79" w:rsidRDefault="00F34BE1" w:rsidP="00F34BE1">
      <w:pPr>
        <w:pStyle w:val="SingleTxt"/>
        <w:numPr>
          <w:ilvl w:val="2"/>
          <w:numId w:val="5"/>
        </w:numPr>
        <w:tabs>
          <w:tab w:val="clear" w:pos="1742"/>
          <w:tab w:val="clear" w:pos="2218"/>
          <w:tab w:val="clear" w:pos="2843"/>
          <w:tab w:val="left" w:pos="1701"/>
          <w:tab w:val="num" w:pos="1728"/>
          <w:tab w:val="num" w:pos="3126"/>
        </w:tabs>
        <w:ind w:left="1276" w:firstLine="0"/>
        <w:rPr>
          <w:rFonts w:asciiTheme="majorBidi" w:hAnsiTheme="majorBidi" w:cstheme="majorBidi"/>
        </w:rPr>
      </w:pPr>
      <w:r w:rsidRPr="008C3C79">
        <w:rPr>
          <w:rFonts w:asciiTheme="majorBidi" w:hAnsiTheme="majorBidi" w:cstheme="majorBidi"/>
        </w:rPr>
        <w:t xml:space="preserve">The Working Group may wish to note that, depending on the funding scheme, there could be tensions, perceived or </w:t>
      </w:r>
      <w:r>
        <w:rPr>
          <w:rFonts w:asciiTheme="majorBidi" w:hAnsiTheme="majorBidi" w:cstheme="majorBidi"/>
        </w:rPr>
        <w:t>actual</w:t>
      </w:r>
      <w:r w:rsidRPr="008C3C79">
        <w:rPr>
          <w:rFonts w:asciiTheme="majorBidi" w:hAnsiTheme="majorBidi" w:cstheme="majorBidi"/>
        </w:rPr>
        <w:t xml:space="preserve">, between, on the one hand, client governments of an advisory centre and, on the other, </w:t>
      </w:r>
      <w:r>
        <w:rPr>
          <w:rFonts w:asciiTheme="majorBidi" w:hAnsiTheme="majorBidi" w:cstheme="majorBidi"/>
        </w:rPr>
        <w:t>existing and potential donors, which may include non-governmental organizations and philanthropic entities</w:t>
      </w:r>
      <w:r w:rsidRPr="008C3C79">
        <w:rPr>
          <w:rFonts w:asciiTheme="majorBidi" w:hAnsiTheme="majorBidi" w:cstheme="majorBidi"/>
        </w:rPr>
        <w:t>. The extent of conflicts would depend on the scope of services, and on whether</w:t>
      </w:r>
      <w:r>
        <w:rPr>
          <w:rFonts w:asciiTheme="majorBidi" w:hAnsiTheme="majorBidi" w:cstheme="majorBidi"/>
        </w:rPr>
        <w:t xml:space="preserve"> donors</w:t>
      </w:r>
      <w:r w:rsidRPr="008C3C79">
        <w:rPr>
          <w:rFonts w:asciiTheme="majorBidi" w:hAnsiTheme="majorBidi" w:cstheme="majorBidi"/>
        </w:rPr>
        <w:t xml:space="preserve"> may have an interest </w:t>
      </w:r>
      <w:r>
        <w:rPr>
          <w:rFonts w:asciiTheme="majorBidi" w:hAnsiTheme="majorBidi" w:cstheme="majorBidi"/>
        </w:rPr>
        <w:t xml:space="preserve">in </w:t>
      </w:r>
      <w:r w:rsidRPr="008C3C79">
        <w:rPr>
          <w:rFonts w:asciiTheme="majorBidi" w:hAnsiTheme="majorBidi" w:cstheme="majorBidi"/>
        </w:rPr>
        <w:t>a fair framework that gives legitimacy to the system as such, in the outcome of negotiations (between States and between investors and States), and/or in the outcome of particular cases (State-to-State or investor-State). This would also apply in a State</w:t>
      </w:r>
      <w:r>
        <w:rPr>
          <w:rFonts w:asciiTheme="majorBidi" w:hAnsiTheme="majorBidi" w:cstheme="majorBidi"/>
        </w:rPr>
        <w:t>-</w:t>
      </w:r>
      <w:r w:rsidRPr="008C3C79">
        <w:rPr>
          <w:rFonts w:asciiTheme="majorBidi" w:hAnsiTheme="majorBidi" w:cstheme="majorBidi"/>
        </w:rPr>
        <w:t>funded scheme</w:t>
      </w:r>
      <w:r>
        <w:rPr>
          <w:rFonts w:asciiTheme="majorBidi" w:hAnsiTheme="majorBidi" w:cstheme="majorBidi"/>
        </w:rPr>
        <w:t>,</w:t>
      </w:r>
      <w:r w:rsidRPr="008C3C79">
        <w:rPr>
          <w:rFonts w:asciiTheme="majorBidi" w:hAnsiTheme="majorBidi" w:cstheme="majorBidi"/>
        </w:rPr>
        <w:t xml:space="preserve"> as donor States may have different perspectives regarding the objectives of the funding and the advisory centre. The objective of ensuring that beneficiaries retain the ability, while using the services of the advisory centre, to make their own decisions regarding objectives, formulation, use, and application of international investment law should be kept in mind when developing rules on the funding of the centre.</w:t>
      </w:r>
    </w:p>
    <w:p w14:paraId="51FD4C1B" w14:textId="77777777" w:rsidR="00F34BE1" w:rsidRPr="008C3C79" w:rsidRDefault="00F34BE1" w:rsidP="00F34BE1">
      <w:pPr>
        <w:pStyle w:val="SingleTxt"/>
        <w:numPr>
          <w:ilvl w:val="2"/>
          <w:numId w:val="5"/>
        </w:numPr>
        <w:tabs>
          <w:tab w:val="clear" w:pos="1742"/>
          <w:tab w:val="clear" w:pos="2218"/>
          <w:tab w:val="clear" w:pos="2843"/>
          <w:tab w:val="left" w:pos="1701"/>
          <w:tab w:val="num" w:pos="1728"/>
          <w:tab w:val="num" w:pos="3126"/>
        </w:tabs>
        <w:ind w:left="1276" w:firstLine="0"/>
        <w:rPr>
          <w:rFonts w:asciiTheme="majorBidi" w:hAnsiTheme="majorBidi" w:cstheme="majorBidi"/>
        </w:rPr>
      </w:pPr>
      <w:r w:rsidRPr="008C3C79">
        <w:rPr>
          <w:rFonts w:asciiTheme="majorBidi" w:hAnsiTheme="majorBidi" w:cstheme="majorBidi"/>
        </w:rPr>
        <w:t xml:space="preserve">It may also be noted that </w:t>
      </w:r>
      <w:r>
        <w:rPr>
          <w:rFonts w:asciiTheme="majorBidi" w:hAnsiTheme="majorBidi" w:cstheme="majorBidi"/>
        </w:rPr>
        <w:t>donor</w:t>
      </w:r>
      <w:r w:rsidRPr="008C3C79">
        <w:rPr>
          <w:rFonts w:asciiTheme="majorBidi" w:hAnsiTheme="majorBidi" w:cstheme="majorBidi"/>
        </w:rPr>
        <w:t xml:space="preserve">s may face political or policy difficulties </w:t>
      </w:r>
      <w:r>
        <w:rPr>
          <w:rFonts w:asciiTheme="majorBidi" w:hAnsiTheme="majorBidi" w:cstheme="majorBidi"/>
        </w:rPr>
        <w:t xml:space="preserve">in </w:t>
      </w:r>
      <w:r w:rsidRPr="008C3C79">
        <w:rPr>
          <w:rFonts w:asciiTheme="majorBidi" w:hAnsiTheme="majorBidi" w:cstheme="majorBidi"/>
        </w:rPr>
        <w:t>supporting the defen</w:t>
      </w:r>
      <w:r>
        <w:rPr>
          <w:rFonts w:asciiTheme="majorBidi" w:hAnsiTheme="majorBidi" w:cstheme="majorBidi"/>
        </w:rPr>
        <w:t>ce</w:t>
      </w:r>
      <w:r w:rsidRPr="008C3C79">
        <w:rPr>
          <w:rFonts w:asciiTheme="majorBidi" w:hAnsiTheme="majorBidi" w:cstheme="majorBidi"/>
        </w:rPr>
        <w:t xml:space="preserve"> of some types of cases. If, for instance, the case relates to </w:t>
      </w:r>
      <w:r w:rsidRPr="008C3C79">
        <w:rPr>
          <w:rFonts w:asciiTheme="majorBidi" w:hAnsiTheme="majorBidi" w:cstheme="majorBidi"/>
        </w:rPr>
        <w:lastRenderedPageBreak/>
        <w:t>nationalization</w:t>
      </w:r>
      <w:r>
        <w:rPr>
          <w:rFonts w:asciiTheme="majorBidi" w:hAnsiTheme="majorBidi" w:cstheme="majorBidi"/>
        </w:rPr>
        <w:t xml:space="preserve"> without compensation, or targeted nationalizations/expropriations,</w:t>
      </w:r>
      <w:r w:rsidRPr="008C3C79">
        <w:rPr>
          <w:rFonts w:asciiTheme="majorBidi" w:hAnsiTheme="majorBidi" w:cstheme="majorBidi"/>
        </w:rPr>
        <w:t xml:space="preserve"> of an investment by a government, there may be concerns about the use of public funds to support the defence of such conduct. Certain claims may also be controversial. Rather than strengthening support for dispute resolution foreseen by international investment treaties, the involvement of government-supported/taxpayer</w:t>
      </w:r>
      <w:r>
        <w:rPr>
          <w:rFonts w:asciiTheme="majorBidi" w:hAnsiTheme="majorBidi" w:cstheme="majorBidi"/>
        </w:rPr>
        <w:t xml:space="preserve"> </w:t>
      </w:r>
      <w:r w:rsidRPr="008C3C79">
        <w:rPr>
          <w:rFonts w:asciiTheme="majorBidi" w:hAnsiTheme="majorBidi" w:cstheme="majorBidi"/>
        </w:rPr>
        <w:t>funded advisory centre may instead generate additional awareness of and critiques regarding the costs</w:t>
      </w:r>
      <w:r>
        <w:rPr>
          <w:rFonts w:asciiTheme="majorBidi" w:hAnsiTheme="majorBidi" w:cstheme="majorBidi"/>
        </w:rPr>
        <w:t xml:space="preserve"> associated with</w:t>
      </w:r>
      <w:r w:rsidRPr="008C3C79">
        <w:rPr>
          <w:rFonts w:asciiTheme="majorBidi" w:hAnsiTheme="majorBidi" w:cstheme="majorBidi"/>
        </w:rPr>
        <w:t xml:space="preserve"> </w:t>
      </w:r>
      <w:r>
        <w:rPr>
          <w:rFonts w:asciiTheme="majorBidi" w:hAnsiTheme="majorBidi" w:cstheme="majorBidi"/>
        </w:rPr>
        <w:t xml:space="preserve">ISDS. </w:t>
      </w:r>
      <w:r w:rsidRPr="008C3C79">
        <w:rPr>
          <w:rFonts w:asciiTheme="majorBidi" w:hAnsiTheme="majorBidi" w:cstheme="majorBidi"/>
        </w:rPr>
        <w:t xml:space="preserve"> </w:t>
      </w:r>
    </w:p>
    <w:p w14:paraId="7D5D8A7C" w14:textId="015E225F" w:rsidR="00F34BE1" w:rsidRDefault="00F34BE1" w:rsidP="00F34BE1">
      <w:pPr>
        <w:pStyle w:val="SingleTxt"/>
        <w:numPr>
          <w:ilvl w:val="2"/>
          <w:numId w:val="5"/>
        </w:numPr>
        <w:tabs>
          <w:tab w:val="clear" w:pos="1742"/>
          <w:tab w:val="clear" w:pos="2218"/>
          <w:tab w:val="clear" w:pos="2843"/>
          <w:tab w:val="left" w:pos="1701"/>
          <w:tab w:val="num" w:pos="1728"/>
          <w:tab w:val="num" w:pos="3126"/>
        </w:tabs>
        <w:ind w:left="1276" w:firstLine="0"/>
        <w:rPr>
          <w:rFonts w:asciiTheme="majorBidi" w:hAnsiTheme="majorBidi" w:cstheme="majorBidi"/>
        </w:rPr>
      </w:pPr>
      <w:r w:rsidRPr="008C3C79">
        <w:rPr>
          <w:rFonts w:asciiTheme="majorBidi" w:hAnsiTheme="majorBidi" w:cstheme="majorBidi"/>
        </w:rPr>
        <w:t>In that light, the Working Group may wish to consider the means to address this conflict, including care in establishing independent governance mechanisms; clear and transparent rules on allocation of decision-making authority; and appropriate, comprehensive, and effective rules regarding professional responsibility. An internal organization may allow, for instance, developed States to become members of the centre without being entitled to resource-intensive services (assistance and defence in ISDS cases) and still benefiting from other services (such as ADR services sharing of best practices).</w:t>
      </w:r>
      <w:r>
        <w:rPr>
          <w:rFonts w:asciiTheme="majorBidi" w:hAnsiTheme="majorBidi" w:cstheme="majorBidi"/>
        </w:rPr>
        <w:t xml:space="preserve"> One possibility would be to ensure diversity in the services rendered by the centre, including serving as a platform of exchange of best practises and of discussion for all States.</w:t>
      </w:r>
      <w:r w:rsidRPr="008C3C79">
        <w:rPr>
          <w:rFonts w:asciiTheme="majorBidi" w:hAnsiTheme="majorBidi" w:cstheme="majorBidi"/>
        </w:rPr>
        <w:t xml:space="preserve"> A system where membership would be opened to all States, and services tailored to the needs of categories of beneficiaries might ensure its sustainability.</w:t>
      </w:r>
    </w:p>
    <w:p w14:paraId="336E7EDD" w14:textId="396EA0F3" w:rsidR="00EC2C0C" w:rsidRDefault="00EC2C0C" w:rsidP="00D9151F">
      <w:pPr>
        <w:pStyle w:val="SingleTxt"/>
        <w:tabs>
          <w:tab w:val="clear" w:pos="1742"/>
          <w:tab w:val="clear" w:pos="2218"/>
          <w:tab w:val="left" w:pos="1701"/>
          <w:tab w:val="num" w:pos="3126"/>
        </w:tabs>
        <w:ind w:left="1276"/>
        <w:rPr>
          <w:rFonts w:asciiTheme="majorBidi" w:hAnsiTheme="majorBidi" w:cstheme="majorBidi"/>
        </w:rPr>
      </w:pPr>
    </w:p>
    <w:p w14:paraId="7C6FCEA6" w14:textId="77777777" w:rsidR="009E3142" w:rsidRDefault="009E3142" w:rsidP="00EC2C0C">
      <w:pPr>
        <w:pStyle w:val="SingleTxt"/>
        <w:tabs>
          <w:tab w:val="clear" w:pos="1742"/>
          <w:tab w:val="left" w:pos="709"/>
          <w:tab w:val="left" w:pos="2127"/>
        </w:tabs>
        <w:rPr>
          <w:rFonts w:asciiTheme="majorBidi" w:hAnsiTheme="majorBidi" w:cstheme="majorBidi"/>
          <w:b/>
          <w:bCs/>
          <w:i/>
          <w:iCs/>
        </w:rPr>
      </w:pPr>
    </w:p>
    <w:p w14:paraId="3F0B85A6" w14:textId="77777777" w:rsidR="00F34BE1" w:rsidRPr="00C54C48" w:rsidRDefault="00F34BE1" w:rsidP="006574C1">
      <w:pPr>
        <w:pStyle w:val="SingleTxt"/>
        <w:tabs>
          <w:tab w:val="clear" w:pos="1742"/>
          <w:tab w:val="clear" w:pos="2218"/>
          <w:tab w:val="left" w:pos="1701"/>
          <w:tab w:val="num" w:pos="2843"/>
        </w:tabs>
        <w:ind w:left="1276"/>
        <w:rPr>
          <w:rFonts w:asciiTheme="majorBidi" w:hAnsiTheme="majorBidi" w:cstheme="majorBidi"/>
          <w:i/>
          <w:iCs/>
        </w:rPr>
      </w:pPr>
    </w:p>
    <w:bookmarkEnd w:id="2"/>
    <w:p w14:paraId="6D09E0EB" w14:textId="54887CBE" w:rsidR="003865E3" w:rsidRPr="00C54C48" w:rsidRDefault="003865E3" w:rsidP="003865E3">
      <w:pPr>
        <w:pStyle w:val="SingleTxt"/>
        <w:rPr>
          <w:rFonts w:asciiTheme="majorBidi" w:hAnsiTheme="majorBidi" w:cstheme="majorBidi"/>
        </w:rPr>
      </w:pPr>
    </w:p>
    <w:p w14:paraId="4DFEEFD3" w14:textId="77777777" w:rsidR="00B2687E" w:rsidRDefault="00B2687E" w:rsidP="00B2687E">
      <w:pPr>
        <w:pStyle w:val="SingleTxt"/>
        <w:jc w:val="center"/>
        <w:rPr>
          <w:rFonts w:asciiTheme="majorBidi" w:hAnsiTheme="majorBidi" w:cstheme="majorBidi"/>
          <w:b/>
          <w:bCs/>
          <w:sz w:val="24"/>
          <w:szCs w:val="24"/>
          <w:u w:val="single"/>
        </w:rPr>
      </w:pPr>
    </w:p>
    <w:p w14:paraId="64DB6478" w14:textId="77777777" w:rsidR="00B2687E" w:rsidRDefault="00B2687E" w:rsidP="00B2687E">
      <w:pPr>
        <w:pStyle w:val="SingleTxt"/>
        <w:ind w:left="1080"/>
        <w:jc w:val="center"/>
        <w:rPr>
          <w:rFonts w:asciiTheme="majorBidi" w:hAnsiTheme="majorBidi" w:cstheme="majorBidi"/>
          <w:b/>
          <w:bCs/>
          <w:sz w:val="24"/>
          <w:szCs w:val="24"/>
          <w:u w:val="single"/>
        </w:rPr>
        <w:sectPr w:rsidR="00B2687E" w:rsidSect="00904157">
          <w:endnotePr>
            <w:numFmt w:val="decimal"/>
          </w:endnotePr>
          <w:type w:val="continuous"/>
          <w:pgSz w:w="11909" w:h="16834" w:code="9"/>
          <w:pgMar w:top="1440" w:right="1032" w:bottom="1151" w:left="1032" w:header="432" w:footer="504" w:gutter="0"/>
          <w:cols w:space="720"/>
          <w:noEndnote/>
          <w:docGrid w:linePitch="360"/>
        </w:sectPr>
      </w:pPr>
    </w:p>
    <w:p w14:paraId="00BFB947" w14:textId="5AE7AE2C" w:rsidR="003865E3" w:rsidRDefault="005639C0" w:rsidP="00F17B9F">
      <w:pPr>
        <w:pStyle w:val="SingleTxt"/>
        <w:jc w:val="center"/>
        <w:outlineLvl w:val="2"/>
        <w:rPr>
          <w:rFonts w:asciiTheme="majorBidi" w:hAnsiTheme="majorBidi" w:cstheme="majorBidi"/>
          <w:b/>
          <w:bCs/>
          <w:sz w:val="24"/>
          <w:szCs w:val="24"/>
          <w:u w:val="single"/>
        </w:rPr>
      </w:pPr>
      <w:bookmarkStart w:id="4" w:name="_Toc63421282"/>
      <w:r>
        <w:rPr>
          <w:rFonts w:asciiTheme="majorBidi" w:hAnsiTheme="majorBidi" w:cstheme="majorBidi"/>
          <w:b/>
          <w:bCs/>
          <w:sz w:val="24"/>
          <w:szCs w:val="24"/>
          <w:u w:val="single"/>
        </w:rPr>
        <w:lastRenderedPageBreak/>
        <w:t>A</w:t>
      </w:r>
      <w:r w:rsidR="00767ABC">
        <w:rPr>
          <w:rFonts w:asciiTheme="majorBidi" w:hAnsiTheme="majorBidi" w:cstheme="majorBidi"/>
          <w:b/>
          <w:bCs/>
          <w:sz w:val="24"/>
          <w:szCs w:val="24"/>
          <w:u w:val="single"/>
        </w:rPr>
        <w:t>nn</w:t>
      </w:r>
      <w:r w:rsidR="003865E3" w:rsidRPr="00C54C48">
        <w:rPr>
          <w:rFonts w:asciiTheme="majorBidi" w:hAnsiTheme="majorBidi" w:cstheme="majorBidi"/>
          <w:b/>
          <w:bCs/>
          <w:sz w:val="24"/>
          <w:szCs w:val="24"/>
          <w:u w:val="single"/>
        </w:rPr>
        <w:t xml:space="preserve">ex </w:t>
      </w:r>
      <w:r>
        <w:rPr>
          <w:rFonts w:asciiTheme="majorBidi" w:hAnsiTheme="majorBidi" w:cstheme="majorBidi"/>
          <w:b/>
          <w:bCs/>
          <w:sz w:val="24"/>
          <w:szCs w:val="24"/>
          <w:u w:val="single"/>
        </w:rPr>
        <w:t>1</w:t>
      </w:r>
      <w:r w:rsidR="003865E3" w:rsidRPr="00C54C48">
        <w:rPr>
          <w:rFonts w:asciiTheme="majorBidi" w:hAnsiTheme="majorBidi" w:cstheme="majorBidi"/>
          <w:b/>
          <w:bCs/>
          <w:sz w:val="24"/>
          <w:szCs w:val="24"/>
          <w:u w:val="single"/>
        </w:rPr>
        <w:t xml:space="preserve"> – Cost and financing</w:t>
      </w:r>
      <w:r w:rsidR="00E154E6">
        <w:rPr>
          <w:rFonts w:asciiTheme="majorBidi" w:hAnsiTheme="majorBidi" w:cstheme="majorBidi"/>
          <w:b/>
          <w:bCs/>
          <w:sz w:val="24"/>
          <w:szCs w:val="24"/>
          <w:u w:val="single"/>
        </w:rPr>
        <w:t xml:space="preserve"> (Budget model)</w:t>
      </w:r>
      <w:bookmarkEnd w:id="4"/>
    </w:p>
    <w:p w14:paraId="72F5355A" w14:textId="440CA3D3" w:rsidR="00717D19" w:rsidRDefault="00717D19" w:rsidP="003865E3">
      <w:pPr>
        <w:pStyle w:val="SingleTxt"/>
        <w:jc w:val="center"/>
        <w:rPr>
          <w:rFonts w:asciiTheme="majorBidi" w:hAnsiTheme="majorBidi" w:cstheme="majorBidi"/>
          <w:b/>
          <w:bCs/>
          <w:sz w:val="24"/>
          <w:szCs w:val="24"/>
          <w:u w:val="single"/>
        </w:rPr>
      </w:pPr>
    </w:p>
    <w:tbl>
      <w:tblPr>
        <w:tblW w:w="10300" w:type="dxa"/>
        <w:tblLook w:val="04A0" w:firstRow="1" w:lastRow="0" w:firstColumn="1" w:lastColumn="0" w:noHBand="0" w:noVBand="1"/>
      </w:tblPr>
      <w:tblGrid>
        <w:gridCol w:w="4680"/>
        <w:gridCol w:w="500"/>
        <w:gridCol w:w="581"/>
        <w:gridCol w:w="555"/>
        <w:gridCol w:w="824"/>
        <w:gridCol w:w="948"/>
        <w:gridCol w:w="1080"/>
        <w:gridCol w:w="1260"/>
      </w:tblGrid>
      <w:tr w:rsidR="00717D19" w:rsidRPr="00717D19" w14:paraId="3219D6D4" w14:textId="77777777" w:rsidTr="00717D19">
        <w:trPr>
          <w:trHeight w:val="750"/>
        </w:trPr>
        <w:tc>
          <w:tcPr>
            <w:tcW w:w="9040" w:type="dxa"/>
            <w:gridSpan w:val="7"/>
            <w:tcBorders>
              <w:top w:val="nil"/>
              <w:left w:val="nil"/>
              <w:bottom w:val="nil"/>
              <w:right w:val="nil"/>
            </w:tcBorders>
            <w:shd w:val="clear" w:color="auto" w:fill="auto"/>
            <w:vAlign w:val="center"/>
            <w:hideMark/>
          </w:tcPr>
          <w:p w14:paraId="451811FC"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22"/>
                <w:szCs w:val="22"/>
                <w:lang w:eastAsia="zh-CN"/>
              </w:rPr>
            </w:pPr>
            <w:r w:rsidRPr="00717D19">
              <w:rPr>
                <w:rFonts w:ascii="Calibri" w:eastAsia="Times New Roman" w:hAnsi="Calibri" w:cs="Arial"/>
                <w:b/>
                <w:bCs/>
                <w:spacing w:val="0"/>
                <w:w w:val="100"/>
                <w:kern w:val="0"/>
                <w:sz w:val="22"/>
                <w:szCs w:val="22"/>
                <w:lang w:eastAsia="zh-CN"/>
              </w:rPr>
              <w:t>BUDGET FOR ADVISORY CENTER FOR DISPUTE SETTLEMENT ON INVESTMENT MATTERS</w:t>
            </w:r>
            <w:r w:rsidRPr="00717D19">
              <w:rPr>
                <w:rFonts w:ascii="Calibri" w:eastAsia="Times New Roman" w:hAnsi="Calibri" w:cs="Arial"/>
                <w:b/>
                <w:bCs/>
                <w:spacing w:val="0"/>
                <w:w w:val="100"/>
                <w:kern w:val="0"/>
                <w:sz w:val="22"/>
                <w:szCs w:val="22"/>
                <w:lang w:eastAsia="zh-CN"/>
              </w:rPr>
              <w:br/>
              <w:t>Scenario A: 12 Lawyers</w:t>
            </w:r>
          </w:p>
        </w:tc>
        <w:tc>
          <w:tcPr>
            <w:tcW w:w="1260" w:type="dxa"/>
            <w:tcBorders>
              <w:top w:val="nil"/>
              <w:left w:val="nil"/>
              <w:bottom w:val="nil"/>
              <w:right w:val="nil"/>
            </w:tcBorders>
            <w:shd w:val="clear" w:color="auto" w:fill="auto"/>
            <w:noWrap/>
            <w:vAlign w:val="bottom"/>
            <w:hideMark/>
          </w:tcPr>
          <w:p w14:paraId="4776C2BE"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22"/>
                <w:szCs w:val="22"/>
                <w:lang w:eastAsia="zh-CN"/>
              </w:rPr>
            </w:pPr>
          </w:p>
        </w:tc>
      </w:tr>
      <w:tr w:rsidR="00717D19" w:rsidRPr="00717D19" w14:paraId="3FCACFD1" w14:textId="77777777" w:rsidTr="00717D19">
        <w:trPr>
          <w:trHeight w:val="450"/>
        </w:trPr>
        <w:tc>
          <w:tcPr>
            <w:tcW w:w="468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4535AC2"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Budget class</w:t>
            </w:r>
          </w:p>
        </w:tc>
        <w:tc>
          <w:tcPr>
            <w:tcW w:w="500" w:type="dxa"/>
            <w:tcBorders>
              <w:top w:val="single" w:sz="4" w:space="0" w:color="auto"/>
              <w:left w:val="nil"/>
              <w:bottom w:val="single" w:sz="4" w:space="0" w:color="auto"/>
              <w:right w:val="single" w:sz="4" w:space="0" w:color="auto"/>
            </w:tcBorders>
            <w:shd w:val="clear" w:color="000000" w:fill="8DB4E2"/>
            <w:vAlign w:val="center"/>
            <w:hideMark/>
          </w:tcPr>
          <w:p w14:paraId="2CCD92DA"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proofErr w:type="spellStart"/>
            <w:r w:rsidRPr="00717D19">
              <w:rPr>
                <w:rFonts w:ascii="Calibri" w:eastAsia="Times New Roman" w:hAnsi="Calibri" w:cs="Arial"/>
                <w:b/>
                <w:bCs/>
                <w:spacing w:val="0"/>
                <w:w w:val="100"/>
                <w:kern w:val="0"/>
                <w:sz w:val="16"/>
                <w:szCs w:val="16"/>
                <w:lang w:eastAsia="zh-CN"/>
              </w:rPr>
              <w:t>Sq</w:t>
            </w:r>
            <w:proofErr w:type="spellEnd"/>
            <w:r w:rsidRPr="00717D19">
              <w:rPr>
                <w:rFonts w:ascii="Calibri" w:eastAsia="Times New Roman" w:hAnsi="Calibri" w:cs="Arial"/>
                <w:b/>
                <w:bCs/>
                <w:spacing w:val="0"/>
                <w:w w:val="100"/>
                <w:kern w:val="0"/>
                <w:sz w:val="16"/>
                <w:szCs w:val="16"/>
                <w:lang w:eastAsia="zh-CN"/>
              </w:rPr>
              <w:t xml:space="preserve"> m</w:t>
            </w:r>
          </w:p>
        </w:tc>
        <w:tc>
          <w:tcPr>
            <w:tcW w:w="520" w:type="dxa"/>
            <w:tcBorders>
              <w:top w:val="single" w:sz="4" w:space="0" w:color="auto"/>
              <w:left w:val="nil"/>
              <w:bottom w:val="single" w:sz="4" w:space="0" w:color="auto"/>
              <w:right w:val="single" w:sz="4" w:space="0" w:color="auto"/>
            </w:tcBorders>
            <w:shd w:val="clear" w:color="000000" w:fill="8DB4E2"/>
            <w:vAlign w:val="center"/>
            <w:hideMark/>
          </w:tcPr>
          <w:p w14:paraId="65878EE2"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Unit</w:t>
            </w:r>
          </w:p>
        </w:tc>
        <w:tc>
          <w:tcPr>
            <w:tcW w:w="540" w:type="dxa"/>
            <w:tcBorders>
              <w:top w:val="single" w:sz="4" w:space="0" w:color="auto"/>
              <w:left w:val="nil"/>
              <w:bottom w:val="single" w:sz="4" w:space="0" w:color="auto"/>
              <w:right w:val="single" w:sz="4" w:space="0" w:color="auto"/>
            </w:tcBorders>
            <w:shd w:val="clear" w:color="000000" w:fill="8DB4E2"/>
            <w:vAlign w:val="center"/>
            <w:hideMark/>
          </w:tcPr>
          <w:p w14:paraId="1C815E34"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 xml:space="preserve">Total </w:t>
            </w:r>
            <w:proofErr w:type="spellStart"/>
            <w:r w:rsidRPr="00717D19">
              <w:rPr>
                <w:rFonts w:ascii="Calibri" w:eastAsia="Times New Roman" w:hAnsi="Calibri" w:cs="Arial"/>
                <w:b/>
                <w:bCs/>
                <w:spacing w:val="0"/>
                <w:w w:val="100"/>
                <w:kern w:val="0"/>
                <w:sz w:val="16"/>
                <w:szCs w:val="16"/>
                <w:lang w:eastAsia="zh-CN"/>
              </w:rPr>
              <w:t>sq</w:t>
            </w:r>
            <w:proofErr w:type="spellEnd"/>
            <w:r w:rsidRPr="00717D19">
              <w:rPr>
                <w:rFonts w:ascii="Calibri" w:eastAsia="Times New Roman" w:hAnsi="Calibri" w:cs="Arial"/>
                <w:b/>
                <w:bCs/>
                <w:spacing w:val="0"/>
                <w:w w:val="100"/>
                <w:kern w:val="0"/>
                <w:sz w:val="16"/>
                <w:szCs w:val="16"/>
                <w:lang w:eastAsia="zh-CN"/>
              </w:rPr>
              <w:t xml:space="preserve"> m</w:t>
            </w:r>
          </w:p>
        </w:tc>
        <w:tc>
          <w:tcPr>
            <w:tcW w:w="780" w:type="dxa"/>
            <w:tcBorders>
              <w:top w:val="single" w:sz="4" w:space="0" w:color="auto"/>
              <w:left w:val="nil"/>
              <w:bottom w:val="single" w:sz="4" w:space="0" w:color="auto"/>
              <w:right w:val="single" w:sz="4" w:space="0" w:color="auto"/>
            </w:tcBorders>
            <w:shd w:val="clear" w:color="000000" w:fill="8DB4E2"/>
            <w:vAlign w:val="center"/>
            <w:hideMark/>
          </w:tcPr>
          <w:p w14:paraId="2A07AC29"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Cost per unit</w:t>
            </w:r>
          </w:p>
        </w:tc>
        <w:tc>
          <w:tcPr>
            <w:tcW w:w="940" w:type="dxa"/>
            <w:tcBorders>
              <w:top w:val="single" w:sz="4" w:space="0" w:color="auto"/>
              <w:left w:val="nil"/>
              <w:bottom w:val="single" w:sz="4" w:space="0" w:color="auto"/>
              <w:right w:val="single" w:sz="4" w:space="0" w:color="auto"/>
            </w:tcBorders>
            <w:shd w:val="clear" w:color="000000" w:fill="8DB4E2"/>
            <w:vAlign w:val="center"/>
            <w:hideMark/>
          </w:tcPr>
          <w:p w14:paraId="03646E60"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Sub-Total</w:t>
            </w:r>
          </w:p>
        </w:tc>
        <w:tc>
          <w:tcPr>
            <w:tcW w:w="1080" w:type="dxa"/>
            <w:tcBorders>
              <w:top w:val="single" w:sz="4" w:space="0" w:color="auto"/>
              <w:left w:val="nil"/>
              <w:bottom w:val="single" w:sz="4" w:space="0" w:color="auto"/>
              <w:right w:val="single" w:sz="4" w:space="0" w:color="auto"/>
            </w:tcBorders>
            <w:shd w:val="clear" w:color="000000" w:fill="8DB4E2"/>
            <w:vAlign w:val="center"/>
            <w:hideMark/>
          </w:tcPr>
          <w:p w14:paraId="3EEB054F"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Total</w:t>
            </w:r>
          </w:p>
        </w:tc>
        <w:tc>
          <w:tcPr>
            <w:tcW w:w="1260" w:type="dxa"/>
            <w:tcBorders>
              <w:top w:val="nil"/>
              <w:left w:val="nil"/>
              <w:bottom w:val="nil"/>
              <w:right w:val="nil"/>
            </w:tcBorders>
            <w:shd w:val="clear" w:color="auto" w:fill="auto"/>
            <w:noWrap/>
            <w:vAlign w:val="bottom"/>
            <w:hideMark/>
          </w:tcPr>
          <w:p w14:paraId="59377686"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p>
        </w:tc>
      </w:tr>
      <w:tr w:rsidR="00717D19" w:rsidRPr="00717D19" w14:paraId="13467805" w14:textId="77777777" w:rsidTr="00717D19">
        <w:trPr>
          <w:trHeight w:val="315"/>
        </w:trPr>
        <w:tc>
          <w:tcPr>
            <w:tcW w:w="7020"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6293564C"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INSTALLATION COSTS</w:t>
            </w:r>
          </w:p>
        </w:tc>
        <w:tc>
          <w:tcPr>
            <w:tcW w:w="940" w:type="dxa"/>
            <w:tcBorders>
              <w:top w:val="nil"/>
              <w:left w:val="nil"/>
              <w:bottom w:val="nil"/>
              <w:right w:val="nil"/>
            </w:tcBorders>
            <w:shd w:val="clear" w:color="000000" w:fill="C5D9F1"/>
            <w:noWrap/>
            <w:vAlign w:val="bottom"/>
            <w:hideMark/>
          </w:tcPr>
          <w:p w14:paraId="4962857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080" w:type="dxa"/>
            <w:tcBorders>
              <w:top w:val="nil"/>
              <w:left w:val="single" w:sz="4" w:space="0" w:color="auto"/>
              <w:bottom w:val="single" w:sz="4" w:space="0" w:color="auto"/>
              <w:right w:val="single" w:sz="4" w:space="0" w:color="auto"/>
            </w:tcBorders>
            <w:shd w:val="clear" w:color="000000" w:fill="C5D9F1"/>
            <w:vAlign w:val="center"/>
            <w:hideMark/>
          </w:tcPr>
          <w:p w14:paraId="63A7EB1E"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$274,525</w:t>
            </w:r>
          </w:p>
        </w:tc>
        <w:tc>
          <w:tcPr>
            <w:tcW w:w="1260" w:type="dxa"/>
            <w:tcBorders>
              <w:top w:val="nil"/>
              <w:left w:val="nil"/>
              <w:bottom w:val="nil"/>
              <w:right w:val="nil"/>
            </w:tcBorders>
            <w:shd w:val="clear" w:color="auto" w:fill="auto"/>
            <w:noWrap/>
            <w:vAlign w:val="bottom"/>
            <w:hideMark/>
          </w:tcPr>
          <w:p w14:paraId="3BF3CE84"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p>
        </w:tc>
      </w:tr>
      <w:tr w:rsidR="00717D19" w:rsidRPr="00717D19" w14:paraId="45BEB8A8"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11771808"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a) ICT equipment</w:t>
            </w:r>
            <w:r w:rsidRPr="00717D19">
              <w:rPr>
                <w:rFonts w:ascii="Calibri" w:eastAsia="Times New Roman" w:hAnsi="Calibri" w:cs="Arial"/>
                <w:b/>
                <w:bCs/>
                <w:i/>
                <w:iCs/>
                <w:spacing w:val="0"/>
                <w:w w:val="100"/>
                <w:kern w:val="0"/>
                <w:sz w:val="16"/>
                <w:szCs w:val="16"/>
                <w:vertAlign w:val="superscript"/>
                <w:lang w:eastAsia="zh-CN"/>
              </w:rPr>
              <w:t>1</w:t>
            </w:r>
          </w:p>
        </w:tc>
        <w:tc>
          <w:tcPr>
            <w:tcW w:w="940" w:type="dxa"/>
            <w:tcBorders>
              <w:top w:val="single" w:sz="4" w:space="0" w:color="auto"/>
              <w:left w:val="single" w:sz="4" w:space="0" w:color="auto"/>
              <w:bottom w:val="single" w:sz="4" w:space="0" w:color="auto"/>
              <w:right w:val="nil"/>
            </w:tcBorders>
            <w:shd w:val="clear" w:color="auto" w:fill="auto"/>
            <w:hideMark/>
          </w:tcPr>
          <w:p w14:paraId="20E1B7EF" w14:textId="77777777" w:rsidR="00717D19" w:rsidRPr="00717D19" w:rsidRDefault="00717D19" w:rsidP="00717D19">
            <w:pPr>
              <w:suppressAutoHyphens w:val="0"/>
              <w:spacing w:line="240" w:lineRule="auto"/>
              <w:jc w:val="right"/>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$52,095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E5A1B2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31D14E8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54C85051"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40BEEB8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Laptops w. docking stations and monitors</w:t>
            </w:r>
          </w:p>
        </w:tc>
        <w:tc>
          <w:tcPr>
            <w:tcW w:w="500" w:type="dxa"/>
            <w:tcBorders>
              <w:top w:val="nil"/>
              <w:left w:val="nil"/>
              <w:bottom w:val="single" w:sz="4" w:space="0" w:color="auto"/>
              <w:right w:val="single" w:sz="4" w:space="0" w:color="auto"/>
            </w:tcBorders>
            <w:shd w:val="clear" w:color="auto" w:fill="auto"/>
            <w:hideMark/>
          </w:tcPr>
          <w:p w14:paraId="775EACD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0619147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17</w:t>
            </w:r>
          </w:p>
        </w:tc>
        <w:tc>
          <w:tcPr>
            <w:tcW w:w="540" w:type="dxa"/>
            <w:tcBorders>
              <w:top w:val="nil"/>
              <w:left w:val="nil"/>
              <w:bottom w:val="single" w:sz="4" w:space="0" w:color="auto"/>
              <w:right w:val="single" w:sz="4" w:space="0" w:color="auto"/>
            </w:tcBorders>
            <w:shd w:val="clear" w:color="auto" w:fill="auto"/>
            <w:hideMark/>
          </w:tcPr>
          <w:p w14:paraId="0B33C06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5B67E8D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$1,547</w:t>
            </w:r>
          </w:p>
        </w:tc>
        <w:tc>
          <w:tcPr>
            <w:tcW w:w="940" w:type="dxa"/>
            <w:tcBorders>
              <w:top w:val="nil"/>
              <w:left w:val="single" w:sz="4" w:space="0" w:color="auto"/>
              <w:bottom w:val="single" w:sz="4" w:space="0" w:color="auto"/>
              <w:right w:val="nil"/>
            </w:tcBorders>
            <w:shd w:val="clear" w:color="auto" w:fill="auto"/>
            <w:hideMark/>
          </w:tcPr>
          <w:p w14:paraId="3C5D0C6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$26,299</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8B2768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517A1D7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4A9E3B4C"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23BE0C3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Fixed telephone </w:t>
            </w:r>
          </w:p>
        </w:tc>
        <w:tc>
          <w:tcPr>
            <w:tcW w:w="500" w:type="dxa"/>
            <w:tcBorders>
              <w:top w:val="nil"/>
              <w:left w:val="nil"/>
              <w:bottom w:val="single" w:sz="4" w:space="0" w:color="auto"/>
              <w:right w:val="single" w:sz="4" w:space="0" w:color="auto"/>
            </w:tcBorders>
            <w:shd w:val="clear" w:color="auto" w:fill="auto"/>
            <w:hideMark/>
          </w:tcPr>
          <w:p w14:paraId="4CE77D2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67BA60C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17</w:t>
            </w:r>
          </w:p>
        </w:tc>
        <w:tc>
          <w:tcPr>
            <w:tcW w:w="540" w:type="dxa"/>
            <w:tcBorders>
              <w:top w:val="nil"/>
              <w:left w:val="nil"/>
              <w:bottom w:val="single" w:sz="4" w:space="0" w:color="auto"/>
              <w:right w:val="single" w:sz="4" w:space="0" w:color="auto"/>
            </w:tcBorders>
            <w:shd w:val="clear" w:color="auto" w:fill="auto"/>
            <w:hideMark/>
          </w:tcPr>
          <w:p w14:paraId="74203B1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1387B80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$308</w:t>
            </w:r>
          </w:p>
        </w:tc>
        <w:tc>
          <w:tcPr>
            <w:tcW w:w="940" w:type="dxa"/>
            <w:tcBorders>
              <w:top w:val="nil"/>
              <w:left w:val="single" w:sz="4" w:space="0" w:color="auto"/>
              <w:bottom w:val="single" w:sz="4" w:space="0" w:color="auto"/>
              <w:right w:val="nil"/>
            </w:tcBorders>
            <w:shd w:val="clear" w:color="auto" w:fill="auto"/>
            <w:hideMark/>
          </w:tcPr>
          <w:p w14:paraId="58AC845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$5,236</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D5DF19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480A34F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5EC03507"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3355B77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Personal Printer</w:t>
            </w:r>
          </w:p>
        </w:tc>
        <w:tc>
          <w:tcPr>
            <w:tcW w:w="500" w:type="dxa"/>
            <w:tcBorders>
              <w:top w:val="nil"/>
              <w:left w:val="nil"/>
              <w:bottom w:val="single" w:sz="4" w:space="0" w:color="auto"/>
              <w:right w:val="single" w:sz="4" w:space="0" w:color="auto"/>
            </w:tcBorders>
            <w:shd w:val="clear" w:color="auto" w:fill="auto"/>
            <w:hideMark/>
          </w:tcPr>
          <w:p w14:paraId="7A6C166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1FA5A81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w:t>
            </w:r>
          </w:p>
        </w:tc>
        <w:tc>
          <w:tcPr>
            <w:tcW w:w="540" w:type="dxa"/>
            <w:tcBorders>
              <w:top w:val="nil"/>
              <w:left w:val="nil"/>
              <w:bottom w:val="single" w:sz="4" w:space="0" w:color="auto"/>
              <w:right w:val="single" w:sz="4" w:space="0" w:color="auto"/>
            </w:tcBorders>
            <w:shd w:val="clear" w:color="auto" w:fill="auto"/>
            <w:hideMark/>
          </w:tcPr>
          <w:p w14:paraId="312E7FA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5FE408D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$300</w:t>
            </w:r>
          </w:p>
        </w:tc>
        <w:tc>
          <w:tcPr>
            <w:tcW w:w="940" w:type="dxa"/>
            <w:tcBorders>
              <w:top w:val="nil"/>
              <w:left w:val="single" w:sz="4" w:space="0" w:color="auto"/>
              <w:bottom w:val="single" w:sz="4" w:space="0" w:color="auto"/>
              <w:right w:val="nil"/>
            </w:tcBorders>
            <w:shd w:val="clear" w:color="auto" w:fill="auto"/>
            <w:hideMark/>
          </w:tcPr>
          <w:p w14:paraId="4A337AB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$3,600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3F7A62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3EAF1B8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277096A4" w14:textId="77777777" w:rsidTr="00717D19">
        <w:trPr>
          <w:trHeight w:val="240"/>
        </w:trPr>
        <w:tc>
          <w:tcPr>
            <w:tcW w:w="4680" w:type="dxa"/>
            <w:tcBorders>
              <w:top w:val="nil"/>
              <w:left w:val="single" w:sz="4" w:space="0" w:color="auto"/>
              <w:bottom w:val="single" w:sz="4" w:space="0" w:color="auto"/>
              <w:right w:val="nil"/>
            </w:tcBorders>
            <w:shd w:val="clear" w:color="auto" w:fill="auto"/>
            <w:hideMark/>
          </w:tcPr>
          <w:p w14:paraId="0EBF3AB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Mobile telephone</w:t>
            </w:r>
          </w:p>
        </w:tc>
        <w:tc>
          <w:tcPr>
            <w:tcW w:w="500" w:type="dxa"/>
            <w:tcBorders>
              <w:top w:val="nil"/>
              <w:left w:val="single" w:sz="4" w:space="0" w:color="auto"/>
              <w:bottom w:val="single" w:sz="4" w:space="0" w:color="auto"/>
              <w:right w:val="single" w:sz="4" w:space="0" w:color="auto"/>
            </w:tcBorders>
            <w:shd w:val="clear" w:color="auto" w:fill="auto"/>
            <w:hideMark/>
          </w:tcPr>
          <w:p w14:paraId="593C4AE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79128A9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w:t>
            </w:r>
          </w:p>
        </w:tc>
        <w:tc>
          <w:tcPr>
            <w:tcW w:w="540" w:type="dxa"/>
            <w:tcBorders>
              <w:top w:val="nil"/>
              <w:left w:val="nil"/>
              <w:bottom w:val="single" w:sz="4" w:space="0" w:color="auto"/>
              <w:right w:val="single" w:sz="4" w:space="0" w:color="auto"/>
            </w:tcBorders>
            <w:shd w:val="clear" w:color="auto" w:fill="auto"/>
            <w:hideMark/>
          </w:tcPr>
          <w:p w14:paraId="575C64D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0E94F10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$1,060</w:t>
            </w:r>
          </w:p>
        </w:tc>
        <w:tc>
          <w:tcPr>
            <w:tcW w:w="940" w:type="dxa"/>
            <w:tcBorders>
              <w:top w:val="nil"/>
              <w:left w:val="single" w:sz="4" w:space="0" w:color="auto"/>
              <w:bottom w:val="single" w:sz="4" w:space="0" w:color="auto"/>
              <w:right w:val="nil"/>
            </w:tcBorders>
            <w:shd w:val="clear" w:color="auto" w:fill="auto"/>
            <w:hideMark/>
          </w:tcPr>
          <w:p w14:paraId="02F0905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$16,960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1DDFC7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1C2A8D0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274945B5" w14:textId="77777777" w:rsidTr="00717D19">
        <w:trPr>
          <w:trHeight w:val="240"/>
        </w:trPr>
        <w:tc>
          <w:tcPr>
            <w:tcW w:w="4680" w:type="dxa"/>
            <w:tcBorders>
              <w:top w:val="nil"/>
              <w:left w:val="single" w:sz="4" w:space="0" w:color="auto"/>
              <w:bottom w:val="single" w:sz="4" w:space="0" w:color="auto"/>
              <w:right w:val="nil"/>
            </w:tcBorders>
            <w:shd w:val="clear" w:color="auto" w:fill="auto"/>
            <w:hideMark/>
          </w:tcPr>
          <w:p w14:paraId="254FD04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Videoconferencing equipment</w:t>
            </w:r>
          </w:p>
        </w:tc>
        <w:tc>
          <w:tcPr>
            <w:tcW w:w="500" w:type="dxa"/>
            <w:tcBorders>
              <w:top w:val="nil"/>
              <w:left w:val="single" w:sz="4" w:space="0" w:color="auto"/>
              <w:bottom w:val="single" w:sz="4" w:space="0" w:color="auto"/>
              <w:right w:val="single" w:sz="4" w:space="0" w:color="auto"/>
            </w:tcBorders>
            <w:shd w:val="clear" w:color="auto" w:fill="auto"/>
            <w:hideMark/>
          </w:tcPr>
          <w:p w14:paraId="01F6A85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6EA5A67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40" w:type="dxa"/>
            <w:tcBorders>
              <w:top w:val="nil"/>
              <w:left w:val="nil"/>
              <w:bottom w:val="single" w:sz="4" w:space="0" w:color="auto"/>
              <w:right w:val="single" w:sz="4" w:space="0" w:color="auto"/>
            </w:tcBorders>
            <w:shd w:val="clear" w:color="auto" w:fill="auto"/>
            <w:hideMark/>
          </w:tcPr>
          <w:p w14:paraId="63F0034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09BB198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$5,000</w:t>
            </w:r>
          </w:p>
        </w:tc>
        <w:tc>
          <w:tcPr>
            <w:tcW w:w="940" w:type="dxa"/>
            <w:tcBorders>
              <w:top w:val="nil"/>
              <w:left w:val="single" w:sz="4" w:space="0" w:color="auto"/>
              <w:bottom w:val="single" w:sz="4" w:space="0" w:color="auto"/>
              <w:right w:val="nil"/>
            </w:tcBorders>
            <w:shd w:val="clear" w:color="auto" w:fill="auto"/>
            <w:hideMark/>
          </w:tcPr>
          <w:p w14:paraId="69D0371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3DEA41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3F4A7A7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32DE90F8"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4103EAC0"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b) Furniture</w:t>
            </w:r>
          </w:p>
        </w:tc>
        <w:tc>
          <w:tcPr>
            <w:tcW w:w="940" w:type="dxa"/>
            <w:tcBorders>
              <w:top w:val="nil"/>
              <w:left w:val="single" w:sz="4" w:space="0" w:color="auto"/>
              <w:bottom w:val="single" w:sz="4" w:space="0" w:color="auto"/>
              <w:right w:val="nil"/>
            </w:tcBorders>
            <w:shd w:val="clear" w:color="auto" w:fill="auto"/>
            <w:hideMark/>
          </w:tcPr>
          <w:p w14:paraId="4E5191DB" w14:textId="77777777" w:rsidR="00717D19" w:rsidRPr="00717D19" w:rsidRDefault="00717D19" w:rsidP="00717D19">
            <w:pPr>
              <w:suppressAutoHyphens w:val="0"/>
              <w:spacing w:line="240" w:lineRule="auto"/>
              <w:jc w:val="right"/>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$99,930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A554AB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251F0A6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0A034B00"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1F6C507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   . Individual Office</w:t>
            </w:r>
            <w:r w:rsidRPr="00717D19">
              <w:rPr>
                <w:rFonts w:ascii="Calibri" w:eastAsia="Times New Roman" w:hAnsi="Calibri" w:cs="Arial"/>
                <w:spacing w:val="0"/>
                <w:w w:val="100"/>
                <w:kern w:val="0"/>
                <w:sz w:val="16"/>
                <w:szCs w:val="16"/>
                <w:vertAlign w:val="superscript"/>
                <w:lang w:eastAsia="zh-CN"/>
              </w:rPr>
              <w:t>1</w:t>
            </w:r>
          </w:p>
        </w:tc>
        <w:tc>
          <w:tcPr>
            <w:tcW w:w="940" w:type="dxa"/>
            <w:tcBorders>
              <w:top w:val="nil"/>
              <w:left w:val="single" w:sz="4" w:space="0" w:color="auto"/>
              <w:bottom w:val="single" w:sz="4" w:space="0" w:color="auto"/>
              <w:right w:val="nil"/>
            </w:tcBorders>
            <w:shd w:val="clear" w:color="auto" w:fill="auto"/>
            <w:hideMark/>
          </w:tcPr>
          <w:p w14:paraId="19588F7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u w:val="single"/>
                <w:lang w:eastAsia="zh-CN"/>
              </w:rPr>
            </w:pPr>
            <w:r w:rsidRPr="00717D19">
              <w:rPr>
                <w:rFonts w:ascii="Calibri" w:eastAsia="Times New Roman" w:hAnsi="Calibri" w:cs="Arial"/>
                <w:spacing w:val="0"/>
                <w:w w:val="100"/>
                <w:kern w:val="0"/>
                <w:sz w:val="16"/>
                <w:szCs w:val="16"/>
                <w:u w:val="single"/>
                <w:lang w:eastAsia="zh-CN"/>
              </w:rPr>
              <w:t>$39,230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583DF8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5F242DF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76F27345"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3B60E75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Management Office furniture set (D1/D2 level)</w:t>
            </w:r>
          </w:p>
        </w:tc>
        <w:tc>
          <w:tcPr>
            <w:tcW w:w="500" w:type="dxa"/>
            <w:tcBorders>
              <w:top w:val="nil"/>
              <w:left w:val="nil"/>
              <w:bottom w:val="single" w:sz="4" w:space="0" w:color="auto"/>
              <w:right w:val="single" w:sz="4" w:space="0" w:color="auto"/>
            </w:tcBorders>
            <w:shd w:val="clear" w:color="auto" w:fill="auto"/>
            <w:hideMark/>
          </w:tcPr>
          <w:p w14:paraId="0F96B74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24015EF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63A499C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3CAC005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$6,117</w:t>
            </w:r>
          </w:p>
        </w:tc>
        <w:tc>
          <w:tcPr>
            <w:tcW w:w="940" w:type="dxa"/>
            <w:tcBorders>
              <w:top w:val="nil"/>
              <w:left w:val="single" w:sz="4" w:space="0" w:color="auto"/>
              <w:bottom w:val="single" w:sz="4" w:space="0" w:color="auto"/>
              <w:right w:val="nil"/>
            </w:tcBorders>
            <w:shd w:val="clear" w:color="auto" w:fill="auto"/>
            <w:hideMark/>
          </w:tcPr>
          <w:p w14:paraId="2D9516E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$6,117</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B9BFF2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3A9811D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7C573613"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4E3D276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Standard Office furniture set (P5 level)</w:t>
            </w:r>
          </w:p>
        </w:tc>
        <w:tc>
          <w:tcPr>
            <w:tcW w:w="500" w:type="dxa"/>
            <w:tcBorders>
              <w:top w:val="nil"/>
              <w:left w:val="nil"/>
              <w:bottom w:val="single" w:sz="4" w:space="0" w:color="auto"/>
              <w:right w:val="single" w:sz="4" w:space="0" w:color="auto"/>
            </w:tcBorders>
            <w:shd w:val="clear" w:color="auto" w:fill="auto"/>
            <w:hideMark/>
          </w:tcPr>
          <w:p w14:paraId="1B1DBF0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F36989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w:t>
            </w:r>
          </w:p>
        </w:tc>
        <w:tc>
          <w:tcPr>
            <w:tcW w:w="540" w:type="dxa"/>
            <w:tcBorders>
              <w:top w:val="nil"/>
              <w:left w:val="nil"/>
              <w:bottom w:val="single" w:sz="4" w:space="0" w:color="auto"/>
              <w:right w:val="single" w:sz="4" w:space="0" w:color="auto"/>
            </w:tcBorders>
            <w:shd w:val="clear" w:color="auto" w:fill="auto"/>
            <w:hideMark/>
          </w:tcPr>
          <w:p w14:paraId="4C885D9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267ABB4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$2,280</w:t>
            </w:r>
          </w:p>
        </w:tc>
        <w:tc>
          <w:tcPr>
            <w:tcW w:w="940" w:type="dxa"/>
            <w:tcBorders>
              <w:top w:val="nil"/>
              <w:left w:val="single" w:sz="4" w:space="0" w:color="auto"/>
              <w:bottom w:val="single" w:sz="4" w:space="0" w:color="auto"/>
              <w:right w:val="nil"/>
            </w:tcBorders>
            <w:shd w:val="clear" w:color="auto" w:fill="auto"/>
            <w:hideMark/>
          </w:tcPr>
          <w:p w14:paraId="4D6E60D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$6,840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E85E2B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11581CD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4EEEEA37"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38C26C2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Standard Office furniture set (G6-P4 level)</w:t>
            </w:r>
          </w:p>
        </w:tc>
        <w:tc>
          <w:tcPr>
            <w:tcW w:w="500" w:type="dxa"/>
            <w:tcBorders>
              <w:top w:val="nil"/>
              <w:left w:val="nil"/>
              <w:bottom w:val="single" w:sz="4" w:space="0" w:color="auto"/>
              <w:right w:val="single" w:sz="4" w:space="0" w:color="auto"/>
            </w:tcBorders>
            <w:shd w:val="clear" w:color="auto" w:fill="auto"/>
            <w:hideMark/>
          </w:tcPr>
          <w:p w14:paraId="15BC6B7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78727BE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13</w:t>
            </w:r>
          </w:p>
        </w:tc>
        <w:tc>
          <w:tcPr>
            <w:tcW w:w="540" w:type="dxa"/>
            <w:tcBorders>
              <w:top w:val="nil"/>
              <w:left w:val="nil"/>
              <w:bottom w:val="single" w:sz="4" w:space="0" w:color="auto"/>
              <w:right w:val="single" w:sz="4" w:space="0" w:color="auto"/>
            </w:tcBorders>
            <w:shd w:val="clear" w:color="auto" w:fill="auto"/>
            <w:hideMark/>
          </w:tcPr>
          <w:p w14:paraId="5B08536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6974E52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$2,021</w:t>
            </w:r>
          </w:p>
        </w:tc>
        <w:tc>
          <w:tcPr>
            <w:tcW w:w="940" w:type="dxa"/>
            <w:tcBorders>
              <w:top w:val="nil"/>
              <w:left w:val="single" w:sz="4" w:space="0" w:color="auto"/>
              <w:bottom w:val="single" w:sz="4" w:space="0" w:color="auto"/>
              <w:right w:val="nil"/>
            </w:tcBorders>
            <w:shd w:val="clear" w:color="auto" w:fill="auto"/>
            <w:hideMark/>
          </w:tcPr>
          <w:p w14:paraId="44879BE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$26,273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174B02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1495B93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085C5A8C"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3E9C102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   . Conference Room</w:t>
            </w:r>
          </w:p>
        </w:tc>
        <w:tc>
          <w:tcPr>
            <w:tcW w:w="940" w:type="dxa"/>
            <w:tcBorders>
              <w:top w:val="nil"/>
              <w:left w:val="single" w:sz="4" w:space="0" w:color="auto"/>
              <w:bottom w:val="single" w:sz="4" w:space="0" w:color="auto"/>
              <w:right w:val="nil"/>
            </w:tcBorders>
            <w:shd w:val="clear" w:color="auto" w:fill="auto"/>
            <w:hideMark/>
          </w:tcPr>
          <w:p w14:paraId="04248FA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u w:val="single"/>
                <w:lang w:eastAsia="zh-CN"/>
              </w:rPr>
            </w:pPr>
            <w:r w:rsidRPr="00717D19">
              <w:rPr>
                <w:rFonts w:ascii="Calibri" w:eastAsia="Times New Roman" w:hAnsi="Calibri" w:cs="Arial"/>
                <w:spacing w:val="0"/>
                <w:w w:val="100"/>
                <w:kern w:val="0"/>
                <w:sz w:val="16"/>
                <w:szCs w:val="16"/>
                <w:u w:val="single"/>
                <w:lang w:eastAsia="zh-CN"/>
              </w:rPr>
              <w:t>$28,200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9A780D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7A07628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4AB279A9"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5A0A5DA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Conference Table </w:t>
            </w:r>
          </w:p>
        </w:tc>
        <w:tc>
          <w:tcPr>
            <w:tcW w:w="500" w:type="dxa"/>
            <w:tcBorders>
              <w:top w:val="nil"/>
              <w:left w:val="nil"/>
              <w:bottom w:val="single" w:sz="4" w:space="0" w:color="auto"/>
              <w:right w:val="single" w:sz="4" w:space="0" w:color="auto"/>
            </w:tcBorders>
            <w:shd w:val="clear" w:color="auto" w:fill="auto"/>
            <w:hideMark/>
          </w:tcPr>
          <w:p w14:paraId="5AB7199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3D5CCA5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2BCB05F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26B145A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$12,000</w:t>
            </w:r>
          </w:p>
        </w:tc>
        <w:tc>
          <w:tcPr>
            <w:tcW w:w="940" w:type="dxa"/>
            <w:tcBorders>
              <w:top w:val="nil"/>
              <w:left w:val="single" w:sz="4" w:space="0" w:color="auto"/>
              <w:bottom w:val="single" w:sz="4" w:space="0" w:color="auto"/>
              <w:right w:val="nil"/>
            </w:tcBorders>
            <w:shd w:val="clear" w:color="auto" w:fill="auto"/>
            <w:hideMark/>
          </w:tcPr>
          <w:p w14:paraId="79C8E3F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ADF4B1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53504D4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64D28924"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3BF2177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Conference/visitor chairs</w:t>
            </w:r>
          </w:p>
        </w:tc>
        <w:tc>
          <w:tcPr>
            <w:tcW w:w="500" w:type="dxa"/>
            <w:tcBorders>
              <w:top w:val="nil"/>
              <w:left w:val="nil"/>
              <w:bottom w:val="single" w:sz="4" w:space="0" w:color="auto"/>
              <w:right w:val="single" w:sz="4" w:space="0" w:color="auto"/>
            </w:tcBorders>
            <w:shd w:val="clear" w:color="auto" w:fill="auto"/>
            <w:hideMark/>
          </w:tcPr>
          <w:p w14:paraId="517A3C1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96029B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36</w:t>
            </w:r>
          </w:p>
        </w:tc>
        <w:tc>
          <w:tcPr>
            <w:tcW w:w="540" w:type="dxa"/>
            <w:tcBorders>
              <w:top w:val="nil"/>
              <w:left w:val="nil"/>
              <w:bottom w:val="single" w:sz="4" w:space="0" w:color="auto"/>
              <w:right w:val="single" w:sz="4" w:space="0" w:color="auto"/>
            </w:tcBorders>
            <w:shd w:val="clear" w:color="auto" w:fill="auto"/>
            <w:hideMark/>
          </w:tcPr>
          <w:p w14:paraId="592DA99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47CF408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$450</w:t>
            </w:r>
          </w:p>
        </w:tc>
        <w:tc>
          <w:tcPr>
            <w:tcW w:w="940" w:type="dxa"/>
            <w:tcBorders>
              <w:top w:val="nil"/>
              <w:left w:val="single" w:sz="4" w:space="0" w:color="auto"/>
              <w:bottom w:val="single" w:sz="4" w:space="0" w:color="auto"/>
              <w:right w:val="nil"/>
            </w:tcBorders>
            <w:shd w:val="clear" w:color="auto" w:fill="auto"/>
            <w:hideMark/>
          </w:tcPr>
          <w:p w14:paraId="74EC140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$16,200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FC909D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7E8C3B7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7741019C"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7BE4116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   . Other furniture</w:t>
            </w:r>
          </w:p>
        </w:tc>
        <w:tc>
          <w:tcPr>
            <w:tcW w:w="500" w:type="dxa"/>
            <w:tcBorders>
              <w:top w:val="nil"/>
              <w:left w:val="nil"/>
              <w:bottom w:val="single" w:sz="4" w:space="0" w:color="auto"/>
              <w:right w:val="single" w:sz="4" w:space="0" w:color="auto"/>
            </w:tcBorders>
            <w:shd w:val="clear" w:color="auto" w:fill="auto"/>
            <w:hideMark/>
          </w:tcPr>
          <w:p w14:paraId="777C88C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7F9793D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40" w:type="dxa"/>
            <w:tcBorders>
              <w:top w:val="nil"/>
              <w:left w:val="nil"/>
              <w:bottom w:val="single" w:sz="4" w:space="0" w:color="auto"/>
              <w:right w:val="single" w:sz="4" w:space="0" w:color="auto"/>
            </w:tcBorders>
            <w:shd w:val="clear" w:color="auto" w:fill="auto"/>
            <w:hideMark/>
          </w:tcPr>
          <w:p w14:paraId="75100B8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039630B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nil"/>
              <w:bottom w:val="single" w:sz="4" w:space="0" w:color="auto"/>
              <w:right w:val="single" w:sz="4" w:space="0" w:color="auto"/>
            </w:tcBorders>
            <w:shd w:val="clear" w:color="auto" w:fill="auto"/>
            <w:hideMark/>
          </w:tcPr>
          <w:p w14:paraId="33D71EF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u w:val="single"/>
                <w:lang w:eastAsia="zh-CN"/>
              </w:rPr>
            </w:pPr>
            <w:r w:rsidRPr="00717D19">
              <w:rPr>
                <w:rFonts w:ascii="Calibri" w:eastAsia="Times New Roman" w:hAnsi="Calibri" w:cs="Arial"/>
                <w:spacing w:val="0"/>
                <w:w w:val="100"/>
                <w:kern w:val="0"/>
                <w:sz w:val="16"/>
                <w:szCs w:val="16"/>
                <w:u w:val="single"/>
                <w:lang w:eastAsia="zh-CN"/>
              </w:rPr>
              <w:t>$32,500</w:t>
            </w:r>
          </w:p>
        </w:tc>
        <w:tc>
          <w:tcPr>
            <w:tcW w:w="1080" w:type="dxa"/>
            <w:tcBorders>
              <w:top w:val="nil"/>
              <w:left w:val="nil"/>
              <w:bottom w:val="single" w:sz="4" w:space="0" w:color="auto"/>
              <w:right w:val="single" w:sz="4" w:space="0" w:color="auto"/>
            </w:tcBorders>
            <w:shd w:val="clear" w:color="auto" w:fill="auto"/>
            <w:noWrap/>
            <w:vAlign w:val="bottom"/>
            <w:hideMark/>
          </w:tcPr>
          <w:p w14:paraId="5ECBBEB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495FB21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7490547E"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13E7C04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Bookcases, filing cabinets</w:t>
            </w:r>
          </w:p>
        </w:tc>
        <w:tc>
          <w:tcPr>
            <w:tcW w:w="500" w:type="dxa"/>
            <w:tcBorders>
              <w:top w:val="nil"/>
              <w:left w:val="nil"/>
              <w:bottom w:val="single" w:sz="4" w:space="0" w:color="auto"/>
              <w:right w:val="single" w:sz="4" w:space="0" w:color="auto"/>
            </w:tcBorders>
            <w:shd w:val="clear" w:color="auto" w:fill="auto"/>
            <w:hideMark/>
          </w:tcPr>
          <w:p w14:paraId="3CC807F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60E71E1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w:t>
            </w:r>
          </w:p>
        </w:tc>
        <w:tc>
          <w:tcPr>
            <w:tcW w:w="540" w:type="dxa"/>
            <w:tcBorders>
              <w:top w:val="nil"/>
              <w:left w:val="nil"/>
              <w:bottom w:val="single" w:sz="4" w:space="0" w:color="auto"/>
              <w:right w:val="single" w:sz="4" w:space="0" w:color="auto"/>
            </w:tcBorders>
            <w:shd w:val="clear" w:color="auto" w:fill="auto"/>
            <w:hideMark/>
          </w:tcPr>
          <w:p w14:paraId="1D7B615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2152AE9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w:t>
            </w:r>
          </w:p>
        </w:tc>
        <w:tc>
          <w:tcPr>
            <w:tcW w:w="940" w:type="dxa"/>
            <w:tcBorders>
              <w:top w:val="nil"/>
              <w:left w:val="single" w:sz="4" w:space="0" w:color="auto"/>
              <w:bottom w:val="single" w:sz="4" w:space="0" w:color="auto"/>
              <w:right w:val="nil"/>
            </w:tcBorders>
            <w:shd w:val="clear" w:color="auto" w:fill="auto"/>
            <w:hideMark/>
          </w:tcPr>
          <w:p w14:paraId="7C0071C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818DAF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2C953EA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35444880"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600653D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Coffee table, 4 armchairs</w:t>
            </w:r>
          </w:p>
        </w:tc>
        <w:tc>
          <w:tcPr>
            <w:tcW w:w="500" w:type="dxa"/>
            <w:tcBorders>
              <w:top w:val="nil"/>
              <w:left w:val="nil"/>
              <w:bottom w:val="single" w:sz="4" w:space="0" w:color="auto"/>
              <w:right w:val="single" w:sz="4" w:space="0" w:color="auto"/>
            </w:tcBorders>
            <w:shd w:val="clear" w:color="auto" w:fill="auto"/>
            <w:hideMark/>
          </w:tcPr>
          <w:p w14:paraId="6DCB58D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2D1CF67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4B29224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0415DEB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$7,500</w:t>
            </w:r>
          </w:p>
        </w:tc>
        <w:tc>
          <w:tcPr>
            <w:tcW w:w="940" w:type="dxa"/>
            <w:tcBorders>
              <w:top w:val="nil"/>
              <w:left w:val="single" w:sz="4" w:space="0" w:color="auto"/>
              <w:bottom w:val="single" w:sz="4" w:space="0" w:color="auto"/>
              <w:right w:val="nil"/>
            </w:tcBorders>
            <w:shd w:val="clear" w:color="auto" w:fill="auto"/>
            <w:hideMark/>
          </w:tcPr>
          <w:p w14:paraId="560D8D7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$7,500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0F8BB3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4131F9A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674B27F1"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179E2A7F"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c) Materials and supplies</w:t>
            </w:r>
          </w:p>
        </w:tc>
        <w:tc>
          <w:tcPr>
            <w:tcW w:w="940" w:type="dxa"/>
            <w:tcBorders>
              <w:top w:val="nil"/>
              <w:left w:val="single" w:sz="4" w:space="0" w:color="auto"/>
              <w:bottom w:val="single" w:sz="4" w:space="0" w:color="auto"/>
              <w:right w:val="nil"/>
            </w:tcBorders>
            <w:shd w:val="clear" w:color="auto" w:fill="auto"/>
            <w:hideMark/>
          </w:tcPr>
          <w:p w14:paraId="29D1155E"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$17,500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52D78B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4C7CB57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7E0E59EE"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494836D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Library books</w:t>
            </w:r>
          </w:p>
        </w:tc>
        <w:tc>
          <w:tcPr>
            <w:tcW w:w="500" w:type="dxa"/>
            <w:tcBorders>
              <w:top w:val="nil"/>
              <w:left w:val="nil"/>
              <w:bottom w:val="single" w:sz="4" w:space="0" w:color="auto"/>
              <w:right w:val="single" w:sz="4" w:space="0" w:color="auto"/>
            </w:tcBorders>
            <w:shd w:val="clear" w:color="auto" w:fill="auto"/>
            <w:hideMark/>
          </w:tcPr>
          <w:p w14:paraId="726CE4B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68E4D8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2C418F0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6A1A09D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$17,500</w:t>
            </w:r>
          </w:p>
        </w:tc>
        <w:tc>
          <w:tcPr>
            <w:tcW w:w="940" w:type="dxa"/>
            <w:tcBorders>
              <w:top w:val="nil"/>
              <w:left w:val="single" w:sz="4" w:space="0" w:color="auto"/>
              <w:bottom w:val="single" w:sz="4" w:space="0" w:color="auto"/>
              <w:right w:val="nil"/>
            </w:tcBorders>
            <w:shd w:val="clear" w:color="auto" w:fill="auto"/>
            <w:hideMark/>
          </w:tcPr>
          <w:p w14:paraId="03F768D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$17,500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57D2E9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6E70F25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1E08E810"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079D0DC1"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d) Services</w:t>
            </w:r>
          </w:p>
        </w:tc>
        <w:tc>
          <w:tcPr>
            <w:tcW w:w="940" w:type="dxa"/>
            <w:tcBorders>
              <w:top w:val="nil"/>
              <w:left w:val="nil"/>
              <w:bottom w:val="single" w:sz="4" w:space="0" w:color="auto"/>
              <w:right w:val="single" w:sz="4" w:space="0" w:color="auto"/>
            </w:tcBorders>
            <w:shd w:val="clear" w:color="auto" w:fill="auto"/>
            <w:hideMark/>
          </w:tcPr>
          <w:p w14:paraId="2F255631"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$105,000</w:t>
            </w:r>
          </w:p>
        </w:tc>
        <w:tc>
          <w:tcPr>
            <w:tcW w:w="1080" w:type="dxa"/>
            <w:tcBorders>
              <w:top w:val="nil"/>
              <w:left w:val="nil"/>
              <w:bottom w:val="single" w:sz="4" w:space="0" w:color="auto"/>
              <w:right w:val="single" w:sz="4" w:space="0" w:color="auto"/>
            </w:tcBorders>
            <w:shd w:val="clear" w:color="auto" w:fill="auto"/>
            <w:noWrap/>
            <w:vAlign w:val="bottom"/>
            <w:hideMark/>
          </w:tcPr>
          <w:p w14:paraId="46686EA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2F6A59E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6F0FC3D5"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56BB772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Website development (multilingual)</w:t>
            </w:r>
          </w:p>
        </w:tc>
        <w:tc>
          <w:tcPr>
            <w:tcW w:w="500" w:type="dxa"/>
            <w:tcBorders>
              <w:top w:val="nil"/>
              <w:left w:val="nil"/>
              <w:bottom w:val="single" w:sz="4" w:space="0" w:color="auto"/>
              <w:right w:val="single" w:sz="4" w:space="0" w:color="auto"/>
            </w:tcBorders>
            <w:shd w:val="clear" w:color="auto" w:fill="auto"/>
            <w:noWrap/>
            <w:vAlign w:val="bottom"/>
            <w:hideMark/>
          </w:tcPr>
          <w:p w14:paraId="70D77FC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noWrap/>
            <w:vAlign w:val="bottom"/>
            <w:hideMark/>
          </w:tcPr>
          <w:p w14:paraId="164E5A0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noWrap/>
            <w:vAlign w:val="bottom"/>
            <w:hideMark/>
          </w:tcPr>
          <w:p w14:paraId="56E16D5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212C09B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$80,000</w:t>
            </w:r>
          </w:p>
        </w:tc>
        <w:tc>
          <w:tcPr>
            <w:tcW w:w="940" w:type="dxa"/>
            <w:tcBorders>
              <w:top w:val="nil"/>
              <w:left w:val="single" w:sz="4" w:space="0" w:color="auto"/>
              <w:bottom w:val="single" w:sz="4" w:space="0" w:color="auto"/>
              <w:right w:val="nil"/>
            </w:tcBorders>
            <w:shd w:val="clear" w:color="auto" w:fill="auto"/>
            <w:hideMark/>
          </w:tcPr>
          <w:p w14:paraId="317E191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D9525C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6DD7136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16C4ED9D" w14:textId="77777777" w:rsidTr="00717D19">
        <w:trPr>
          <w:trHeight w:val="240"/>
        </w:trPr>
        <w:tc>
          <w:tcPr>
            <w:tcW w:w="4680" w:type="dxa"/>
            <w:tcBorders>
              <w:top w:val="nil"/>
              <w:left w:val="single" w:sz="4" w:space="0" w:color="auto"/>
              <w:bottom w:val="single" w:sz="4" w:space="0" w:color="auto"/>
              <w:right w:val="nil"/>
            </w:tcBorders>
            <w:shd w:val="clear" w:color="auto" w:fill="auto"/>
            <w:noWrap/>
            <w:vAlign w:val="bottom"/>
            <w:hideMark/>
          </w:tcPr>
          <w:p w14:paraId="4AD8C0C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Database </w:t>
            </w:r>
            <w:proofErr w:type="spellStart"/>
            <w:r w:rsidRPr="00717D19">
              <w:rPr>
                <w:rFonts w:ascii="Calibri" w:eastAsia="Times New Roman" w:hAnsi="Calibri" w:cs="Arial"/>
                <w:spacing w:val="0"/>
                <w:w w:val="100"/>
                <w:kern w:val="0"/>
                <w:sz w:val="16"/>
                <w:szCs w:val="16"/>
                <w:lang w:eastAsia="zh-CN"/>
              </w:rPr>
              <w:t>developmet</w:t>
            </w:r>
            <w:proofErr w:type="spellEnd"/>
            <w:r w:rsidRPr="00717D19">
              <w:rPr>
                <w:rFonts w:ascii="Calibri" w:eastAsia="Times New Roman" w:hAnsi="Calibri" w:cs="Arial"/>
                <w:spacing w:val="0"/>
                <w:w w:val="100"/>
                <w:kern w:val="0"/>
                <w:sz w:val="16"/>
                <w:szCs w:val="16"/>
                <w:lang w:eastAsia="zh-CN"/>
              </w:rPr>
              <w:t xml:space="preserve"> "Collection best practices"</w:t>
            </w:r>
          </w:p>
        </w:tc>
        <w:tc>
          <w:tcPr>
            <w:tcW w:w="500" w:type="dxa"/>
            <w:tcBorders>
              <w:top w:val="nil"/>
              <w:left w:val="nil"/>
              <w:bottom w:val="single" w:sz="4" w:space="0" w:color="auto"/>
              <w:right w:val="nil"/>
            </w:tcBorders>
            <w:shd w:val="clear" w:color="auto" w:fill="auto"/>
            <w:noWrap/>
            <w:vAlign w:val="bottom"/>
            <w:hideMark/>
          </w:tcPr>
          <w:p w14:paraId="7868A2F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nil"/>
            </w:tcBorders>
            <w:shd w:val="clear" w:color="auto" w:fill="auto"/>
            <w:noWrap/>
            <w:vAlign w:val="bottom"/>
            <w:hideMark/>
          </w:tcPr>
          <w:p w14:paraId="6141475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nil"/>
            </w:tcBorders>
            <w:shd w:val="clear" w:color="auto" w:fill="auto"/>
            <w:noWrap/>
            <w:vAlign w:val="bottom"/>
            <w:hideMark/>
          </w:tcPr>
          <w:p w14:paraId="205B55B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6AF2FC6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$25,000</w:t>
            </w:r>
          </w:p>
        </w:tc>
        <w:tc>
          <w:tcPr>
            <w:tcW w:w="940" w:type="dxa"/>
            <w:tcBorders>
              <w:top w:val="nil"/>
              <w:left w:val="single" w:sz="4" w:space="0" w:color="auto"/>
              <w:bottom w:val="single" w:sz="4" w:space="0" w:color="auto"/>
              <w:right w:val="nil"/>
            </w:tcBorders>
            <w:shd w:val="clear" w:color="auto" w:fill="auto"/>
            <w:hideMark/>
          </w:tcPr>
          <w:p w14:paraId="06CAEA58"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18CF87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0825373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59DAC04D" w14:textId="77777777" w:rsidTr="00717D19">
        <w:trPr>
          <w:trHeight w:val="300"/>
        </w:trPr>
        <w:tc>
          <w:tcPr>
            <w:tcW w:w="7020"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BDC5A55"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RECURRING COSTS (per annum)</w:t>
            </w:r>
          </w:p>
        </w:tc>
        <w:tc>
          <w:tcPr>
            <w:tcW w:w="940" w:type="dxa"/>
            <w:tcBorders>
              <w:top w:val="nil"/>
              <w:left w:val="nil"/>
              <w:bottom w:val="single" w:sz="4" w:space="0" w:color="auto"/>
              <w:right w:val="single" w:sz="4" w:space="0" w:color="auto"/>
            </w:tcBorders>
            <w:shd w:val="clear" w:color="000000" w:fill="C5D9F1"/>
            <w:noWrap/>
            <w:vAlign w:val="bottom"/>
            <w:hideMark/>
          </w:tcPr>
          <w:p w14:paraId="6F822E7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080" w:type="dxa"/>
            <w:tcBorders>
              <w:top w:val="nil"/>
              <w:left w:val="nil"/>
              <w:bottom w:val="single" w:sz="4" w:space="0" w:color="auto"/>
              <w:right w:val="single" w:sz="4" w:space="0" w:color="auto"/>
            </w:tcBorders>
            <w:shd w:val="clear" w:color="000000" w:fill="C5D9F1"/>
            <w:noWrap/>
            <w:vAlign w:val="center"/>
            <w:hideMark/>
          </w:tcPr>
          <w:p w14:paraId="703E79C7"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$3,715,866</w:t>
            </w:r>
          </w:p>
        </w:tc>
        <w:tc>
          <w:tcPr>
            <w:tcW w:w="1260" w:type="dxa"/>
            <w:tcBorders>
              <w:top w:val="nil"/>
              <w:left w:val="nil"/>
              <w:bottom w:val="nil"/>
              <w:right w:val="nil"/>
            </w:tcBorders>
            <w:shd w:val="clear" w:color="auto" w:fill="auto"/>
            <w:noWrap/>
            <w:vAlign w:val="bottom"/>
            <w:hideMark/>
          </w:tcPr>
          <w:p w14:paraId="27D2B79D"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p>
        </w:tc>
      </w:tr>
      <w:tr w:rsidR="00717D19" w:rsidRPr="00717D19" w14:paraId="35CB6282" w14:textId="77777777" w:rsidTr="00717D19">
        <w:trPr>
          <w:trHeight w:val="300"/>
        </w:trPr>
        <w:tc>
          <w:tcPr>
            <w:tcW w:w="4680" w:type="dxa"/>
            <w:tcBorders>
              <w:top w:val="nil"/>
              <w:left w:val="single" w:sz="4" w:space="0" w:color="auto"/>
              <w:bottom w:val="single" w:sz="4" w:space="0" w:color="auto"/>
              <w:right w:val="nil"/>
            </w:tcBorders>
            <w:shd w:val="clear" w:color="000000" w:fill="FFFFFF"/>
            <w:noWrap/>
            <w:vAlign w:val="center"/>
            <w:hideMark/>
          </w:tcPr>
          <w:p w14:paraId="381021A4"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a) Rent</w:t>
            </w:r>
          </w:p>
        </w:tc>
        <w:tc>
          <w:tcPr>
            <w:tcW w:w="500" w:type="dxa"/>
            <w:tcBorders>
              <w:top w:val="nil"/>
              <w:left w:val="nil"/>
              <w:bottom w:val="single" w:sz="4" w:space="0" w:color="auto"/>
              <w:right w:val="nil"/>
            </w:tcBorders>
            <w:shd w:val="clear" w:color="000000" w:fill="FFFFFF"/>
            <w:noWrap/>
            <w:vAlign w:val="center"/>
            <w:hideMark/>
          </w:tcPr>
          <w:p w14:paraId="5DE757F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nil"/>
            </w:tcBorders>
            <w:shd w:val="clear" w:color="000000" w:fill="FFFFFF"/>
            <w:noWrap/>
            <w:vAlign w:val="center"/>
            <w:hideMark/>
          </w:tcPr>
          <w:p w14:paraId="0F273C5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40" w:type="dxa"/>
            <w:tcBorders>
              <w:top w:val="nil"/>
              <w:left w:val="nil"/>
              <w:bottom w:val="single" w:sz="4" w:space="0" w:color="auto"/>
              <w:right w:val="nil"/>
            </w:tcBorders>
            <w:shd w:val="clear" w:color="000000" w:fill="FFFFFF"/>
            <w:noWrap/>
            <w:vAlign w:val="center"/>
            <w:hideMark/>
          </w:tcPr>
          <w:p w14:paraId="6F4358C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05B1D5D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nil"/>
              <w:bottom w:val="single" w:sz="4" w:space="0" w:color="auto"/>
              <w:right w:val="single" w:sz="4" w:space="0" w:color="auto"/>
            </w:tcBorders>
            <w:shd w:val="clear" w:color="000000" w:fill="FFFFFF"/>
            <w:noWrap/>
            <w:vAlign w:val="bottom"/>
            <w:hideMark/>
          </w:tcPr>
          <w:p w14:paraId="1264486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2C3B82D2"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02168A7C"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p>
        </w:tc>
      </w:tr>
      <w:tr w:rsidR="00717D19" w:rsidRPr="00717D19" w14:paraId="43B03BA3" w14:textId="77777777" w:rsidTr="00717D19">
        <w:trPr>
          <w:trHeight w:val="300"/>
        </w:trPr>
        <w:tc>
          <w:tcPr>
            <w:tcW w:w="4680" w:type="dxa"/>
            <w:tcBorders>
              <w:top w:val="nil"/>
              <w:left w:val="single" w:sz="4" w:space="0" w:color="auto"/>
              <w:bottom w:val="single" w:sz="4" w:space="0" w:color="auto"/>
              <w:right w:val="single" w:sz="4" w:space="0" w:color="auto"/>
            </w:tcBorders>
            <w:shd w:val="clear" w:color="auto" w:fill="auto"/>
            <w:hideMark/>
          </w:tcPr>
          <w:p w14:paraId="568ED63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Rental costs depending on location</w:t>
            </w:r>
          </w:p>
        </w:tc>
        <w:tc>
          <w:tcPr>
            <w:tcW w:w="500" w:type="dxa"/>
            <w:tcBorders>
              <w:top w:val="nil"/>
              <w:left w:val="nil"/>
              <w:bottom w:val="single" w:sz="4" w:space="0" w:color="auto"/>
              <w:right w:val="single" w:sz="4" w:space="0" w:color="auto"/>
            </w:tcBorders>
            <w:shd w:val="clear" w:color="auto" w:fill="auto"/>
            <w:hideMark/>
          </w:tcPr>
          <w:p w14:paraId="40BBF2C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055DF2D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40" w:type="dxa"/>
            <w:tcBorders>
              <w:top w:val="nil"/>
              <w:left w:val="nil"/>
              <w:bottom w:val="single" w:sz="4" w:space="0" w:color="auto"/>
              <w:right w:val="single" w:sz="4" w:space="0" w:color="auto"/>
            </w:tcBorders>
            <w:shd w:val="clear" w:color="auto" w:fill="auto"/>
            <w:hideMark/>
          </w:tcPr>
          <w:p w14:paraId="0039280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2BC2325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nil"/>
              <w:bottom w:val="single" w:sz="4" w:space="0" w:color="auto"/>
              <w:right w:val="single" w:sz="4" w:space="0" w:color="auto"/>
            </w:tcBorders>
            <w:shd w:val="clear" w:color="000000" w:fill="FFFFFF"/>
            <w:noWrap/>
            <w:vAlign w:val="bottom"/>
            <w:hideMark/>
          </w:tcPr>
          <w:p w14:paraId="5411451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594484A"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14A61CEC"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p>
        </w:tc>
      </w:tr>
      <w:tr w:rsidR="00717D19" w:rsidRPr="00717D19" w14:paraId="62FFAD73" w14:textId="77777777" w:rsidTr="00717D19">
        <w:trPr>
          <w:trHeight w:val="240"/>
        </w:trPr>
        <w:tc>
          <w:tcPr>
            <w:tcW w:w="57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5AECB501"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b) Buildings maintenance, utilities (including security)</w:t>
            </w:r>
            <w:r w:rsidRPr="00717D19">
              <w:rPr>
                <w:rFonts w:ascii="Calibri" w:eastAsia="Times New Roman" w:hAnsi="Calibri" w:cs="Arial"/>
                <w:b/>
                <w:bCs/>
                <w:i/>
                <w:iCs/>
                <w:spacing w:val="0"/>
                <w:w w:val="100"/>
                <w:kern w:val="0"/>
                <w:sz w:val="16"/>
                <w:szCs w:val="16"/>
                <w:vertAlign w:val="superscript"/>
                <w:lang w:eastAsia="zh-CN"/>
              </w:rPr>
              <w:t>1</w:t>
            </w:r>
          </w:p>
        </w:tc>
        <w:tc>
          <w:tcPr>
            <w:tcW w:w="540" w:type="dxa"/>
            <w:tcBorders>
              <w:top w:val="nil"/>
              <w:left w:val="nil"/>
              <w:bottom w:val="single" w:sz="4" w:space="0" w:color="auto"/>
              <w:right w:val="single" w:sz="4" w:space="0" w:color="auto"/>
            </w:tcBorders>
            <w:shd w:val="clear" w:color="auto" w:fill="auto"/>
            <w:noWrap/>
            <w:hideMark/>
          </w:tcPr>
          <w:p w14:paraId="45E8CA9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347</w:t>
            </w:r>
          </w:p>
        </w:tc>
        <w:tc>
          <w:tcPr>
            <w:tcW w:w="780" w:type="dxa"/>
            <w:tcBorders>
              <w:top w:val="nil"/>
              <w:left w:val="nil"/>
              <w:bottom w:val="single" w:sz="4" w:space="0" w:color="auto"/>
              <w:right w:val="single" w:sz="4" w:space="0" w:color="auto"/>
            </w:tcBorders>
            <w:shd w:val="clear" w:color="auto" w:fill="auto"/>
            <w:noWrap/>
            <w:hideMark/>
          </w:tcPr>
          <w:p w14:paraId="0EB0096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single" w:sz="4" w:space="0" w:color="auto"/>
              <w:bottom w:val="single" w:sz="4" w:space="0" w:color="auto"/>
              <w:right w:val="nil"/>
            </w:tcBorders>
            <w:shd w:val="clear" w:color="auto" w:fill="auto"/>
            <w:noWrap/>
            <w:vAlign w:val="bottom"/>
            <w:hideMark/>
          </w:tcPr>
          <w:p w14:paraId="1265570A" w14:textId="77777777" w:rsidR="00717D19" w:rsidRPr="00717D19" w:rsidRDefault="00717D19" w:rsidP="00717D19">
            <w:pPr>
              <w:suppressAutoHyphens w:val="0"/>
              <w:spacing w:line="240" w:lineRule="auto"/>
              <w:jc w:val="right"/>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$129,366</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4C8CAF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361F1F4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444F83F7"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05ADF9A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Management office</w:t>
            </w:r>
          </w:p>
        </w:tc>
        <w:tc>
          <w:tcPr>
            <w:tcW w:w="500" w:type="dxa"/>
            <w:tcBorders>
              <w:top w:val="nil"/>
              <w:left w:val="nil"/>
              <w:bottom w:val="single" w:sz="4" w:space="0" w:color="auto"/>
              <w:right w:val="single" w:sz="4" w:space="0" w:color="auto"/>
            </w:tcBorders>
            <w:shd w:val="clear" w:color="auto" w:fill="auto"/>
            <w:hideMark/>
          </w:tcPr>
          <w:p w14:paraId="7E4E820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27</w:t>
            </w:r>
          </w:p>
        </w:tc>
        <w:tc>
          <w:tcPr>
            <w:tcW w:w="520" w:type="dxa"/>
            <w:tcBorders>
              <w:top w:val="nil"/>
              <w:left w:val="nil"/>
              <w:bottom w:val="single" w:sz="4" w:space="0" w:color="auto"/>
              <w:right w:val="single" w:sz="4" w:space="0" w:color="auto"/>
            </w:tcBorders>
            <w:shd w:val="clear" w:color="auto" w:fill="auto"/>
            <w:hideMark/>
          </w:tcPr>
          <w:p w14:paraId="24E05AD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4E0A627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27</w:t>
            </w:r>
          </w:p>
        </w:tc>
        <w:tc>
          <w:tcPr>
            <w:tcW w:w="780" w:type="dxa"/>
            <w:tcBorders>
              <w:top w:val="nil"/>
              <w:left w:val="nil"/>
              <w:bottom w:val="single" w:sz="4" w:space="0" w:color="auto"/>
              <w:right w:val="single" w:sz="4" w:space="0" w:color="auto"/>
            </w:tcBorders>
            <w:shd w:val="clear" w:color="auto" w:fill="auto"/>
            <w:hideMark/>
          </w:tcPr>
          <w:p w14:paraId="7F715AE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$10,080</w:t>
            </w:r>
          </w:p>
        </w:tc>
        <w:tc>
          <w:tcPr>
            <w:tcW w:w="940" w:type="dxa"/>
            <w:tcBorders>
              <w:top w:val="nil"/>
              <w:left w:val="single" w:sz="4" w:space="0" w:color="auto"/>
              <w:bottom w:val="single" w:sz="4" w:space="0" w:color="auto"/>
              <w:right w:val="nil"/>
            </w:tcBorders>
            <w:shd w:val="clear" w:color="auto" w:fill="auto"/>
            <w:hideMark/>
          </w:tcPr>
          <w:p w14:paraId="3ABA508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$10,080.45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8B00C7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34DAADE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105BC097"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398661E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Standard Office </w:t>
            </w:r>
            <w:r w:rsidRPr="00717D19">
              <w:rPr>
                <w:rFonts w:ascii="Calibri" w:eastAsia="Times New Roman" w:hAnsi="Calibri" w:cs="Arial"/>
                <w:spacing w:val="0"/>
                <w:w w:val="100"/>
                <w:kern w:val="0"/>
                <w:sz w:val="16"/>
                <w:szCs w:val="16"/>
                <w:vertAlign w:val="superscript"/>
                <w:lang w:eastAsia="zh-CN"/>
              </w:rPr>
              <w:t>2</w:t>
            </w:r>
          </w:p>
        </w:tc>
        <w:tc>
          <w:tcPr>
            <w:tcW w:w="500" w:type="dxa"/>
            <w:tcBorders>
              <w:top w:val="nil"/>
              <w:left w:val="nil"/>
              <w:bottom w:val="single" w:sz="4" w:space="0" w:color="auto"/>
              <w:right w:val="single" w:sz="4" w:space="0" w:color="auto"/>
            </w:tcBorders>
            <w:shd w:val="clear" w:color="auto" w:fill="auto"/>
            <w:hideMark/>
          </w:tcPr>
          <w:p w14:paraId="736716E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13.5</w:t>
            </w:r>
          </w:p>
        </w:tc>
        <w:tc>
          <w:tcPr>
            <w:tcW w:w="520" w:type="dxa"/>
            <w:tcBorders>
              <w:top w:val="nil"/>
              <w:left w:val="nil"/>
              <w:bottom w:val="single" w:sz="4" w:space="0" w:color="auto"/>
              <w:right w:val="single" w:sz="4" w:space="0" w:color="auto"/>
            </w:tcBorders>
            <w:shd w:val="clear" w:color="auto" w:fill="auto"/>
            <w:hideMark/>
          </w:tcPr>
          <w:p w14:paraId="54E6DEB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15</w:t>
            </w:r>
          </w:p>
        </w:tc>
        <w:tc>
          <w:tcPr>
            <w:tcW w:w="540" w:type="dxa"/>
            <w:tcBorders>
              <w:top w:val="nil"/>
              <w:left w:val="nil"/>
              <w:bottom w:val="single" w:sz="4" w:space="0" w:color="auto"/>
              <w:right w:val="single" w:sz="4" w:space="0" w:color="auto"/>
            </w:tcBorders>
            <w:shd w:val="clear" w:color="auto" w:fill="auto"/>
            <w:hideMark/>
          </w:tcPr>
          <w:p w14:paraId="37FB8FF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203</w:t>
            </w:r>
          </w:p>
        </w:tc>
        <w:tc>
          <w:tcPr>
            <w:tcW w:w="780" w:type="dxa"/>
            <w:tcBorders>
              <w:top w:val="nil"/>
              <w:left w:val="nil"/>
              <w:bottom w:val="single" w:sz="4" w:space="0" w:color="auto"/>
              <w:right w:val="single" w:sz="4" w:space="0" w:color="auto"/>
            </w:tcBorders>
            <w:shd w:val="clear" w:color="auto" w:fill="auto"/>
            <w:hideMark/>
          </w:tcPr>
          <w:p w14:paraId="48CEBD0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$5,040</w:t>
            </w:r>
          </w:p>
        </w:tc>
        <w:tc>
          <w:tcPr>
            <w:tcW w:w="940" w:type="dxa"/>
            <w:tcBorders>
              <w:top w:val="nil"/>
              <w:left w:val="single" w:sz="4" w:space="0" w:color="auto"/>
              <w:bottom w:val="single" w:sz="4" w:space="0" w:color="auto"/>
              <w:right w:val="nil"/>
            </w:tcBorders>
            <w:shd w:val="clear" w:color="auto" w:fill="auto"/>
            <w:hideMark/>
          </w:tcPr>
          <w:p w14:paraId="3E36047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$75,603.38</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956240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38B1998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111B7C3B"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2AF80D9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Conference room</w:t>
            </w:r>
          </w:p>
        </w:tc>
        <w:tc>
          <w:tcPr>
            <w:tcW w:w="500" w:type="dxa"/>
            <w:tcBorders>
              <w:top w:val="nil"/>
              <w:left w:val="nil"/>
              <w:bottom w:val="single" w:sz="4" w:space="0" w:color="auto"/>
              <w:right w:val="single" w:sz="4" w:space="0" w:color="auto"/>
            </w:tcBorders>
            <w:shd w:val="clear" w:color="auto" w:fill="auto"/>
            <w:hideMark/>
          </w:tcPr>
          <w:p w14:paraId="092E1E3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45</w:t>
            </w:r>
          </w:p>
        </w:tc>
        <w:tc>
          <w:tcPr>
            <w:tcW w:w="520" w:type="dxa"/>
            <w:tcBorders>
              <w:top w:val="nil"/>
              <w:left w:val="nil"/>
              <w:bottom w:val="single" w:sz="4" w:space="0" w:color="auto"/>
              <w:right w:val="single" w:sz="4" w:space="0" w:color="auto"/>
            </w:tcBorders>
            <w:shd w:val="clear" w:color="auto" w:fill="auto"/>
            <w:hideMark/>
          </w:tcPr>
          <w:p w14:paraId="49490A7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1222D70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45</w:t>
            </w:r>
          </w:p>
        </w:tc>
        <w:tc>
          <w:tcPr>
            <w:tcW w:w="780" w:type="dxa"/>
            <w:tcBorders>
              <w:top w:val="nil"/>
              <w:left w:val="nil"/>
              <w:bottom w:val="single" w:sz="4" w:space="0" w:color="auto"/>
              <w:right w:val="single" w:sz="4" w:space="0" w:color="auto"/>
            </w:tcBorders>
            <w:shd w:val="clear" w:color="auto" w:fill="auto"/>
            <w:hideMark/>
          </w:tcPr>
          <w:p w14:paraId="5D9F63E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$16,801</w:t>
            </w:r>
          </w:p>
        </w:tc>
        <w:tc>
          <w:tcPr>
            <w:tcW w:w="940" w:type="dxa"/>
            <w:tcBorders>
              <w:top w:val="nil"/>
              <w:left w:val="single" w:sz="4" w:space="0" w:color="auto"/>
              <w:bottom w:val="single" w:sz="4" w:space="0" w:color="auto"/>
              <w:right w:val="nil"/>
            </w:tcBorders>
            <w:shd w:val="clear" w:color="auto" w:fill="auto"/>
            <w:hideMark/>
          </w:tcPr>
          <w:p w14:paraId="46C7AE1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$16,800.75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56F86A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528D484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521CA1A7"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6679972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Library</w:t>
            </w:r>
          </w:p>
        </w:tc>
        <w:tc>
          <w:tcPr>
            <w:tcW w:w="500" w:type="dxa"/>
            <w:tcBorders>
              <w:top w:val="nil"/>
              <w:left w:val="nil"/>
              <w:bottom w:val="single" w:sz="4" w:space="0" w:color="auto"/>
              <w:right w:val="single" w:sz="4" w:space="0" w:color="auto"/>
            </w:tcBorders>
            <w:shd w:val="clear" w:color="auto" w:fill="auto"/>
            <w:hideMark/>
          </w:tcPr>
          <w:p w14:paraId="61A7D9E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45</w:t>
            </w:r>
          </w:p>
        </w:tc>
        <w:tc>
          <w:tcPr>
            <w:tcW w:w="520" w:type="dxa"/>
            <w:tcBorders>
              <w:top w:val="nil"/>
              <w:left w:val="nil"/>
              <w:bottom w:val="single" w:sz="4" w:space="0" w:color="auto"/>
              <w:right w:val="single" w:sz="4" w:space="0" w:color="auto"/>
            </w:tcBorders>
            <w:shd w:val="clear" w:color="auto" w:fill="auto"/>
            <w:hideMark/>
          </w:tcPr>
          <w:p w14:paraId="7F604C7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2C6326C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45</w:t>
            </w:r>
          </w:p>
        </w:tc>
        <w:tc>
          <w:tcPr>
            <w:tcW w:w="780" w:type="dxa"/>
            <w:tcBorders>
              <w:top w:val="nil"/>
              <w:left w:val="nil"/>
              <w:bottom w:val="single" w:sz="4" w:space="0" w:color="auto"/>
              <w:right w:val="single" w:sz="4" w:space="0" w:color="auto"/>
            </w:tcBorders>
            <w:shd w:val="clear" w:color="auto" w:fill="auto"/>
            <w:hideMark/>
          </w:tcPr>
          <w:p w14:paraId="72D2C81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$16,801</w:t>
            </w:r>
          </w:p>
        </w:tc>
        <w:tc>
          <w:tcPr>
            <w:tcW w:w="940" w:type="dxa"/>
            <w:tcBorders>
              <w:top w:val="nil"/>
              <w:left w:val="single" w:sz="4" w:space="0" w:color="auto"/>
              <w:bottom w:val="single" w:sz="4" w:space="0" w:color="auto"/>
              <w:right w:val="nil"/>
            </w:tcBorders>
            <w:shd w:val="clear" w:color="auto" w:fill="auto"/>
            <w:hideMark/>
          </w:tcPr>
          <w:p w14:paraId="1B536F4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$16,800.75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AE1BF8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717C8C3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085906F8"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2F72650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Administrative booth/reception</w:t>
            </w:r>
          </w:p>
        </w:tc>
        <w:tc>
          <w:tcPr>
            <w:tcW w:w="500" w:type="dxa"/>
            <w:tcBorders>
              <w:top w:val="nil"/>
              <w:left w:val="nil"/>
              <w:bottom w:val="single" w:sz="4" w:space="0" w:color="auto"/>
              <w:right w:val="single" w:sz="4" w:space="0" w:color="auto"/>
            </w:tcBorders>
            <w:shd w:val="clear" w:color="auto" w:fill="auto"/>
            <w:hideMark/>
          </w:tcPr>
          <w:p w14:paraId="529988F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27</w:t>
            </w:r>
          </w:p>
        </w:tc>
        <w:tc>
          <w:tcPr>
            <w:tcW w:w="520" w:type="dxa"/>
            <w:tcBorders>
              <w:top w:val="nil"/>
              <w:left w:val="nil"/>
              <w:bottom w:val="single" w:sz="4" w:space="0" w:color="auto"/>
              <w:right w:val="single" w:sz="4" w:space="0" w:color="auto"/>
            </w:tcBorders>
            <w:shd w:val="clear" w:color="auto" w:fill="auto"/>
            <w:hideMark/>
          </w:tcPr>
          <w:p w14:paraId="67284F0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106BF36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27</w:t>
            </w:r>
          </w:p>
        </w:tc>
        <w:tc>
          <w:tcPr>
            <w:tcW w:w="780" w:type="dxa"/>
            <w:tcBorders>
              <w:top w:val="nil"/>
              <w:left w:val="nil"/>
              <w:bottom w:val="single" w:sz="4" w:space="0" w:color="auto"/>
              <w:right w:val="single" w:sz="4" w:space="0" w:color="auto"/>
            </w:tcBorders>
            <w:shd w:val="clear" w:color="auto" w:fill="auto"/>
            <w:hideMark/>
          </w:tcPr>
          <w:p w14:paraId="186614B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$10,080</w:t>
            </w:r>
          </w:p>
        </w:tc>
        <w:tc>
          <w:tcPr>
            <w:tcW w:w="940" w:type="dxa"/>
            <w:tcBorders>
              <w:top w:val="nil"/>
              <w:left w:val="single" w:sz="4" w:space="0" w:color="auto"/>
              <w:bottom w:val="single" w:sz="4" w:space="0" w:color="auto"/>
              <w:right w:val="nil"/>
            </w:tcBorders>
            <w:shd w:val="clear" w:color="auto" w:fill="auto"/>
            <w:hideMark/>
          </w:tcPr>
          <w:p w14:paraId="1F36210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$10,080.45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A9CD96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6E4C836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284FF4CD"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5A6D0CC4"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 xml:space="preserve">c) Staff costs </w:t>
            </w:r>
            <w:r w:rsidRPr="00717D19">
              <w:rPr>
                <w:rFonts w:ascii="Calibri" w:eastAsia="Times New Roman" w:hAnsi="Calibri" w:cs="Arial"/>
                <w:i/>
                <w:iCs/>
                <w:spacing w:val="0"/>
                <w:w w:val="100"/>
                <w:kern w:val="0"/>
                <w:sz w:val="16"/>
                <w:szCs w:val="16"/>
                <w:vertAlign w:val="superscript"/>
                <w:lang w:eastAsia="zh-CN"/>
              </w:rPr>
              <w:t>3</w:t>
            </w:r>
          </w:p>
        </w:tc>
        <w:tc>
          <w:tcPr>
            <w:tcW w:w="940" w:type="dxa"/>
            <w:tcBorders>
              <w:top w:val="nil"/>
              <w:left w:val="single" w:sz="4" w:space="0" w:color="auto"/>
              <w:bottom w:val="single" w:sz="4" w:space="0" w:color="auto"/>
              <w:right w:val="nil"/>
            </w:tcBorders>
            <w:shd w:val="clear" w:color="auto" w:fill="auto"/>
            <w:noWrap/>
            <w:vAlign w:val="bottom"/>
            <w:hideMark/>
          </w:tcPr>
          <w:p w14:paraId="248FAFA5"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$2,380,500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7520AC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617388B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71E5B5C8"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1E6F11A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Executive Director (D2 level) </w:t>
            </w:r>
          </w:p>
        </w:tc>
        <w:tc>
          <w:tcPr>
            <w:tcW w:w="500" w:type="dxa"/>
            <w:tcBorders>
              <w:top w:val="nil"/>
              <w:left w:val="nil"/>
              <w:bottom w:val="single" w:sz="4" w:space="0" w:color="auto"/>
              <w:right w:val="single" w:sz="4" w:space="0" w:color="auto"/>
            </w:tcBorders>
            <w:shd w:val="clear" w:color="auto" w:fill="auto"/>
            <w:hideMark/>
          </w:tcPr>
          <w:p w14:paraId="2605CBF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476EFD2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07F2980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00BE729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$231,400</w:t>
            </w:r>
          </w:p>
        </w:tc>
        <w:tc>
          <w:tcPr>
            <w:tcW w:w="940" w:type="dxa"/>
            <w:tcBorders>
              <w:top w:val="nil"/>
              <w:left w:val="single" w:sz="4" w:space="0" w:color="auto"/>
              <w:bottom w:val="single" w:sz="4" w:space="0" w:color="auto"/>
              <w:right w:val="nil"/>
            </w:tcBorders>
            <w:shd w:val="clear" w:color="auto" w:fill="auto"/>
            <w:hideMark/>
          </w:tcPr>
          <w:p w14:paraId="253E2FD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$231,400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DBD4A8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41E10E1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1202C219"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147BB36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Lawyers, senior level (P5) </w:t>
            </w:r>
            <w:r w:rsidRPr="00717D19">
              <w:rPr>
                <w:rFonts w:ascii="Calibri" w:eastAsia="Times New Roman" w:hAnsi="Calibri" w:cs="Arial"/>
                <w:spacing w:val="0"/>
                <w:w w:val="100"/>
                <w:kern w:val="0"/>
                <w:sz w:val="16"/>
                <w:szCs w:val="16"/>
                <w:vertAlign w:val="superscript"/>
                <w:lang w:eastAsia="zh-CN"/>
              </w:rPr>
              <w:t>4</w:t>
            </w:r>
          </w:p>
        </w:tc>
        <w:tc>
          <w:tcPr>
            <w:tcW w:w="500" w:type="dxa"/>
            <w:tcBorders>
              <w:top w:val="nil"/>
              <w:left w:val="nil"/>
              <w:bottom w:val="single" w:sz="4" w:space="0" w:color="auto"/>
              <w:right w:val="single" w:sz="4" w:space="0" w:color="auto"/>
            </w:tcBorders>
            <w:shd w:val="clear" w:color="auto" w:fill="auto"/>
            <w:hideMark/>
          </w:tcPr>
          <w:p w14:paraId="689EC9C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2EB033E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w:t>
            </w:r>
          </w:p>
        </w:tc>
        <w:tc>
          <w:tcPr>
            <w:tcW w:w="540" w:type="dxa"/>
            <w:tcBorders>
              <w:top w:val="nil"/>
              <w:left w:val="nil"/>
              <w:bottom w:val="single" w:sz="4" w:space="0" w:color="auto"/>
              <w:right w:val="single" w:sz="4" w:space="0" w:color="auto"/>
            </w:tcBorders>
            <w:shd w:val="clear" w:color="auto" w:fill="auto"/>
            <w:hideMark/>
          </w:tcPr>
          <w:p w14:paraId="38C3355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33E285C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$195,800</w:t>
            </w:r>
          </w:p>
        </w:tc>
        <w:tc>
          <w:tcPr>
            <w:tcW w:w="940" w:type="dxa"/>
            <w:tcBorders>
              <w:top w:val="nil"/>
              <w:left w:val="single" w:sz="4" w:space="0" w:color="auto"/>
              <w:bottom w:val="single" w:sz="4" w:space="0" w:color="auto"/>
              <w:right w:val="nil"/>
            </w:tcBorders>
            <w:shd w:val="clear" w:color="auto" w:fill="auto"/>
            <w:hideMark/>
          </w:tcPr>
          <w:p w14:paraId="1432F318"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$587,400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1A4A45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2441F93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40DE7886"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0EDCF58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Lawyers, upper medium level (P4)  </w:t>
            </w:r>
          </w:p>
        </w:tc>
        <w:tc>
          <w:tcPr>
            <w:tcW w:w="500" w:type="dxa"/>
            <w:tcBorders>
              <w:top w:val="nil"/>
              <w:left w:val="nil"/>
              <w:bottom w:val="single" w:sz="4" w:space="0" w:color="auto"/>
              <w:right w:val="single" w:sz="4" w:space="0" w:color="auto"/>
            </w:tcBorders>
            <w:shd w:val="clear" w:color="auto" w:fill="auto"/>
            <w:hideMark/>
          </w:tcPr>
          <w:p w14:paraId="4DC37C2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F7F4A1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w:t>
            </w:r>
          </w:p>
        </w:tc>
        <w:tc>
          <w:tcPr>
            <w:tcW w:w="540" w:type="dxa"/>
            <w:tcBorders>
              <w:top w:val="nil"/>
              <w:left w:val="nil"/>
              <w:bottom w:val="single" w:sz="4" w:space="0" w:color="auto"/>
              <w:right w:val="single" w:sz="4" w:space="0" w:color="auto"/>
            </w:tcBorders>
            <w:shd w:val="clear" w:color="auto" w:fill="auto"/>
            <w:hideMark/>
          </w:tcPr>
          <w:p w14:paraId="314A02A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7F54F0F8"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$166,600</w:t>
            </w:r>
          </w:p>
        </w:tc>
        <w:tc>
          <w:tcPr>
            <w:tcW w:w="940" w:type="dxa"/>
            <w:tcBorders>
              <w:top w:val="nil"/>
              <w:left w:val="single" w:sz="4" w:space="0" w:color="auto"/>
              <w:bottom w:val="single" w:sz="4" w:space="0" w:color="auto"/>
              <w:right w:val="nil"/>
            </w:tcBorders>
            <w:shd w:val="clear" w:color="auto" w:fill="auto"/>
            <w:hideMark/>
          </w:tcPr>
          <w:p w14:paraId="78AD69A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$499,800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FBB2CC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3AB15A3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76FC4098"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31C27B4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Lawyers, medium level (P3)</w:t>
            </w:r>
            <w:r w:rsidRPr="00717D19">
              <w:rPr>
                <w:rFonts w:ascii="Calibri" w:eastAsia="Times New Roman" w:hAnsi="Calibri" w:cs="Arial"/>
                <w:spacing w:val="0"/>
                <w:w w:val="100"/>
                <w:kern w:val="0"/>
                <w:sz w:val="16"/>
                <w:szCs w:val="16"/>
                <w:vertAlign w:val="superscript"/>
                <w:lang w:eastAsia="zh-CN"/>
              </w:rPr>
              <w:t xml:space="preserve"> 4</w:t>
            </w:r>
          </w:p>
        </w:tc>
        <w:tc>
          <w:tcPr>
            <w:tcW w:w="500" w:type="dxa"/>
            <w:tcBorders>
              <w:top w:val="nil"/>
              <w:left w:val="nil"/>
              <w:bottom w:val="single" w:sz="4" w:space="0" w:color="auto"/>
              <w:right w:val="single" w:sz="4" w:space="0" w:color="auto"/>
            </w:tcBorders>
            <w:shd w:val="clear" w:color="auto" w:fill="auto"/>
            <w:hideMark/>
          </w:tcPr>
          <w:p w14:paraId="0D00416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DD950B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w:t>
            </w:r>
          </w:p>
        </w:tc>
        <w:tc>
          <w:tcPr>
            <w:tcW w:w="540" w:type="dxa"/>
            <w:tcBorders>
              <w:top w:val="nil"/>
              <w:left w:val="nil"/>
              <w:bottom w:val="single" w:sz="4" w:space="0" w:color="auto"/>
              <w:right w:val="single" w:sz="4" w:space="0" w:color="auto"/>
            </w:tcBorders>
            <w:shd w:val="clear" w:color="auto" w:fill="auto"/>
            <w:hideMark/>
          </w:tcPr>
          <w:p w14:paraId="74F9C5C8"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2D2572E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$136,700</w:t>
            </w:r>
          </w:p>
        </w:tc>
        <w:tc>
          <w:tcPr>
            <w:tcW w:w="940" w:type="dxa"/>
            <w:tcBorders>
              <w:top w:val="nil"/>
              <w:left w:val="single" w:sz="4" w:space="0" w:color="auto"/>
              <w:bottom w:val="single" w:sz="4" w:space="0" w:color="auto"/>
              <w:right w:val="nil"/>
            </w:tcBorders>
            <w:shd w:val="clear" w:color="auto" w:fill="auto"/>
            <w:hideMark/>
          </w:tcPr>
          <w:p w14:paraId="10B6F63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$410,100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61183E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78FF58B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77CB08CE"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464703D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Lawyers, junior level (P2) </w:t>
            </w:r>
          </w:p>
        </w:tc>
        <w:tc>
          <w:tcPr>
            <w:tcW w:w="500" w:type="dxa"/>
            <w:tcBorders>
              <w:top w:val="nil"/>
              <w:left w:val="nil"/>
              <w:bottom w:val="single" w:sz="4" w:space="0" w:color="auto"/>
              <w:right w:val="single" w:sz="4" w:space="0" w:color="auto"/>
            </w:tcBorders>
            <w:shd w:val="clear" w:color="auto" w:fill="auto"/>
            <w:hideMark/>
          </w:tcPr>
          <w:p w14:paraId="2D6A923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6C7721C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w:t>
            </w:r>
          </w:p>
        </w:tc>
        <w:tc>
          <w:tcPr>
            <w:tcW w:w="540" w:type="dxa"/>
            <w:tcBorders>
              <w:top w:val="nil"/>
              <w:left w:val="nil"/>
              <w:bottom w:val="single" w:sz="4" w:space="0" w:color="auto"/>
              <w:right w:val="single" w:sz="4" w:space="0" w:color="auto"/>
            </w:tcBorders>
            <w:shd w:val="clear" w:color="auto" w:fill="auto"/>
            <w:hideMark/>
          </w:tcPr>
          <w:p w14:paraId="315820D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1CF1C07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$112,700</w:t>
            </w:r>
          </w:p>
        </w:tc>
        <w:tc>
          <w:tcPr>
            <w:tcW w:w="940" w:type="dxa"/>
            <w:tcBorders>
              <w:top w:val="nil"/>
              <w:left w:val="single" w:sz="4" w:space="0" w:color="auto"/>
              <w:bottom w:val="single" w:sz="4" w:space="0" w:color="auto"/>
              <w:right w:val="nil"/>
            </w:tcBorders>
            <w:shd w:val="clear" w:color="auto" w:fill="auto"/>
            <w:hideMark/>
          </w:tcPr>
          <w:p w14:paraId="01704FB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$225,400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CAF272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767EC15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148AE5A1"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431DB2A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Secondment trainees (P2)</w:t>
            </w:r>
          </w:p>
        </w:tc>
        <w:tc>
          <w:tcPr>
            <w:tcW w:w="500" w:type="dxa"/>
            <w:tcBorders>
              <w:top w:val="nil"/>
              <w:left w:val="nil"/>
              <w:bottom w:val="single" w:sz="4" w:space="0" w:color="auto"/>
              <w:right w:val="single" w:sz="4" w:space="0" w:color="auto"/>
            </w:tcBorders>
            <w:shd w:val="clear" w:color="auto" w:fill="auto"/>
            <w:hideMark/>
          </w:tcPr>
          <w:p w14:paraId="655BBF8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0BD0935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w:t>
            </w:r>
          </w:p>
        </w:tc>
        <w:tc>
          <w:tcPr>
            <w:tcW w:w="540" w:type="dxa"/>
            <w:tcBorders>
              <w:top w:val="nil"/>
              <w:left w:val="nil"/>
              <w:bottom w:val="single" w:sz="4" w:space="0" w:color="auto"/>
              <w:right w:val="single" w:sz="4" w:space="0" w:color="auto"/>
            </w:tcBorders>
            <w:shd w:val="clear" w:color="auto" w:fill="auto"/>
            <w:hideMark/>
          </w:tcPr>
          <w:p w14:paraId="5BB12188"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35604FB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$112,700</w:t>
            </w:r>
          </w:p>
        </w:tc>
        <w:tc>
          <w:tcPr>
            <w:tcW w:w="940" w:type="dxa"/>
            <w:tcBorders>
              <w:top w:val="nil"/>
              <w:left w:val="single" w:sz="4" w:space="0" w:color="auto"/>
              <w:bottom w:val="single" w:sz="4" w:space="0" w:color="auto"/>
              <w:right w:val="nil"/>
            </w:tcBorders>
            <w:shd w:val="clear" w:color="auto" w:fill="auto"/>
            <w:hideMark/>
          </w:tcPr>
          <w:p w14:paraId="4ADE521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$338,100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DFFB11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653A9C4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0D5C207E"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2F98190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Administrative staff (G4-G6)</w:t>
            </w:r>
          </w:p>
        </w:tc>
        <w:tc>
          <w:tcPr>
            <w:tcW w:w="500" w:type="dxa"/>
            <w:tcBorders>
              <w:top w:val="nil"/>
              <w:left w:val="nil"/>
              <w:bottom w:val="single" w:sz="4" w:space="0" w:color="auto"/>
              <w:right w:val="single" w:sz="4" w:space="0" w:color="auto"/>
            </w:tcBorders>
            <w:shd w:val="clear" w:color="auto" w:fill="auto"/>
            <w:hideMark/>
          </w:tcPr>
          <w:p w14:paraId="7905A6B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68DAA88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277F42D8"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5834141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$88,300</w:t>
            </w:r>
          </w:p>
        </w:tc>
        <w:tc>
          <w:tcPr>
            <w:tcW w:w="940" w:type="dxa"/>
            <w:tcBorders>
              <w:top w:val="nil"/>
              <w:left w:val="single" w:sz="4" w:space="0" w:color="auto"/>
              <w:bottom w:val="single" w:sz="4" w:space="0" w:color="auto"/>
              <w:right w:val="nil"/>
            </w:tcBorders>
            <w:shd w:val="clear" w:color="auto" w:fill="auto"/>
            <w:hideMark/>
          </w:tcPr>
          <w:p w14:paraId="60F4667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$88,300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B0CADF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507AAD6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707C57F8"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225738D9"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d) Services and supplies</w:t>
            </w:r>
          </w:p>
        </w:tc>
        <w:tc>
          <w:tcPr>
            <w:tcW w:w="500" w:type="dxa"/>
            <w:tcBorders>
              <w:top w:val="nil"/>
              <w:left w:val="nil"/>
              <w:bottom w:val="single" w:sz="4" w:space="0" w:color="auto"/>
              <w:right w:val="single" w:sz="4" w:space="0" w:color="auto"/>
            </w:tcBorders>
            <w:shd w:val="clear" w:color="auto" w:fill="auto"/>
            <w:hideMark/>
          </w:tcPr>
          <w:p w14:paraId="072CA3B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69176E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40" w:type="dxa"/>
            <w:tcBorders>
              <w:top w:val="nil"/>
              <w:left w:val="nil"/>
              <w:bottom w:val="single" w:sz="4" w:space="0" w:color="auto"/>
              <w:right w:val="single" w:sz="4" w:space="0" w:color="auto"/>
            </w:tcBorders>
            <w:shd w:val="clear" w:color="auto" w:fill="auto"/>
            <w:hideMark/>
          </w:tcPr>
          <w:p w14:paraId="258A4F9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461BE9A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single" w:sz="4" w:space="0" w:color="auto"/>
              <w:bottom w:val="single" w:sz="4" w:space="0" w:color="auto"/>
              <w:right w:val="nil"/>
            </w:tcBorders>
            <w:shd w:val="clear" w:color="auto" w:fill="auto"/>
            <w:noWrap/>
            <w:vAlign w:val="bottom"/>
            <w:hideMark/>
          </w:tcPr>
          <w:p w14:paraId="37DFCCC4"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$806,000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FBF42E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0776B7F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6E8F146F"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6D47ABB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ICT hardware and software support, server hosting</w:t>
            </w:r>
          </w:p>
        </w:tc>
        <w:tc>
          <w:tcPr>
            <w:tcW w:w="500" w:type="dxa"/>
            <w:tcBorders>
              <w:top w:val="nil"/>
              <w:left w:val="nil"/>
              <w:bottom w:val="single" w:sz="4" w:space="0" w:color="auto"/>
              <w:right w:val="single" w:sz="4" w:space="0" w:color="auto"/>
            </w:tcBorders>
            <w:shd w:val="clear" w:color="auto" w:fill="auto"/>
            <w:hideMark/>
          </w:tcPr>
          <w:p w14:paraId="7194928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6BC644A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w:t>
            </w:r>
          </w:p>
        </w:tc>
        <w:tc>
          <w:tcPr>
            <w:tcW w:w="540" w:type="dxa"/>
            <w:tcBorders>
              <w:top w:val="nil"/>
              <w:left w:val="nil"/>
              <w:bottom w:val="single" w:sz="4" w:space="0" w:color="auto"/>
              <w:right w:val="single" w:sz="4" w:space="0" w:color="auto"/>
            </w:tcBorders>
            <w:shd w:val="clear" w:color="auto" w:fill="auto"/>
            <w:hideMark/>
          </w:tcPr>
          <w:p w14:paraId="304454A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4870FF2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$3,500</w:t>
            </w:r>
          </w:p>
        </w:tc>
        <w:tc>
          <w:tcPr>
            <w:tcW w:w="940" w:type="dxa"/>
            <w:tcBorders>
              <w:top w:val="nil"/>
              <w:left w:val="single" w:sz="4" w:space="0" w:color="auto"/>
              <w:bottom w:val="single" w:sz="4" w:space="0" w:color="auto"/>
              <w:right w:val="nil"/>
            </w:tcBorders>
            <w:shd w:val="clear" w:color="auto" w:fill="auto"/>
            <w:hideMark/>
          </w:tcPr>
          <w:p w14:paraId="31F995F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$42,000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EFB2F4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155164A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3B95E2CD" w14:textId="77777777" w:rsidTr="00717D19">
        <w:trPr>
          <w:trHeight w:val="420"/>
        </w:trPr>
        <w:tc>
          <w:tcPr>
            <w:tcW w:w="4680" w:type="dxa"/>
            <w:tcBorders>
              <w:top w:val="nil"/>
              <w:left w:val="single" w:sz="4" w:space="0" w:color="auto"/>
              <w:bottom w:val="single" w:sz="4" w:space="0" w:color="auto"/>
              <w:right w:val="single" w:sz="4" w:space="0" w:color="auto"/>
            </w:tcBorders>
            <w:shd w:val="clear" w:color="auto" w:fill="auto"/>
            <w:hideMark/>
          </w:tcPr>
          <w:p w14:paraId="020FE84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Software licenses/digital subscriptions (library, electronic communication)</w:t>
            </w:r>
          </w:p>
        </w:tc>
        <w:tc>
          <w:tcPr>
            <w:tcW w:w="500" w:type="dxa"/>
            <w:tcBorders>
              <w:top w:val="nil"/>
              <w:left w:val="nil"/>
              <w:bottom w:val="single" w:sz="4" w:space="0" w:color="auto"/>
              <w:right w:val="single" w:sz="4" w:space="0" w:color="auto"/>
            </w:tcBorders>
            <w:shd w:val="clear" w:color="auto" w:fill="auto"/>
            <w:hideMark/>
          </w:tcPr>
          <w:p w14:paraId="374DB7E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3B947B1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4A4353A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13EE461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$80,000</w:t>
            </w:r>
          </w:p>
        </w:tc>
        <w:tc>
          <w:tcPr>
            <w:tcW w:w="940" w:type="dxa"/>
            <w:tcBorders>
              <w:top w:val="nil"/>
              <w:left w:val="single" w:sz="4" w:space="0" w:color="auto"/>
              <w:bottom w:val="single" w:sz="4" w:space="0" w:color="auto"/>
              <w:right w:val="nil"/>
            </w:tcBorders>
            <w:shd w:val="clear" w:color="auto" w:fill="auto"/>
            <w:hideMark/>
          </w:tcPr>
          <w:p w14:paraId="3704320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6FF330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77560F4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7B9E9AC8"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002AA69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Telephone costs </w:t>
            </w:r>
            <w:r w:rsidRPr="00717D19">
              <w:rPr>
                <w:rFonts w:ascii="Calibri" w:eastAsia="Times New Roman" w:hAnsi="Calibri" w:cs="Arial"/>
                <w:spacing w:val="0"/>
                <w:w w:val="100"/>
                <w:kern w:val="0"/>
                <w:sz w:val="16"/>
                <w:szCs w:val="16"/>
                <w:vertAlign w:val="superscript"/>
                <w:lang w:eastAsia="zh-CN"/>
              </w:rPr>
              <w:t>5</w:t>
            </w:r>
          </w:p>
        </w:tc>
        <w:tc>
          <w:tcPr>
            <w:tcW w:w="500" w:type="dxa"/>
            <w:tcBorders>
              <w:top w:val="nil"/>
              <w:left w:val="nil"/>
              <w:bottom w:val="single" w:sz="4" w:space="0" w:color="auto"/>
              <w:right w:val="single" w:sz="4" w:space="0" w:color="auto"/>
            </w:tcBorders>
            <w:shd w:val="clear" w:color="auto" w:fill="auto"/>
            <w:hideMark/>
          </w:tcPr>
          <w:p w14:paraId="7F46D48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B5577F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w:t>
            </w:r>
          </w:p>
        </w:tc>
        <w:tc>
          <w:tcPr>
            <w:tcW w:w="540" w:type="dxa"/>
            <w:tcBorders>
              <w:top w:val="nil"/>
              <w:left w:val="nil"/>
              <w:bottom w:val="single" w:sz="4" w:space="0" w:color="auto"/>
              <w:right w:val="single" w:sz="4" w:space="0" w:color="auto"/>
            </w:tcBorders>
            <w:shd w:val="clear" w:color="auto" w:fill="auto"/>
            <w:hideMark/>
          </w:tcPr>
          <w:p w14:paraId="78E9583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2AEA030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$9,500</w:t>
            </w:r>
          </w:p>
        </w:tc>
        <w:tc>
          <w:tcPr>
            <w:tcW w:w="940" w:type="dxa"/>
            <w:tcBorders>
              <w:top w:val="nil"/>
              <w:left w:val="single" w:sz="4" w:space="0" w:color="auto"/>
              <w:bottom w:val="single" w:sz="4" w:space="0" w:color="auto"/>
              <w:right w:val="nil"/>
            </w:tcBorders>
            <w:shd w:val="clear" w:color="auto" w:fill="auto"/>
            <w:hideMark/>
          </w:tcPr>
          <w:p w14:paraId="6E82331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$114,000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3EE477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3738082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6FD20FB2"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0EA4F53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Translation costs </w:t>
            </w:r>
            <w:r w:rsidRPr="00717D19">
              <w:rPr>
                <w:rFonts w:ascii="Calibri" w:eastAsia="Times New Roman" w:hAnsi="Calibri" w:cs="Arial"/>
                <w:spacing w:val="0"/>
                <w:w w:val="100"/>
                <w:kern w:val="0"/>
                <w:sz w:val="16"/>
                <w:szCs w:val="16"/>
                <w:vertAlign w:val="superscript"/>
                <w:lang w:eastAsia="zh-CN"/>
              </w:rPr>
              <w:t>5</w:t>
            </w:r>
          </w:p>
        </w:tc>
        <w:tc>
          <w:tcPr>
            <w:tcW w:w="500" w:type="dxa"/>
            <w:tcBorders>
              <w:top w:val="nil"/>
              <w:left w:val="nil"/>
              <w:bottom w:val="single" w:sz="4" w:space="0" w:color="auto"/>
              <w:right w:val="single" w:sz="4" w:space="0" w:color="auto"/>
            </w:tcBorders>
            <w:shd w:val="clear" w:color="auto" w:fill="auto"/>
            <w:hideMark/>
          </w:tcPr>
          <w:p w14:paraId="695F79D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0ED1546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2,000</w:t>
            </w:r>
          </w:p>
        </w:tc>
        <w:tc>
          <w:tcPr>
            <w:tcW w:w="540" w:type="dxa"/>
            <w:tcBorders>
              <w:top w:val="nil"/>
              <w:left w:val="nil"/>
              <w:bottom w:val="single" w:sz="4" w:space="0" w:color="auto"/>
              <w:right w:val="single" w:sz="4" w:space="0" w:color="auto"/>
            </w:tcBorders>
            <w:shd w:val="clear" w:color="auto" w:fill="auto"/>
            <w:hideMark/>
          </w:tcPr>
          <w:p w14:paraId="0F9F57C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6EF6F96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$230</w:t>
            </w:r>
          </w:p>
        </w:tc>
        <w:tc>
          <w:tcPr>
            <w:tcW w:w="940" w:type="dxa"/>
            <w:tcBorders>
              <w:top w:val="nil"/>
              <w:left w:val="single" w:sz="4" w:space="0" w:color="auto"/>
              <w:bottom w:val="single" w:sz="4" w:space="0" w:color="auto"/>
              <w:right w:val="nil"/>
            </w:tcBorders>
            <w:shd w:val="clear" w:color="auto" w:fill="auto"/>
            <w:hideMark/>
          </w:tcPr>
          <w:p w14:paraId="13CBDB2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$460,000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EA2900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0D7C2CD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31185BD1"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68B111B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Stationery and supplies</w:t>
            </w:r>
          </w:p>
        </w:tc>
        <w:tc>
          <w:tcPr>
            <w:tcW w:w="500" w:type="dxa"/>
            <w:tcBorders>
              <w:top w:val="nil"/>
              <w:left w:val="nil"/>
              <w:bottom w:val="single" w:sz="4" w:space="0" w:color="auto"/>
              <w:right w:val="single" w:sz="4" w:space="0" w:color="auto"/>
            </w:tcBorders>
            <w:shd w:val="clear" w:color="auto" w:fill="auto"/>
            <w:hideMark/>
          </w:tcPr>
          <w:p w14:paraId="6C0111E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00190A9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w:t>
            </w:r>
          </w:p>
        </w:tc>
        <w:tc>
          <w:tcPr>
            <w:tcW w:w="540" w:type="dxa"/>
            <w:tcBorders>
              <w:top w:val="nil"/>
              <w:left w:val="nil"/>
              <w:bottom w:val="single" w:sz="4" w:space="0" w:color="auto"/>
              <w:right w:val="single" w:sz="4" w:space="0" w:color="auto"/>
            </w:tcBorders>
            <w:shd w:val="clear" w:color="auto" w:fill="auto"/>
            <w:hideMark/>
          </w:tcPr>
          <w:p w14:paraId="5BB7E88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3961045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w:t>
            </w:r>
          </w:p>
        </w:tc>
        <w:tc>
          <w:tcPr>
            <w:tcW w:w="940" w:type="dxa"/>
            <w:tcBorders>
              <w:top w:val="nil"/>
              <w:left w:val="single" w:sz="4" w:space="0" w:color="auto"/>
              <w:bottom w:val="single" w:sz="4" w:space="0" w:color="auto"/>
              <w:right w:val="nil"/>
            </w:tcBorders>
            <w:shd w:val="clear" w:color="auto" w:fill="auto"/>
            <w:hideMark/>
          </w:tcPr>
          <w:p w14:paraId="59F0A85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077F66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1535194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1EC3E495"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0E8732C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Photocopying/printing equipment rental and maintenance </w:t>
            </w:r>
          </w:p>
        </w:tc>
        <w:tc>
          <w:tcPr>
            <w:tcW w:w="500" w:type="dxa"/>
            <w:tcBorders>
              <w:top w:val="nil"/>
              <w:left w:val="nil"/>
              <w:bottom w:val="single" w:sz="4" w:space="0" w:color="auto"/>
              <w:right w:val="single" w:sz="4" w:space="0" w:color="auto"/>
            </w:tcBorders>
            <w:shd w:val="clear" w:color="auto" w:fill="auto"/>
            <w:hideMark/>
          </w:tcPr>
          <w:p w14:paraId="73B420A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60555768"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w:t>
            </w:r>
          </w:p>
        </w:tc>
        <w:tc>
          <w:tcPr>
            <w:tcW w:w="540" w:type="dxa"/>
            <w:tcBorders>
              <w:top w:val="nil"/>
              <w:left w:val="nil"/>
              <w:bottom w:val="single" w:sz="4" w:space="0" w:color="auto"/>
              <w:right w:val="single" w:sz="4" w:space="0" w:color="auto"/>
            </w:tcBorders>
            <w:shd w:val="clear" w:color="auto" w:fill="auto"/>
            <w:hideMark/>
          </w:tcPr>
          <w:p w14:paraId="450723F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3DFADBB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w:t>
            </w:r>
          </w:p>
        </w:tc>
        <w:tc>
          <w:tcPr>
            <w:tcW w:w="940" w:type="dxa"/>
            <w:tcBorders>
              <w:top w:val="nil"/>
              <w:left w:val="single" w:sz="4" w:space="0" w:color="auto"/>
              <w:bottom w:val="single" w:sz="4" w:space="0" w:color="auto"/>
              <w:right w:val="nil"/>
            </w:tcBorders>
            <w:shd w:val="clear" w:color="auto" w:fill="auto"/>
            <w:hideMark/>
          </w:tcPr>
          <w:p w14:paraId="5BCC15C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F6B8D3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1C164E3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1822A1BE"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5C24F5F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lastRenderedPageBreak/>
              <w:t>Website hosting and maintenance</w:t>
            </w:r>
          </w:p>
        </w:tc>
        <w:tc>
          <w:tcPr>
            <w:tcW w:w="500" w:type="dxa"/>
            <w:tcBorders>
              <w:top w:val="nil"/>
              <w:left w:val="nil"/>
              <w:bottom w:val="single" w:sz="4" w:space="0" w:color="auto"/>
              <w:right w:val="single" w:sz="4" w:space="0" w:color="auto"/>
            </w:tcBorders>
            <w:shd w:val="clear" w:color="auto" w:fill="auto"/>
            <w:hideMark/>
          </w:tcPr>
          <w:p w14:paraId="10FD6D7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655D021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3C25E50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14CF172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$25,000</w:t>
            </w:r>
          </w:p>
        </w:tc>
        <w:tc>
          <w:tcPr>
            <w:tcW w:w="940" w:type="dxa"/>
            <w:tcBorders>
              <w:top w:val="nil"/>
              <w:left w:val="single" w:sz="4" w:space="0" w:color="auto"/>
              <w:bottom w:val="single" w:sz="4" w:space="0" w:color="auto"/>
              <w:right w:val="nil"/>
            </w:tcBorders>
            <w:shd w:val="clear" w:color="auto" w:fill="auto"/>
            <w:hideMark/>
          </w:tcPr>
          <w:p w14:paraId="67B7169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5E9A0C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1EC8CB0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2B2E66B6" w14:textId="77777777" w:rsidTr="00717D19">
        <w:trPr>
          <w:trHeight w:val="240"/>
        </w:trPr>
        <w:tc>
          <w:tcPr>
            <w:tcW w:w="4680" w:type="dxa"/>
            <w:tcBorders>
              <w:top w:val="nil"/>
              <w:left w:val="single" w:sz="4" w:space="0" w:color="auto"/>
              <w:bottom w:val="single" w:sz="4" w:space="0" w:color="auto"/>
              <w:right w:val="nil"/>
            </w:tcBorders>
            <w:shd w:val="clear" w:color="auto" w:fill="auto"/>
            <w:noWrap/>
            <w:vAlign w:val="bottom"/>
            <w:hideMark/>
          </w:tcPr>
          <w:p w14:paraId="03A3BEB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Database </w:t>
            </w:r>
            <w:proofErr w:type="spellStart"/>
            <w:r w:rsidRPr="00717D19">
              <w:rPr>
                <w:rFonts w:ascii="Calibri" w:eastAsia="Times New Roman" w:hAnsi="Calibri" w:cs="Arial"/>
                <w:spacing w:val="0"/>
                <w:w w:val="100"/>
                <w:kern w:val="0"/>
                <w:sz w:val="16"/>
                <w:szCs w:val="16"/>
                <w:lang w:eastAsia="zh-CN"/>
              </w:rPr>
              <w:t>developmet</w:t>
            </w:r>
            <w:proofErr w:type="spellEnd"/>
            <w:r w:rsidRPr="00717D19">
              <w:rPr>
                <w:rFonts w:ascii="Calibri" w:eastAsia="Times New Roman" w:hAnsi="Calibri" w:cs="Arial"/>
                <w:spacing w:val="0"/>
                <w:w w:val="100"/>
                <w:kern w:val="0"/>
                <w:sz w:val="16"/>
                <w:szCs w:val="16"/>
                <w:lang w:eastAsia="zh-CN"/>
              </w:rPr>
              <w:t xml:space="preserve"> "Collection best practices"</w:t>
            </w:r>
          </w:p>
        </w:tc>
        <w:tc>
          <w:tcPr>
            <w:tcW w:w="500" w:type="dxa"/>
            <w:tcBorders>
              <w:top w:val="nil"/>
              <w:left w:val="nil"/>
              <w:bottom w:val="single" w:sz="4" w:space="0" w:color="auto"/>
              <w:right w:val="nil"/>
            </w:tcBorders>
            <w:shd w:val="clear" w:color="auto" w:fill="auto"/>
            <w:noWrap/>
            <w:vAlign w:val="bottom"/>
            <w:hideMark/>
          </w:tcPr>
          <w:p w14:paraId="3BD7E09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nil"/>
            </w:tcBorders>
            <w:shd w:val="clear" w:color="auto" w:fill="auto"/>
            <w:noWrap/>
            <w:vAlign w:val="bottom"/>
            <w:hideMark/>
          </w:tcPr>
          <w:p w14:paraId="63CF316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nil"/>
            </w:tcBorders>
            <w:shd w:val="clear" w:color="auto" w:fill="auto"/>
            <w:noWrap/>
            <w:vAlign w:val="bottom"/>
            <w:hideMark/>
          </w:tcPr>
          <w:p w14:paraId="1EA8347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35F245A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$25,000</w:t>
            </w:r>
          </w:p>
        </w:tc>
        <w:tc>
          <w:tcPr>
            <w:tcW w:w="940" w:type="dxa"/>
            <w:tcBorders>
              <w:top w:val="nil"/>
              <w:left w:val="single" w:sz="4" w:space="0" w:color="auto"/>
              <w:bottom w:val="single" w:sz="4" w:space="0" w:color="auto"/>
              <w:right w:val="nil"/>
            </w:tcBorders>
            <w:shd w:val="clear" w:color="auto" w:fill="auto"/>
            <w:hideMark/>
          </w:tcPr>
          <w:p w14:paraId="2A65D70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FF7017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61FFBE2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6F756C91"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2E2722B8"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d) Travel</w:t>
            </w:r>
          </w:p>
        </w:tc>
        <w:tc>
          <w:tcPr>
            <w:tcW w:w="500" w:type="dxa"/>
            <w:tcBorders>
              <w:top w:val="nil"/>
              <w:left w:val="nil"/>
              <w:bottom w:val="single" w:sz="4" w:space="0" w:color="auto"/>
              <w:right w:val="single" w:sz="4" w:space="0" w:color="auto"/>
            </w:tcBorders>
            <w:shd w:val="clear" w:color="auto" w:fill="auto"/>
            <w:hideMark/>
          </w:tcPr>
          <w:p w14:paraId="2E6BB51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750E77A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40" w:type="dxa"/>
            <w:tcBorders>
              <w:top w:val="nil"/>
              <w:left w:val="nil"/>
              <w:bottom w:val="single" w:sz="4" w:space="0" w:color="auto"/>
              <w:right w:val="single" w:sz="4" w:space="0" w:color="auto"/>
            </w:tcBorders>
            <w:shd w:val="clear" w:color="auto" w:fill="auto"/>
            <w:hideMark/>
          </w:tcPr>
          <w:p w14:paraId="47108AF8"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60B0358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single" w:sz="4" w:space="0" w:color="auto"/>
              <w:bottom w:val="single" w:sz="4" w:space="0" w:color="auto"/>
              <w:right w:val="nil"/>
            </w:tcBorders>
            <w:shd w:val="clear" w:color="auto" w:fill="auto"/>
            <w:hideMark/>
          </w:tcPr>
          <w:p w14:paraId="6301F898"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$400,000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DAAD1C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7D3EDB7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37110ED4"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06D2F3E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Travel costs</w:t>
            </w:r>
          </w:p>
        </w:tc>
        <w:tc>
          <w:tcPr>
            <w:tcW w:w="500" w:type="dxa"/>
            <w:tcBorders>
              <w:top w:val="nil"/>
              <w:left w:val="nil"/>
              <w:bottom w:val="single" w:sz="4" w:space="0" w:color="auto"/>
              <w:right w:val="single" w:sz="4" w:space="0" w:color="auto"/>
            </w:tcBorders>
            <w:shd w:val="clear" w:color="auto" w:fill="auto"/>
            <w:hideMark/>
          </w:tcPr>
          <w:p w14:paraId="65E2ECA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4D9DD4C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3AF8B7C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72AF0CD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400,000</w:t>
            </w:r>
          </w:p>
        </w:tc>
        <w:tc>
          <w:tcPr>
            <w:tcW w:w="940" w:type="dxa"/>
            <w:tcBorders>
              <w:top w:val="nil"/>
              <w:left w:val="single" w:sz="4" w:space="0" w:color="auto"/>
              <w:bottom w:val="single" w:sz="4" w:space="0" w:color="auto"/>
              <w:right w:val="nil"/>
            </w:tcBorders>
            <w:shd w:val="clear" w:color="auto" w:fill="auto"/>
            <w:hideMark/>
          </w:tcPr>
          <w:p w14:paraId="408C226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$400,000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B11310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260" w:type="dxa"/>
            <w:tcBorders>
              <w:top w:val="nil"/>
              <w:left w:val="nil"/>
              <w:bottom w:val="nil"/>
              <w:right w:val="nil"/>
            </w:tcBorders>
            <w:shd w:val="clear" w:color="auto" w:fill="auto"/>
            <w:noWrap/>
            <w:vAlign w:val="bottom"/>
            <w:hideMark/>
          </w:tcPr>
          <w:p w14:paraId="3D9277F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00362E2A" w14:textId="77777777" w:rsidTr="00717D19">
        <w:trPr>
          <w:trHeight w:val="240"/>
        </w:trPr>
        <w:tc>
          <w:tcPr>
            <w:tcW w:w="4680" w:type="dxa"/>
            <w:tcBorders>
              <w:top w:val="nil"/>
              <w:left w:val="single" w:sz="4" w:space="0" w:color="auto"/>
              <w:bottom w:val="single" w:sz="4" w:space="0" w:color="auto"/>
              <w:right w:val="nil"/>
            </w:tcBorders>
            <w:shd w:val="clear" w:color="000000" w:fill="FFFFFF"/>
            <w:hideMark/>
          </w:tcPr>
          <w:p w14:paraId="2472BB8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Total costs </w:t>
            </w:r>
            <w:r w:rsidRPr="00717D19">
              <w:rPr>
                <w:rFonts w:ascii="Calibri" w:eastAsia="Times New Roman" w:hAnsi="Calibri" w:cs="Arial"/>
                <w:spacing w:val="0"/>
                <w:w w:val="100"/>
                <w:kern w:val="0"/>
                <w:sz w:val="16"/>
                <w:szCs w:val="16"/>
                <w:vertAlign w:val="superscript"/>
                <w:lang w:eastAsia="zh-CN"/>
              </w:rPr>
              <w:t>6</w:t>
            </w:r>
          </w:p>
        </w:tc>
        <w:tc>
          <w:tcPr>
            <w:tcW w:w="500" w:type="dxa"/>
            <w:tcBorders>
              <w:top w:val="nil"/>
              <w:left w:val="nil"/>
              <w:bottom w:val="single" w:sz="4" w:space="0" w:color="auto"/>
              <w:right w:val="nil"/>
            </w:tcBorders>
            <w:shd w:val="clear" w:color="000000" w:fill="FFFFFF"/>
            <w:hideMark/>
          </w:tcPr>
          <w:p w14:paraId="6090DBB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nil"/>
            </w:tcBorders>
            <w:shd w:val="clear" w:color="000000" w:fill="FFFFFF"/>
            <w:hideMark/>
          </w:tcPr>
          <w:p w14:paraId="304A0C1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40" w:type="dxa"/>
            <w:tcBorders>
              <w:top w:val="nil"/>
              <w:left w:val="nil"/>
              <w:bottom w:val="single" w:sz="4" w:space="0" w:color="auto"/>
              <w:right w:val="nil"/>
            </w:tcBorders>
            <w:shd w:val="clear" w:color="000000" w:fill="FFFFFF"/>
            <w:hideMark/>
          </w:tcPr>
          <w:p w14:paraId="23BEBDE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nil"/>
            </w:tcBorders>
            <w:shd w:val="clear" w:color="000000" w:fill="FFFFFF"/>
            <w:hideMark/>
          </w:tcPr>
          <w:p w14:paraId="6788F25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nil"/>
              <w:bottom w:val="single" w:sz="4" w:space="0" w:color="auto"/>
              <w:right w:val="single" w:sz="4" w:space="0" w:color="auto"/>
            </w:tcBorders>
            <w:shd w:val="clear" w:color="000000" w:fill="FFFFFF"/>
            <w:hideMark/>
          </w:tcPr>
          <w:p w14:paraId="0BC57A6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31F66F61"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$3,990,391</w:t>
            </w:r>
          </w:p>
        </w:tc>
        <w:tc>
          <w:tcPr>
            <w:tcW w:w="1260" w:type="dxa"/>
            <w:tcBorders>
              <w:top w:val="nil"/>
              <w:left w:val="nil"/>
              <w:bottom w:val="nil"/>
              <w:right w:val="nil"/>
            </w:tcBorders>
            <w:shd w:val="clear" w:color="auto" w:fill="auto"/>
            <w:noWrap/>
            <w:vAlign w:val="bottom"/>
            <w:hideMark/>
          </w:tcPr>
          <w:p w14:paraId="561BB687"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p>
        </w:tc>
      </w:tr>
      <w:tr w:rsidR="00717D19" w:rsidRPr="00717D19" w14:paraId="78DFAE20" w14:textId="77777777" w:rsidTr="00717D19">
        <w:trPr>
          <w:trHeight w:val="240"/>
        </w:trPr>
        <w:tc>
          <w:tcPr>
            <w:tcW w:w="79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95C1E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Contingency reserve (7.5%)</w:t>
            </w:r>
          </w:p>
        </w:tc>
        <w:tc>
          <w:tcPr>
            <w:tcW w:w="1080" w:type="dxa"/>
            <w:tcBorders>
              <w:top w:val="nil"/>
              <w:left w:val="nil"/>
              <w:bottom w:val="single" w:sz="4" w:space="0" w:color="auto"/>
              <w:right w:val="single" w:sz="4" w:space="0" w:color="auto"/>
            </w:tcBorders>
            <w:shd w:val="clear" w:color="auto" w:fill="auto"/>
            <w:noWrap/>
            <w:vAlign w:val="bottom"/>
            <w:hideMark/>
          </w:tcPr>
          <w:p w14:paraId="413D4B3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$299,279</w:t>
            </w:r>
          </w:p>
        </w:tc>
        <w:tc>
          <w:tcPr>
            <w:tcW w:w="1260" w:type="dxa"/>
            <w:tcBorders>
              <w:top w:val="nil"/>
              <w:left w:val="nil"/>
              <w:bottom w:val="nil"/>
              <w:right w:val="nil"/>
            </w:tcBorders>
            <w:shd w:val="clear" w:color="auto" w:fill="auto"/>
            <w:noWrap/>
            <w:vAlign w:val="bottom"/>
            <w:hideMark/>
          </w:tcPr>
          <w:p w14:paraId="677B1BA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p>
        </w:tc>
      </w:tr>
      <w:tr w:rsidR="00717D19" w:rsidRPr="00717D19" w14:paraId="15BD7F60" w14:textId="77777777" w:rsidTr="00717D19">
        <w:trPr>
          <w:trHeight w:val="330"/>
        </w:trPr>
        <w:tc>
          <w:tcPr>
            <w:tcW w:w="7960"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3827FC22"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TOTAL REQUIREMENTS</w:t>
            </w:r>
          </w:p>
        </w:tc>
        <w:tc>
          <w:tcPr>
            <w:tcW w:w="1080" w:type="dxa"/>
            <w:tcBorders>
              <w:top w:val="nil"/>
              <w:left w:val="nil"/>
              <w:bottom w:val="single" w:sz="4" w:space="0" w:color="auto"/>
              <w:right w:val="single" w:sz="4" w:space="0" w:color="auto"/>
            </w:tcBorders>
            <w:shd w:val="clear" w:color="000000" w:fill="C5D9F1"/>
            <w:noWrap/>
            <w:vAlign w:val="bottom"/>
            <w:hideMark/>
          </w:tcPr>
          <w:p w14:paraId="71007D97"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$4,289,670</w:t>
            </w:r>
          </w:p>
        </w:tc>
        <w:tc>
          <w:tcPr>
            <w:tcW w:w="1260" w:type="dxa"/>
            <w:tcBorders>
              <w:top w:val="nil"/>
              <w:left w:val="nil"/>
              <w:bottom w:val="nil"/>
              <w:right w:val="nil"/>
            </w:tcBorders>
            <w:shd w:val="clear" w:color="auto" w:fill="auto"/>
            <w:noWrap/>
            <w:vAlign w:val="bottom"/>
            <w:hideMark/>
          </w:tcPr>
          <w:p w14:paraId="3ADEF082"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p>
        </w:tc>
      </w:tr>
      <w:tr w:rsidR="00717D19" w:rsidRPr="00717D19" w14:paraId="6B77D888" w14:textId="77777777" w:rsidTr="00717D19">
        <w:trPr>
          <w:trHeight w:val="300"/>
        </w:trPr>
        <w:tc>
          <w:tcPr>
            <w:tcW w:w="7960" w:type="dxa"/>
            <w:gridSpan w:val="6"/>
            <w:tcBorders>
              <w:top w:val="nil"/>
              <w:left w:val="nil"/>
              <w:bottom w:val="nil"/>
              <w:right w:val="nil"/>
            </w:tcBorders>
            <w:shd w:val="clear" w:color="auto" w:fill="auto"/>
            <w:noWrap/>
            <w:vAlign w:val="bottom"/>
            <w:hideMark/>
          </w:tcPr>
          <w:p w14:paraId="21CC38A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vertAlign w:val="superscript"/>
                <w:lang w:eastAsia="zh-CN"/>
              </w:rPr>
              <w:t>1</w:t>
            </w:r>
            <w:r w:rsidRPr="00717D19">
              <w:rPr>
                <w:rFonts w:ascii="Calibri" w:eastAsia="Times New Roman" w:hAnsi="Calibri" w:cs="Arial"/>
                <w:spacing w:val="0"/>
                <w:w w:val="100"/>
                <w:kern w:val="0"/>
                <w:sz w:val="16"/>
                <w:szCs w:val="16"/>
                <w:lang w:eastAsia="zh-CN"/>
              </w:rPr>
              <w:t xml:space="preserve"> Based on 2019 UNOV/UNODC Standard Cost Manual </w:t>
            </w:r>
          </w:p>
        </w:tc>
        <w:tc>
          <w:tcPr>
            <w:tcW w:w="1080" w:type="dxa"/>
            <w:tcBorders>
              <w:top w:val="nil"/>
              <w:left w:val="nil"/>
              <w:bottom w:val="nil"/>
              <w:right w:val="nil"/>
            </w:tcBorders>
            <w:shd w:val="clear" w:color="auto" w:fill="auto"/>
            <w:noWrap/>
            <w:vAlign w:val="bottom"/>
            <w:hideMark/>
          </w:tcPr>
          <w:p w14:paraId="32A7248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c>
          <w:tcPr>
            <w:tcW w:w="1260" w:type="dxa"/>
            <w:tcBorders>
              <w:top w:val="nil"/>
              <w:left w:val="nil"/>
              <w:bottom w:val="nil"/>
              <w:right w:val="nil"/>
            </w:tcBorders>
            <w:shd w:val="clear" w:color="auto" w:fill="auto"/>
            <w:noWrap/>
            <w:vAlign w:val="bottom"/>
            <w:hideMark/>
          </w:tcPr>
          <w:p w14:paraId="51314D85" w14:textId="77777777" w:rsidR="00717D19" w:rsidRPr="00717D19" w:rsidRDefault="00717D19" w:rsidP="00717D19">
            <w:pPr>
              <w:suppressAutoHyphens w:val="0"/>
              <w:spacing w:line="240" w:lineRule="auto"/>
              <w:rPr>
                <w:rFonts w:eastAsia="Times New Roman"/>
                <w:spacing w:val="0"/>
                <w:w w:val="100"/>
                <w:kern w:val="0"/>
                <w:lang w:eastAsia="zh-CN"/>
              </w:rPr>
            </w:pPr>
          </w:p>
        </w:tc>
      </w:tr>
      <w:tr w:rsidR="00717D19" w:rsidRPr="00717D19" w14:paraId="61355DBD" w14:textId="77777777" w:rsidTr="00717D19">
        <w:trPr>
          <w:trHeight w:val="223"/>
        </w:trPr>
        <w:tc>
          <w:tcPr>
            <w:tcW w:w="5180" w:type="dxa"/>
            <w:gridSpan w:val="2"/>
            <w:tcBorders>
              <w:top w:val="nil"/>
              <w:left w:val="nil"/>
              <w:bottom w:val="nil"/>
              <w:right w:val="nil"/>
            </w:tcBorders>
            <w:shd w:val="clear" w:color="auto" w:fill="auto"/>
            <w:noWrap/>
            <w:vAlign w:val="bottom"/>
            <w:hideMark/>
          </w:tcPr>
          <w:p w14:paraId="6FBAC4D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vertAlign w:val="superscript"/>
                <w:lang w:eastAsia="zh-CN"/>
              </w:rPr>
              <w:t>2</w:t>
            </w:r>
            <w:r w:rsidRPr="00717D19">
              <w:rPr>
                <w:rFonts w:ascii="Calibri" w:eastAsia="Times New Roman" w:hAnsi="Calibri" w:cs="Arial"/>
                <w:spacing w:val="0"/>
                <w:w w:val="100"/>
                <w:kern w:val="0"/>
                <w:sz w:val="16"/>
                <w:szCs w:val="16"/>
                <w:lang w:eastAsia="zh-CN"/>
              </w:rPr>
              <w:t xml:space="preserve"> Includes workspace for 2 Government officials on secondment/interns</w:t>
            </w:r>
          </w:p>
        </w:tc>
        <w:tc>
          <w:tcPr>
            <w:tcW w:w="520" w:type="dxa"/>
            <w:tcBorders>
              <w:top w:val="nil"/>
              <w:left w:val="nil"/>
              <w:bottom w:val="nil"/>
              <w:right w:val="nil"/>
            </w:tcBorders>
            <w:shd w:val="clear" w:color="auto" w:fill="auto"/>
            <w:noWrap/>
            <w:vAlign w:val="bottom"/>
            <w:hideMark/>
          </w:tcPr>
          <w:p w14:paraId="6B1ECB5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c>
          <w:tcPr>
            <w:tcW w:w="540" w:type="dxa"/>
            <w:tcBorders>
              <w:top w:val="nil"/>
              <w:left w:val="nil"/>
              <w:bottom w:val="nil"/>
              <w:right w:val="nil"/>
            </w:tcBorders>
            <w:shd w:val="clear" w:color="auto" w:fill="auto"/>
            <w:noWrap/>
            <w:vAlign w:val="bottom"/>
            <w:hideMark/>
          </w:tcPr>
          <w:p w14:paraId="176AC077"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780" w:type="dxa"/>
            <w:tcBorders>
              <w:top w:val="nil"/>
              <w:left w:val="nil"/>
              <w:bottom w:val="nil"/>
              <w:right w:val="nil"/>
            </w:tcBorders>
            <w:shd w:val="clear" w:color="auto" w:fill="auto"/>
            <w:noWrap/>
            <w:vAlign w:val="bottom"/>
            <w:hideMark/>
          </w:tcPr>
          <w:p w14:paraId="75664734"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940" w:type="dxa"/>
            <w:tcBorders>
              <w:top w:val="nil"/>
              <w:left w:val="nil"/>
              <w:bottom w:val="nil"/>
              <w:right w:val="nil"/>
            </w:tcBorders>
            <w:shd w:val="clear" w:color="auto" w:fill="auto"/>
            <w:noWrap/>
            <w:vAlign w:val="bottom"/>
            <w:hideMark/>
          </w:tcPr>
          <w:p w14:paraId="6FC69C02"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1080" w:type="dxa"/>
            <w:tcBorders>
              <w:top w:val="nil"/>
              <w:left w:val="nil"/>
              <w:bottom w:val="nil"/>
              <w:right w:val="nil"/>
            </w:tcBorders>
            <w:shd w:val="clear" w:color="auto" w:fill="auto"/>
            <w:noWrap/>
            <w:vAlign w:val="bottom"/>
            <w:hideMark/>
          </w:tcPr>
          <w:p w14:paraId="315BFE53"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1260" w:type="dxa"/>
            <w:tcBorders>
              <w:top w:val="nil"/>
              <w:left w:val="nil"/>
              <w:bottom w:val="nil"/>
              <w:right w:val="nil"/>
            </w:tcBorders>
            <w:shd w:val="clear" w:color="auto" w:fill="auto"/>
            <w:noWrap/>
            <w:vAlign w:val="bottom"/>
            <w:hideMark/>
          </w:tcPr>
          <w:p w14:paraId="31388AE6" w14:textId="77777777" w:rsidR="00717D19" w:rsidRPr="00717D19" w:rsidRDefault="00717D19" w:rsidP="00717D19">
            <w:pPr>
              <w:suppressAutoHyphens w:val="0"/>
              <w:spacing w:line="240" w:lineRule="auto"/>
              <w:rPr>
                <w:rFonts w:eastAsia="Times New Roman"/>
                <w:spacing w:val="0"/>
                <w:w w:val="100"/>
                <w:kern w:val="0"/>
                <w:lang w:eastAsia="zh-CN"/>
              </w:rPr>
            </w:pPr>
          </w:p>
        </w:tc>
      </w:tr>
      <w:tr w:rsidR="00717D19" w:rsidRPr="00717D19" w14:paraId="19F20585" w14:textId="77777777" w:rsidTr="00717D19">
        <w:trPr>
          <w:trHeight w:val="223"/>
        </w:trPr>
        <w:tc>
          <w:tcPr>
            <w:tcW w:w="7960" w:type="dxa"/>
            <w:gridSpan w:val="6"/>
            <w:tcBorders>
              <w:top w:val="nil"/>
              <w:left w:val="nil"/>
              <w:bottom w:val="nil"/>
              <w:right w:val="nil"/>
            </w:tcBorders>
            <w:shd w:val="clear" w:color="auto" w:fill="auto"/>
            <w:noWrap/>
            <w:vAlign w:val="bottom"/>
            <w:hideMark/>
          </w:tcPr>
          <w:p w14:paraId="575A00B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vertAlign w:val="superscript"/>
                <w:lang w:eastAsia="zh-CN"/>
              </w:rPr>
              <w:t>3</w:t>
            </w:r>
            <w:r w:rsidRPr="00717D19">
              <w:rPr>
                <w:rFonts w:ascii="Calibri" w:eastAsia="Times New Roman" w:hAnsi="Calibri" w:cs="Arial"/>
                <w:spacing w:val="0"/>
                <w:w w:val="100"/>
                <w:kern w:val="0"/>
                <w:sz w:val="16"/>
                <w:szCs w:val="16"/>
                <w:lang w:eastAsia="zh-CN"/>
              </w:rPr>
              <w:t xml:space="preserve"> Based on 2020 Revised UNODC Standard Salary Cost Manual</w:t>
            </w:r>
          </w:p>
        </w:tc>
        <w:tc>
          <w:tcPr>
            <w:tcW w:w="1080" w:type="dxa"/>
            <w:tcBorders>
              <w:top w:val="nil"/>
              <w:left w:val="nil"/>
              <w:bottom w:val="nil"/>
              <w:right w:val="nil"/>
            </w:tcBorders>
            <w:shd w:val="clear" w:color="auto" w:fill="auto"/>
            <w:noWrap/>
            <w:vAlign w:val="bottom"/>
            <w:hideMark/>
          </w:tcPr>
          <w:p w14:paraId="32DB2DC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c>
          <w:tcPr>
            <w:tcW w:w="1260" w:type="dxa"/>
            <w:tcBorders>
              <w:top w:val="nil"/>
              <w:left w:val="nil"/>
              <w:bottom w:val="nil"/>
              <w:right w:val="nil"/>
            </w:tcBorders>
            <w:shd w:val="clear" w:color="auto" w:fill="auto"/>
            <w:noWrap/>
            <w:vAlign w:val="bottom"/>
            <w:hideMark/>
          </w:tcPr>
          <w:p w14:paraId="1D77D9FA" w14:textId="77777777" w:rsidR="00717D19" w:rsidRPr="00717D19" w:rsidRDefault="00717D19" w:rsidP="00717D19">
            <w:pPr>
              <w:suppressAutoHyphens w:val="0"/>
              <w:spacing w:line="240" w:lineRule="auto"/>
              <w:rPr>
                <w:rFonts w:eastAsia="Times New Roman"/>
                <w:spacing w:val="0"/>
                <w:w w:val="100"/>
                <w:kern w:val="0"/>
                <w:lang w:eastAsia="zh-CN"/>
              </w:rPr>
            </w:pPr>
          </w:p>
        </w:tc>
      </w:tr>
      <w:tr w:rsidR="00717D19" w:rsidRPr="00717D19" w14:paraId="5217136A" w14:textId="77777777" w:rsidTr="00717D19">
        <w:trPr>
          <w:trHeight w:val="223"/>
        </w:trPr>
        <w:tc>
          <w:tcPr>
            <w:tcW w:w="4680" w:type="dxa"/>
            <w:tcBorders>
              <w:top w:val="nil"/>
              <w:left w:val="nil"/>
              <w:bottom w:val="nil"/>
              <w:right w:val="nil"/>
            </w:tcBorders>
            <w:shd w:val="clear" w:color="auto" w:fill="auto"/>
            <w:noWrap/>
            <w:vAlign w:val="bottom"/>
            <w:hideMark/>
          </w:tcPr>
          <w:p w14:paraId="74CA6D8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vertAlign w:val="superscript"/>
                <w:lang w:eastAsia="zh-CN"/>
              </w:rPr>
              <w:t>4</w:t>
            </w:r>
            <w:r w:rsidRPr="00717D19">
              <w:rPr>
                <w:rFonts w:ascii="Calibri" w:eastAsia="Times New Roman" w:hAnsi="Calibri" w:cs="Arial"/>
                <w:spacing w:val="0"/>
                <w:w w:val="100"/>
                <w:kern w:val="0"/>
                <w:sz w:val="16"/>
                <w:szCs w:val="16"/>
                <w:lang w:eastAsia="zh-CN"/>
              </w:rPr>
              <w:t xml:space="preserve"> One staff foreseen to provide support in mediation proceedings</w:t>
            </w:r>
          </w:p>
        </w:tc>
        <w:tc>
          <w:tcPr>
            <w:tcW w:w="500" w:type="dxa"/>
            <w:tcBorders>
              <w:top w:val="nil"/>
              <w:left w:val="nil"/>
              <w:bottom w:val="nil"/>
              <w:right w:val="nil"/>
            </w:tcBorders>
            <w:shd w:val="clear" w:color="auto" w:fill="auto"/>
            <w:noWrap/>
            <w:vAlign w:val="bottom"/>
            <w:hideMark/>
          </w:tcPr>
          <w:p w14:paraId="14D9707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c>
          <w:tcPr>
            <w:tcW w:w="520" w:type="dxa"/>
            <w:tcBorders>
              <w:top w:val="nil"/>
              <w:left w:val="nil"/>
              <w:bottom w:val="nil"/>
              <w:right w:val="nil"/>
            </w:tcBorders>
            <w:shd w:val="clear" w:color="auto" w:fill="auto"/>
            <w:noWrap/>
            <w:vAlign w:val="bottom"/>
            <w:hideMark/>
          </w:tcPr>
          <w:p w14:paraId="74BC98E9"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40" w:type="dxa"/>
            <w:tcBorders>
              <w:top w:val="nil"/>
              <w:left w:val="nil"/>
              <w:bottom w:val="nil"/>
              <w:right w:val="nil"/>
            </w:tcBorders>
            <w:shd w:val="clear" w:color="auto" w:fill="auto"/>
            <w:noWrap/>
            <w:vAlign w:val="bottom"/>
            <w:hideMark/>
          </w:tcPr>
          <w:p w14:paraId="02432360"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780" w:type="dxa"/>
            <w:tcBorders>
              <w:top w:val="nil"/>
              <w:left w:val="nil"/>
              <w:bottom w:val="nil"/>
              <w:right w:val="nil"/>
            </w:tcBorders>
            <w:shd w:val="clear" w:color="auto" w:fill="auto"/>
            <w:noWrap/>
            <w:vAlign w:val="bottom"/>
            <w:hideMark/>
          </w:tcPr>
          <w:p w14:paraId="64B0CFBF"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940" w:type="dxa"/>
            <w:tcBorders>
              <w:top w:val="nil"/>
              <w:left w:val="nil"/>
              <w:bottom w:val="nil"/>
              <w:right w:val="nil"/>
            </w:tcBorders>
            <w:shd w:val="clear" w:color="auto" w:fill="auto"/>
            <w:noWrap/>
            <w:vAlign w:val="bottom"/>
            <w:hideMark/>
          </w:tcPr>
          <w:p w14:paraId="6E1EC33B"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1080" w:type="dxa"/>
            <w:tcBorders>
              <w:top w:val="nil"/>
              <w:left w:val="nil"/>
              <w:bottom w:val="nil"/>
              <w:right w:val="nil"/>
            </w:tcBorders>
            <w:shd w:val="clear" w:color="auto" w:fill="auto"/>
            <w:noWrap/>
            <w:vAlign w:val="bottom"/>
            <w:hideMark/>
          </w:tcPr>
          <w:p w14:paraId="2D348E0B"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1260" w:type="dxa"/>
            <w:tcBorders>
              <w:top w:val="nil"/>
              <w:left w:val="nil"/>
              <w:bottom w:val="nil"/>
              <w:right w:val="nil"/>
            </w:tcBorders>
            <w:shd w:val="clear" w:color="auto" w:fill="auto"/>
            <w:noWrap/>
            <w:vAlign w:val="bottom"/>
            <w:hideMark/>
          </w:tcPr>
          <w:p w14:paraId="543A0D24" w14:textId="77777777" w:rsidR="00717D19" w:rsidRPr="00717D19" w:rsidRDefault="00717D19" w:rsidP="00717D19">
            <w:pPr>
              <w:suppressAutoHyphens w:val="0"/>
              <w:spacing w:line="240" w:lineRule="auto"/>
              <w:rPr>
                <w:rFonts w:eastAsia="Times New Roman"/>
                <w:spacing w:val="0"/>
                <w:w w:val="100"/>
                <w:kern w:val="0"/>
                <w:lang w:eastAsia="zh-CN"/>
              </w:rPr>
            </w:pPr>
          </w:p>
        </w:tc>
      </w:tr>
      <w:tr w:rsidR="00717D19" w:rsidRPr="00717D19" w14:paraId="5E4902F9" w14:textId="77777777" w:rsidTr="00717D19">
        <w:trPr>
          <w:trHeight w:val="223"/>
        </w:trPr>
        <w:tc>
          <w:tcPr>
            <w:tcW w:w="7960" w:type="dxa"/>
            <w:gridSpan w:val="6"/>
            <w:tcBorders>
              <w:top w:val="nil"/>
              <w:left w:val="nil"/>
              <w:bottom w:val="nil"/>
              <w:right w:val="nil"/>
            </w:tcBorders>
            <w:shd w:val="clear" w:color="auto" w:fill="auto"/>
            <w:noWrap/>
            <w:vAlign w:val="bottom"/>
            <w:hideMark/>
          </w:tcPr>
          <w:p w14:paraId="5A50B49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roofErr w:type="gramStart"/>
            <w:r w:rsidRPr="00717D19">
              <w:rPr>
                <w:rFonts w:ascii="Calibri" w:eastAsia="Times New Roman" w:hAnsi="Calibri" w:cs="Arial"/>
                <w:spacing w:val="0"/>
                <w:w w:val="100"/>
                <w:kern w:val="0"/>
                <w:sz w:val="16"/>
                <w:szCs w:val="16"/>
                <w:vertAlign w:val="superscript"/>
                <w:lang w:eastAsia="zh-CN"/>
              </w:rPr>
              <w:t>5</w:t>
            </w:r>
            <w:r w:rsidRPr="00717D19">
              <w:rPr>
                <w:rFonts w:ascii="Calibri" w:eastAsia="Times New Roman" w:hAnsi="Calibri" w:cs="Arial"/>
                <w:spacing w:val="0"/>
                <w:w w:val="100"/>
                <w:kern w:val="0"/>
                <w:sz w:val="16"/>
                <w:szCs w:val="16"/>
                <w:lang w:eastAsia="zh-CN"/>
              </w:rPr>
              <w:t xml:space="preserve">  Provisions</w:t>
            </w:r>
            <w:proofErr w:type="gramEnd"/>
            <w:r w:rsidRPr="00717D19">
              <w:rPr>
                <w:rFonts w:ascii="Calibri" w:eastAsia="Times New Roman" w:hAnsi="Calibri" w:cs="Arial"/>
                <w:spacing w:val="0"/>
                <w:w w:val="100"/>
                <w:kern w:val="0"/>
                <w:sz w:val="16"/>
                <w:szCs w:val="16"/>
                <w:lang w:eastAsia="zh-CN"/>
              </w:rPr>
              <w:t xml:space="preserve"> take into account that Advisory Centre is operating on a worldwide basis</w:t>
            </w:r>
          </w:p>
        </w:tc>
        <w:tc>
          <w:tcPr>
            <w:tcW w:w="1080" w:type="dxa"/>
            <w:tcBorders>
              <w:top w:val="nil"/>
              <w:left w:val="nil"/>
              <w:bottom w:val="nil"/>
              <w:right w:val="nil"/>
            </w:tcBorders>
            <w:shd w:val="clear" w:color="auto" w:fill="auto"/>
            <w:noWrap/>
            <w:vAlign w:val="bottom"/>
            <w:hideMark/>
          </w:tcPr>
          <w:p w14:paraId="652C814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c>
          <w:tcPr>
            <w:tcW w:w="1260" w:type="dxa"/>
            <w:tcBorders>
              <w:top w:val="nil"/>
              <w:left w:val="nil"/>
              <w:bottom w:val="nil"/>
              <w:right w:val="nil"/>
            </w:tcBorders>
            <w:shd w:val="clear" w:color="auto" w:fill="auto"/>
            <w:noWrap/>
            <w:vAlign w:val="bottom"/>
            <w:hideMark/>
          </w:tcPr>
          <w:p w14:paraId="7767A59A" w14:textId="77777777" w:rsidR="00717D19" w:rsidRPr="00717D19" w:rsidRDefault="00717D19" w:rsidP="00717D19">
            <w:pPr>
              <w:suppressAutoHyphens w:val="0"/>
              <w:spacing w:line="240" w:lineRule="auto"/>
              <w:rPr>
                <w:rFonts w:eastAsia="Times New Roman"/>
                <w:spacing w:val="0"/>
                <w:w w:val="100"/>
                <w:kern w:val="0"/>
                <w:lang w:eastAsia="zh-CN"/>
              </w:rPr>
            </w:pPr>
          </w:p>
        </w:tc>
      </w:tr>
      <w:tr w:rsidR="00717D19" w:rsidRPr="00717D19" w14:paraId="3ECA0A0A" w14:textId="77777777" w:rsidTr="00717D19">
        <w:trPr>
          <w:trHeight w:val="223"/>
        </w:trPr>
        <w:tc>
          <w:tcPr>
            <w:tcW w:w="4680" w:type="dxa"/>
            <w:tcBorders>
              <w:top w:val="nil"/>
              <w:left w:val="nil"/>
              <w:bottom w:val="nil"/>
              <w:right w:val="nil"/>
            </w:tcBorders>
            <w:shd w:val="clear" w:color="auto" w:fill="auto"/>
            <w:noWrap/>
            <w:vAlign w:val="bottom"/>
            <w:hideMark/>
          </w:tcPr>
          <w:p w14:paraId="3203F86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roofErr w:type="gramStart"/>
            <w:r w:rsidRPr="00717D19">
              <w:rPr>
                <w:rFonts w:ascii="Calibri" w:eastAsia="Times New Roman" w:hAnsi="Calibri" w:cs="Arial"/>
                <w:spacing w:val="0"/>
                <w:w w:val="100"/>
                <w:kern w:val="0"/>
                <w:sz w:val="16"/>
                <w:szCs w:val="16"/>
                <w:vertAlign w:val="superscript"/>
                <w:lang w:eastAsia="zh-CN"/>
              </w:rPr>
              <w:t>6</w:t>
            </w:r>
            <w:r w:rsidRPr="00717D19">
              <w:rPr>
                <w:rFonts w:ascii="Calibri" w:eastAsia="Times New Roman" w:hAnsi="Calibri" w:cs="Arial"/>
                <w:spacing w:val="0"/>
                <w:w w:val="100"/>
                <w:kern w:val="0"/>
                <w:sz w:val="16"/>
                <w:szCs w:val="16"/>
                <w:lang w:eastAsia="zh-CN"/>
              </w:rPr>
              <w:t xml:space="preserve">  Costs</w:t>
            </w:r>
            <w:proofErr w:type="gramEnd"/>
            <w:r w:rsidRPr="00717D19">
              <w:rPr>
                <w:rFonts w:ascii="Calibri" w:eastAsia="Times New Roman" w:hAnsi="Calibri" w:cs="Arial"/>
                <w:spacing w:val="0"/>
                <w:w w:val="100"/>
                <w:kern w:val="0"/>
                <w:sz w:val="16"/>
                <w:szCs w:val="16"/>
                <w:lang w:eastAsia="zh-CN"/>
              </w:rPr>
              <w:t xml:space="preserve"> have been calculated on the basis of tax exemption</w:t>
            </w:r>
          </w:p>
        </w:tc>
        <w:tc>
          <w:tcPr>
            <w:tcW w:w="500" w:type="dxa"/>
            <w:tcBorders>
              <w:top w:val="nil"/>
              <w:left w:val="nil"/>
              <w:bottom w:val="nil"/>
              <w:right w:val="nil"/>
            </w:tcBorders>
            <w:shd w:val="clear" w:color="auto" w:fill="auto"/>
            <w:noWrap/>
            <w:vAlign w:val="bottom"/>
            <w:hideMark/>
          </w:tcPr>
          <w:p w14:paraId="5D5C669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c>
          <w:tcPr>
            <w:tcW w:w="520" w:type="dxa"/>
            <w:tcBorders>
              <w:top w:val="nil"/>
              <w:left w:val="nil"/>
              <w:bottom w:val="nil"/>
              <w:right w:val="nil"/>
            </w:tcBorders>
            <w:shd w:val="clear" w:color="auto" w:fill="auto"/>
            <w:noWrap/>
            <w:vAlign w:val="bottom"/>
            <w:hideMark/>
          </w:tcPr>
          <w:p w14:paraId="3CD9C33E"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40" w:type="dxa"/>
            <w:tcBorders>
              <w:top w:val="nil"/>
              <w:left w:val="nil"/>
              <w:bottom w:val="nil"/>
              <w:right w:val="nil"/>
            </w:tcBorders>
            <w:shd w:val="clear" w:color="auto" w:fill="auto"/>
            <w:noWrap/>
            <w:vAlign w:val="bottom"/>
            <w:hideMark/>
          </w:tcPr>
          <w:p w14:paraId="0924076E"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780" w:type="dxa"/>
            <w:tcBorders>
              <w:top w:val="nil"/>
              <w:left w:val="nil"/>
              <w:bottom w:val="nil"/>
              <w:right w:val="nil"/>
            </w:tcBorders>
            <w:shd w:val="clear" w:color="auto" w:fill="auto"/>
            <w:noWrap/>
            <w:vAlign w:val="bottom"/>
            <w:hideMark/>
          </w:tcPr>
          <w:p w14:paraId="463DBBA3"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940" w:type="dxa"/>
            <w:tcBorders>
              <w:top w:val="nil"/>
              <w:left w:val="nil"/>
              <w:bottom w:val="nil"/>
              <w:right w:val="nil"/>
            </w:tcBorders>
            <w:shd w:val="clear" w:color="auto" w:fill="auto"/>
            <w:noWrap/>
            <w:vAlign w:val="bottom"/>
            <w:hideMark/>
          </w:tcPr>
          <w:p w14:paraId="49542A4A"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1080" w:type="dxa"/>
            <w:tcBorders>
              <w:top w:val="nil"/>
              <w:left w:val="nil"/>
              <w:bottom w:val="nil"/>
              <w:right w:val="nil"/>
            </w:tcBorders>
            <w:shd w:val="clear" w:color="auto" w:fill="auto"/>
            <w:noWrap/>
            <w:vAlign w:val="bottom"/>
            <w:hideMark/>
          </w:tcPr>
          <w:p w14:paraId="3CE73D10"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1260" w:type="dxa"/>
            <w:tcBorders>
              <w:top w:val="nil"/>
              <w:left w:val="nil"/>
              <w:bottom w:val="nil"/>
              <w:right w:val="nil"/>
            </w:tcBorders>
            <w:shd w:val="clear" w:color="auto" w:fill="auto"/>
            <w:noWrap/>
            <w:vAlign w:val="bottom"/>
            <w:hideMark/>
          </w:tcPr>
          <w:p w14:paraId="0E1E6309" w14:textId="77777777" w:rsidR="00717D19" w:rsidRPr="00717D19" w:rsidRDefault="00717D19" w:rsidP="00717D19">
            <w:pPr>
              <w:suppressAutoHyphens w:val="0"/>
              <w:spacing w:line="240" w:lineRule="auto"/>
              <w:rPr>
                <w:rFonts w:eastAsia="Times New Roman"/>
                <w:spacing w:val="0"/>
                <w:w w:val="100"/>
                <w:kern w:val="0"/>
                <w:lang w:eastAsia="zh-CN"/>
              </w:rPr>
            </w:pPr>
          </w:p>
        </w:tc>
      </w:tr>
    </w:tbl>
    <w:p w14:paraId="33F59F4F" w14:textId="0283D75E" w:rsidR="00717D19" w:rsidRDefault="00717D19" w:rsidP="003865E3">
      <w:pPr>
        <w:pStyle w:val="SingleTxt"/>
        <w:jc w:val="center"/>
        <w:rPr>
          <w:rFonts w:asciiTheme="majorBidi" w:hAnsiTheme="majorBidi" w:cstheme="majorBidi"/>
          <w:b/>
          <w:bCs/>
          <w:sz w:val="24"/>
          <w:szCs w:val="24"/>
          <w:u w:val="single"/>
        </w:rPr>
      </w:pPr>
    </w:p>
    <w:p w14:paraId="79A2B9DF" w14:textId="626F3FFA" w:rsidR="00717D19" w:rsidRDefault="00717D19" w:rsidP="003865E3">
      <w:pPr>
        <w:pStyle w:val="SingleTxt"/>
        <w:jc w:val="center"/>
        <w:rPr>
          <w:rFonts w:asciiTheme="majorBidi" w:hAnsiTheme="majorBidi" w:cstheme="majorBidi"/>
          <w:b/>
          <w:bCs/>
          <w:sz w:val="24"/>
          <w:szCs w:val="24"/>
          <w:u w:val="single"/>
        </w:rPr>
      </w:pPr>
    </w:p>
    <w:tbl>
      <w:tblPr>
        <w:tblW w:w="9040" w:type="dxa"/>
        <w:tblLook w:val="04A0" w:firstRow="1" w:lastRow="0" w:firstColumn="1" w:lastColumn="0" w:noHBand="0" w:noVBand="1"/>
      </w:tblPr>
      <w:tblGrid>
        <w:gridCol w:w="4680"/>
        <w:gridCol w:w="500"/>
        <w:gridCol w:w="581"/>
        <w:gridCol w:w="555"/>
        <w:gridCol w:w="824"/>
        <w:gridCol w:w="948"/>
        <w:gridCol w:w="1080"/>
      </w:tblGrid>
      <w:tr w:rsidR="00717D19" w:rsidRPr="00717D19" w14:paraId="3B8CB8AB" w14:textId="77777777" w:rsidTr="00717D19">
        <w:trPr>
          <w:trHeight w:val="780"/>
        </w:trPr>
        <w:tc>
          <w:tcPr>
            <w:tcW w:w="9040" w:type="dxa"/>
            <w:gridSpan w:val="7"/>
            <w:tcBorders>
              <w:top w:val="nil"/>
              <w:left w:val="nil"/>
              <w:bottom w:val="nil"/>
              <w:right w:val="nil"/>
            </w:tcBorders>
            <w:shd w:val="clear" w:color="auto" w:fill="auto"/>
            <w:vAlign w:val="center"/>
            <w:hideMark/>
          </w:tcPr>
          <w:p w14:paraId="10703422"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24"/>
                <w:szCs w:val="24"/>
                <w:lang w:eastAsia="zh-CN"/>
              </w:rPr>
            </w:pPr>
            <w:r w:rsidRPr="00717D19">
              <w:rPr>
                <w:rFonts w:ascii="Calibri" w:eastAsia="Times New Roman" w:hAnsi="Calibri" w:cs="Arial"/>
                <w:b/>
                <w:bCs/>
                <w:spacing w:val="0"/>
                <w:w w:val="100"/>
                <w:kern w:val="0"/>
                <w:sz w:val="22"/>
                <w:szCs w:val="22"/>
                <w:lang w:eastAsia="zh-CN"/>
              </w:rPr>
              <w:t>BUDGET FOR ADVISORY CENTER FOR DISPUTE SETTLEMENT ON INVESTMENT MATTERS</w:t>
            </w:r>
            <w:r w:rsidRPr="00717D19">
              <w:rPr>
                <w:rFonts w:ascii="Calibri" w:eastAsia="Times New Roman" w:hAnsi="Calibri" w:cs="Arial"/>
                <w:b/>
                <w:bCs/>
                <w:spacing w:val="0"/>
                <w:w w:val="100"/>
                <w:kern w:val="0"/>
                <w:sz w:val="24"/>
                <w:szCs w:val="24"/>
                <w:lang w:eastAsia="zh-CN"/>
              </w:rPr>
              <w:br/>
              <w:t>Scenario B: 6 Lawyers</w:t>
            </w:r>
          </w:p>
        </w:tc>
      </w:tr>
      <w:tr w:rsidR="00717D19" w:rsidRPr="00717D19" w14:paraId="1D6624E6" w14:textId="77777777" w:rsidTr="00717D19">
        <w:trPr>
          <w:trHeight w:val="450"/>
        </w:trPr>
        <w:tc>
          <w:tcPr>
            <w:tcW w:w="468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0955A6E"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Budget class</w:t>
            </w:r>
          </w:p>
        </w:tc>
        <w:tc>
          <w:tcPr>
            <w:tcW w:w="500" w:type="dxa"/>
            <w:tcBorders>
              <w:top w:val="single" w:sz="4" w:space="0" w:color="auto"/>
              <w:left w:val="nil"/>
              <w:bottom w:val="single" w:sz="4" w:space="0" w:color="auto"/>
              <w:right w:val="single" w:sz="4" w:space="0" w:color="auto"/>
            </w:tcBorders>
            <w:shd w:val="clear" w:color="000000" w:fill="8DB4E2"/>
            <w:vAlign w:val="center"/>
            <w:hideMark/>
          </w:tcPr>
          <w:p w14:paraId="1CBAED6D"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proofErr w:type="spellStart"/>
            <w:r w:rsidRPr="00717D19">
              <w:rPr>
                <w:rFonts w:ascii="Calibri" w:eastAsia="Times New Roman" w:hAnsi="Calibri" w:cs="Arial"/>
                <w:b/>
                <w:bCs/>
                <w:spacing w:val="0"/>
                <w:w w:val="100"/>
                <w:kern w:val="0"/>
                <w:sz w:val="16"/>
                <w:szCs w:val="16"/>
                <w:lang w:eastAsia="zh-CN"/>
              </w:rPr>
              <w:t>Sq</w:t>
            </w:r>
            <w:proofErr w:type="spellEnd"/>
            <w:r w:rsidRPr="00717D19">
              <w:rPr>
                <w:rFonts w:ascii="Calibri" w:eastAsia="Times New Roman" w:hAnsi="Calibri" w:cs="Arial"/>
                <w:b/>
                <w:bCs/>
                <w:spacing w:val="0"/>
                <w:w w:val="100"/>
                <w:kern w:val="0"/>
                <w:sz w:val="16"/>
                <w:szCs w:val="16"/>
                <w:lang w:eastAsia="zh-CN"/>
              </w:rPr>
              <w:t xml:space="preserve"> m</w:t>
            </w:r>
          </w:p>
        </w:tc>
        <w:tc>
          <w:tcPr>
            <w:tcW w:w="520" w:type="dxa"/>
            <w:tcBorders>
              <w:top w:val="single" w:sz="4" w:space="0" w:color="auto"/>
              <w:left w:val="nil"/>
              <w:bottom w:val="single" w:sz="4" w:space="0" w:color="auto"/>
              <w:right w:val="single" w:sz="4" w:space="0" w:color="auto"/>
            </w:tcBorders>
            <w:shd w:val="clear" w:color="000000" w:fill="8DB4E2"/>
            <w:vAlign w:val="center"/>
            <w:hideMark/>
          </w:tcPr>
          <w:p w14:paraId="4A3342AB"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Unit</w:t>
            </w:r>
          </w:p>
        </w:tc>
        <w:tc>
          <w:tcPr>
            <w:tcW w:w="540" w:type="dxa"/>
            <w:tcBorders>
              <w:top w:val="single" w:sz="4" w:space="0" w:color="auto"/>
              <w:left w:val="nil"/>
              <w:bottom w:val="single" w:sz="4" w:space="0" w:color="auto"/>
              <w:right w:val="single" w:sz="4" w:space="0" w:color="auto"/>
            </w:tcBorders>
            <w:shd w:val="clear" w:color="000000" w:fill="8DB4E2"/>
            <w:vAlign w:val="center"/>
            <w:hideMark/>
          </w:tcPr>
          <w:p w14:paraId="2B916C52"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 xml:space="preserve">Total </w:t>
            </w:r>
            <w:proofErr w:type="spellStart"/>
            <w:r w:rsidRPr="00717D19">
              <w:rPr>
                <w:rFonts w:ascii="Calibri" w:eastAsia="Times New Roman" w:hAnsi="Calibri" w:cs="Arial"/>
                <w:b/>
                <w:bCs/>
                <w:spacing w:val="0"/>
                <w:w w:val="100"/>
                <w:kern w:val="0"/>
                <w:sz w:val="16"/>
                <w:szCs w:val="16"/>
                <w:lang w:eastAsia="zh-CN"/>
              </w:rPr>
              <w:t>sq</w:t>
            </w:r>
            <w:proofErr w:type="spellEnd"/>
            <w:r w:rsidRPr="00717D19">
              <w:rPr>
                <w:rFonts w:ascii="Calibri" w:eastAsia="Times New Roman" w:hAnsi="Calibri" w:cs="Arial"/>
                <w:b/>
                <w:bCs/>
                <w:spacing w:val="0"/>
                <w:w w:val="100"/>
                <w:kern w:val="0"/>
                <w:sz w:val="16"/>
                <w:szCs w:val="16"/>
                <w:lang w:eastAsia="zh-CN"/>
              </w:rPr>
              <w:t xml:space="preserve"> m</w:t>
            </w:r>
          </w:p>
        </w:tc>
        <w:tc>
          <w:tcPr>
            <w:tcW w:w="780" w:type="dxa"/>
            <w:tcBorders>
              <w:top w:val="single" w:sz="4" w:space="0" w:color="auto"/>
              <w:left w:val="nil"/>
              <w:bottom w:val="single" w:sz="4" w:space="0" w:color="auto"/>
              <w:right w:val="single" w:sz="4" w:space="0" w:color="auto"/>
            </w:tcBorders>
            <w:shd w:val="clear" w:color="000000" w:fill="8DB4E2"/>
            <w:vAlign w:val="center"/>
            <w:hideMark/>
          </w:tcPr>
          <w:p w14:paraId="04F5433C"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Cost per unit</w:t>
            </w:r>
          </w:p>
        </w:tc>
        <w:tc>
          <w:tcPr>
            <w:tcW w:w="940" w:type="dxa"/>
            <w:tcBorders>
              <w:top w:val="single" w:sz="4" w:space="0" w:color="auto"/>
              <w:left w:val="nil"/>
              <w:bottom w:val="single" w:sz="4" w:space="0" w:color="auto"/>
              <w:right w:val="single" w:sz="4" w:space="0" w:color="auto"/>
            </w:tcBorders>
            <w:shd w:val="clear" w:color="000000" w:fill="8DB4E2"/>
            <w:vAlign w:val="center"/>
            <w:hideMark/>
          </w:tcPr>
          <w:p w14:paraId="5021062D"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Sub-Total</w:t>
            </w:r>
          </w:p>
        </w:tc>
        <w:tc>
          <w:tcPr>
            <w:tcW w:w="1080" w:type="dxa"/>
            <w:tcBorders>
              <w:top w:val="single" w:sz="4" w:space="0" w:color="auto"/>
              <w:left w:val="nil"/>
              <w:bottom w:val="single" w:sz="4" w:space="0" w:color="auto"/>
              <w:right w:val="single" w:sz="4" w:space="0" w:color="auto"/>
            </w:tcBorders>
            <w:shd w:val="clear" w:color="000000" w:fill="8DB4E2"/>
            <w:vAlign w:val="center"/>
            <w:hideMark/>
          </w:tcPr>
          <w:p w14:paraId="1DF6BABA" w14:textId="77777777" w:rsidR="00717D19" w:rsidRPr="00717D19" w:rsidRDefault="00717D19" w:rsidP="00717D19">
            <w:pPr>
              <w:suppressAutoHyphens w:val="0"/>
              <w:spacing w:line="240" w:lineRule="auto"/>
              <w:jc w:val="center"/>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Total</w:t>
            </w:r>
          </w:p>
        </w:tc>
      </w:tr>
      <w:tr w:rsidR="00717D19" w:rsidRPr="00717D19" w14:paraId="73E192A0" w14:textId="77777777" w:rsidTr="00717D19">
        <w:trPr>
          <w:trHeight w:val="315"/>
        </w:trPr>
        <w:tc>
          <w:tcPr>
            <w:tcW w:w="7020"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2A24F49"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INSTALLATION COSTS</w:t>
            </w:r>
          </w:p>
        </w:tc>
        <w:tc>
          <w:tcPr>
            <w:tcW w:w="940" w:type="dxa"/>
            <w:tcBorders>
              <w:top w:val="nil"/>
              <w:left w:val="nil"/>
              <w:bottom w:val="nil"/>
              <w:right w:val="nil"/>
            </w:tcBorders>
            <w:shd w:val="clear" w:color="000000" w:fill="C5D9F1"/>
            <w:noWrap/>
            <w:vAlign w:val="bottom"/>
            <w:hideMark/>
          </w:tcPr>
          <w:p w14:paraId="57C8AB8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080" w:type="dxa"/>
            <w:tcBorders>
              <w:top w:val="nil"/>
              <w:left w:val="single" w:sz="4" w:space="0" w:color="auto"/>
              <w:bottom w:val="single" w:sz="4" w:space="0" w:color="auto"/>
              <w:right w:val="single" w:sz="4" w:space="0" w:color="auto"/>
            </w:tcBorders>
            <w:shd w:val="clear" w:color="000000" w:fill="C5D9F1"/>
            <w:vAlign w:val="center"/>
            <w:hideMark/>
          </w:tcPr>
          <w:p w14:paraId="4868B481"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$252,914</w:t>
            </w:r>
          </w:p>
        </w:tc>
      </w:tr>
      <w:tr w:rsidR="00717D19" w:rsidRPr="00717D19" w14:paraId="75A9122B"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2FC2F531"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a) ICT equipment</w:t>
            </w:r>
            <w:r w:rsidRPr="00717D19">
              <w:rPr>
                <w:rFonts w:ascii="Calibri" w:eastAsia="Times New Roman" w:hAnsi="Calibri" w:cs="Arial"/>
                <w:b/>
                <w:bCs/>
                <w:i/>
                <w:iCs/>
                <w:spacing w:val="0"/>
                <w:w w:val="100"/>
                <w:kern w:val="0"/>
                <w:sz w:val="16"/>
                <w:szCs w:val="16"/>
                <w:vertAlign w:val="superscript"/>
                <w:lang w:eastAsia="zh-CN"/>
              </w:rPr>
              <w:t>1</w:t>
            </w:r>
          </w:p>
        </w:tc>
        <w:tc>
          <w:tcPr>
            <w:tcW w:w="940" w:type="dxa"/>
            <w:tcBorders>
              <w:top w:val="single" w:sz="4" w:space="0" w:color="auto"/>
              <w:left w:val="single" w:sz="4" w:space="0" w:color="auto"/>
              <w:bottom w:val="single" w:sz="4" w:space="0" w:color="auto"/>
              <w:right w:val="nil"/>
            </w:tcBorders>
            <w:shd w:val="clear" w:color="auto" w:fill="auto"/>
            <w:hideMark/>
          </w:tcPr>
          <w:p w14:paraId="65453662" w14:textId="77777777" w:rsidR="00717D19" w:rsidRPr="00717D19" w:rsidRDefault="00717D19" w:rsidP="00717D19">
            <w:pPr>
              <w:suppressAutoHyphens w:val="0"/>
              <w:spacing w:line="240" w:lineRule="auto"/>
              <w:jc w:val="right"/>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$44,890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B4448C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4FAEB8FE"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722B02F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Laptops w. docking stations and monitors</w:t>
            </w:r>
          </w:p>
        </w:tc>
        <w:tc>
          <w:tcPr>
            <w:tcW w:w="500" w:type="dxa"/>
            <w:tcBorders>
              <w:top w:val="nil"/>
              <w:left w:val="nil"/>
              <w:bottom w:val="single" w:sz="4" w:space="0" w:color="auto"/>
              <w:right w:val="single" w:sz="4" w:space="0" w:color="auto"/>
            </w:tcBorders>
            <w:shd w:val="clear" w:color="auto" w:fill="auto"/>
            <w:hideMark/>
          </w:tcPr>
          <w:p w14:paraId="771CB32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231317F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w:t>
            </w:r>
          </w:p>
        </w:tc>
        <w:tc>
          <w:tcPr>
            <w:tcW w:w="540" w:type="dxa"/>
            <w:tcBorders>
              <w:top w:val="nil"/>
              <w:left w:val="nil"/>
              <w:bottom w:val="single" w:sz="4" w:space="0" w:color="auto"/>
              <w:right w:val="single" w:sz="4" w:space="0" w:color="auto"/>
            </w:tcBorders>
            <w:shd w:val="clear" w:color="auto" w:fill="auto"/>
            <w:hideMark/>
          </w:tcPr>
          <w:p w14:paraId="2E8B75B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372FA12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$1,547</w:t>
            </w:r>
          </w:p>
        </w:tc>
        <w:tc>
          <w:tcPr>
            <w:tcW w:w="940" w:type="dxa"/>
            <w:tcBorders>
              <w:top w:val="nil"/>
              <w:left w:val="single" w:sz="4" w:space="0" w:color="auto"/>
              <w:bottom w:val="single" w:sz="4" w:space="0" w:color="auto"/>
              <w:right w:val="nil"/>
            </w:tcBorders>
            <w:shd w:val="clear" w:color="auto" w:fill="auto"/>
            <w:hideMark/>
          </w:tcPr>
          <w:p w14:paraId="3947484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$15,470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EAD0BE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09A77CDC"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7CFBCFE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Fixed telephone </w:t>
            </w:r>
          </w:p>
        </w:tc>
        <w:tc>
          <w:tcPr>
            <w:tcW w:w="500" w:type="dxa"/>
            <w:tcBorders>
              <w:top w:val="nil"/>
              <w:left w:val="nil"/>
              <w:bottom w:val="single" w:sz="4" w:space="0" w:color="auto"/>
              <w:right w:val="single" w:sz="4" w:space="0" w:color="auto"/>
            </w:tcBorders>
            <w:shd w:val="clear" w:color="auto" w:fill="auto"/>
            <w:hideMark/>
          </w:tcPr>
          <w:p w14:paraId="63638C6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7D0E7AA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w:t>
            </w:r>
          </w:p>
        </w:tc>
        <w:tc>
          <w:tcPr>
            <w:tcW w:w="540" w:type="dxa"/>
            <w:tcBorders>
              <w:top w:val="nil"/>
              <w:left w:val="nil"/>
              <w:bottom w:val="single" w:sz="4" w:space="0" w:color="auto"/>
              <w:right w:val="single" w:sz="4" w:space="0" w:color="auto"/>
            </w:tcBorders>
            <w:shd w:val="clear" w:color="auto" w:fill="auto"/>
            <w:hideMark/>
          </w:tcPr>
          <w:p w14:paraId="2F85133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1F3F133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$308</w:t>
            </w:r>
          </w:p>
        </w:tc>
        <w:tc>
          <w:tcPr>
            <w:tcW w:w="940" w:type="dxa"/>
            <w:tcBorders>
              <w:top w:val="nil"/>
              <w:left w:val="single" w:sz="4" w:space="0" w:color="auto"/>
              <w:bottom w:val="single" w:sz="4" w:space="0" w:color="auto"/>
              <w:right w:val="nil"/>
            </w:tcBorders>
            <w:shd w:val="clear" w:color="auto" w:fill="auto"/>
            <w:hideMark/>
          </w:tcPr>
          <w:p w14:paraId="51D06CC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$3,080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3EA2C0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5D70C10D"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796DAA8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Personal Printer</w:t>
            </w:r>
          </w:p>
        </w:tc>
        <w:tc>
          <w:tcPr>
            <w:tcW w:w="500" w:type="dxa"/>
            <w:tcBorders>
              <w:top w:val="nil"/>
              <w:left w:val="nil"/>
              <w:bottom w:val="single" w:sz="4" w:space="0" w:color="auto"/>
              <w:right w:val="single" w:sz="4" w:space="0" w:color="auto"/>
            </w:tcBorders>
            <w:shd w:val="clear" w:color="auto" w:fill="auto"/>
            <w:hideMark/>
          </w:tcPr>
          <w:p w14:paraId="7F332BF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692AB4E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6</w:t>
            </w:r>
          </w:p>
        </w:tc>
        <w:tc>
          <w:tcPr>
            <w:tcW w:w="540" w:type="dxa"/>
            <w:tcBorders>
              <w:top w:val="nil"/>
              <w:left w:val="nil"/>
              <w:bottom w:val="single" w:sz="4" w:space="0" w:color="auto"/>
              <w:right w:val="single" w:sz="4" w:space="0" w:color="auto"/>
            </w:tcBorders>
            <w:shd w:val="clear" w:color="auto" w:fill="auto"/>
            <w:hideMark/>
          </w:tcPr>
          <w:p w14:paraId="266B5D8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7FF0132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$300</w:t>
            </w:r>
          </w:p>
        </w:tc>
        <w:tc>
          <w:tcPr>
            <w:tcW w:w="940" w:type="dxa"/>
            <w:tcBorders>
              <w:top w:val="nil"/>
              <w:left w:val="single" w:sz="4" w:space="0" w:color="auto"/>
              <w:bottom w:val="single" w:sz="4" w:space="0" w:color="auto"/>
              <w:right w:val="nil"/>
            </w:tcBorders>
            <w:shd w:val="clear" w:color="auto" w:fill="auto"/>
            <w:hideMark/>
          </w:tcPr>
          <w:p w14:paraId="381BBCD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$1,800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B27B5A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2F23AFD0" w14:textId="77777777" w:rsidTr="00717D19">
        <w:trPr>
          <w:trHeight w:val="240"/>
        </w:trPr>
        <w:tc>
          <w:tcPr>
            <w:tcW w:w="4680" w:type="dxa"/>
            <w:tcBorders>
              <w:top w:val="nil"/>
              <w:left w:val="single" w:sz="4" w:space="0" w:color="auto"/>
              <w:bottom w:val="single" w:sz="4" w:space="0" w:color="auto"/>
              <w:right w:val="nil"/>
            </w:tcBorders>
            <w:shd w:val="clear" w:color="auto" w:fill="auto"/>
            <w:hideMark/>
          </w:tcPr>
          <w:p w14:paraId="49AAF37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Mobile telephone</w:t>
            </w:r>
          </w:p>
        </w:tc>
        <w:tc>
          <w:tcPr>
            <w:tcW w:w="500" w:type="dxa"/>
            <w:tcBorders>
              <w:top w:val="nil"/>
              <w:left w:val="single" w:sz="4" w:space="0" w:color="auto"/>
              <w:bottom w:val="single" w:sz="4" w:space="0" w:color="auto"/>
              <w:right w:val="single" w:sz="4" w:space="0" w:color="auto"/>
            </w:tcBorders>
            <w:shd w:val="clear" w:color="auto" w:fill="auto"/>
            <w:hideMark/>
          </w:tcPr>
          <w:p w14:paraId="3E4A79E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4A33D88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9</w:t>
            </w:r>
          </w:p>
        </w:tc>
        <w:tc>
          <w:tcPr>
            <w:tcW w:w="540" w:type="dxa"/>
            <w:tcBorders>
              <w:top w:val="nil"/>
              <w:left w:val="nil"/>
              <w:bottom w:val="single" w:sz="4" w:space="0" w:color="auto"/>
              <w:right w:val="single" w:sz="4" w:space="0" w:color="auto"/>
            </w:tcBorders>
            <w:shd w:val="clear" w:color="auto" w:fill="auto"/>
            <w:hideMark/>
          </w:tcPr>
          <w:p w14:paraId="4205A62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6DC4F9F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$1,060</w:t>
            </w:r>
          </w:p>
        </w:tc>
        <w:tc>
          <w:tcPr>
            <w:tcW w:w="940" w:type="dxa"/>
            <w:tcBorders>
              <w:top w:val="nil"/>
              <w:left w:val="single" w:sz="4" w:space="0" w:color="auto"/>
              <w:bottom w:val="single" w:sz="4" w:space="0" w:color="auto"/>
              <w:right w:val="nil"/>
            </w:tcBorders>
            <w:shd w:val="clear" w:color="auto" w:fill="auto"/>
            <w:hideMark/>
          </w:tcPr>
          <w:p w14:paraId="38B66EF8"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$9,540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9CBEBD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65381D12" w14:textId="77777777" w:rsidTr="00717D19">
        <w:trPr>
          <w:trHeight w:val="240"/>
        </w:trPr>
        <w:tc>
          <w:tcPr>
            <w:tcW w:w="4680" w:type="dxa"/>
            <w:tcBorders>
              <w:top w:val="nil"/>
              <w:left w:val="single" w:sz="4" w:space="0" w:color="auto"/>
              <w:bottom w:val="single" w:sz="4" w:space="0" w:color="auto"/>
              <w:right w:val="nil"/>
            </w:tcBorders>
            <w:shd w:val="clear" w:color="auto" w:fill="auto"/>
            <w:hideMark/>
          </w:tcPr>
          <w:p w14:paraId="071C791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Videoconferencing equipment</w:t>
            </w:r>
          </w:p>
        </w:tc>
        <w:tc>
          <w:tcPr>
            <w:tcW w:w="500" w:type="dxa"/>
            <w:tcBorders>
              <w:top w:val="nil"/>
              <w:left w:val="single" w:sz="4" w:space="0" w:color="auto"/>
              <w:bottom w:val="single" w:sz="4" w:space="0" w:color="auto"/>
              <w:right w:val="single" w:sz="4" w:space="0" w:color="auto"/>
            </w:tcBorders>
            <w:shd w:val="clear" w:color="auto" w:fill="auto"/>
            <w:hideMark/>
          </w:tcPr>
          <w:p w14:paraId="6A5DEF2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30AC5A7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w:t>
            </w:r>
          </w:p>
        </w:tc>
        <w:tc>
          <w:tcPr>
            <w:tcW w:w="540" w:type="dxa"/>
            <w:tcBorders>
              <w:top w:val="nil"/>
              <w:left w:val="nil"/>
              <w:bottom w:val="single" w:sz="4" w:space="0" w:color="auto"/>
              <w:right w:val="single" w:sz="4" w:space="0" w:color="auto"/>
            </w:tcBorders>
            <w:shd w:val="clear" w:color="auto" w:fill="auto"/>
            <w:hideMark/>
          </w:tcPr>
          <w:p w14:paraId="5F16B8D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05BE838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$5,000</w:t>
            </w:r>
          </w:p>
        </w:tc>
        <w:tc>
          <w:tcPr>
            <w:tcW w:w="940" w:type="dxa"/>
            <w:tcBorders>
              <w:top w:val="nil"/>
              <w:left w:val="single" w:sz="4" w:space="0" w:color="auto"/>
              <w:bottom w:val="single" w:sz="4" w:space="0" w:color="auto"/>
              <w:right w:val="nil"/>
            </w:tcBorders>
            <w:shd w:val="clear" w:color="auto" w:fill="auto"/>
            <w:hideMark/>
          </w:tcPr>
          <w:p w14:paraId="78C9717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$15,000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312D9B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42DD9FFD"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34C02D95"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b) Furniture</w:t>
            </w:r>
          </w:p>
        </w:tc>
        <w:tc>
          <w:tcPr>
            <w:tcW w:w="940" w:type="dxa"/>
            <w:tcBorders>
              <w:top w:val="nil"/>
              <w:left w:val="single" w:sz="4" w:space="0" w:color="auto"/>
              <w:bottom w:val="single" w:sz="4" w:space="0" w:color="auto"/>
              <w:right w:val="nil"/>
            </w:tcBorders>
            <w:shd w:val="clear" w:color="auto" w:fill="auto"/>
            <w:hideMark/>
          </w:tcPr>
          <w:p w14:paraId="4BA17223" w14:textId="77777777" w:rsidR="00717D19" w:rsidRPr="00717D19" w:rsidRDefault="00717D19" w:rsidP="00717D19">
            <w:pPr>
              <w:suppressAutoHyphens w:val="0"/>
              <w:spacing w:line="240" w:lineRule="auto"/>
              <w:jc w:val="right"/>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$85,524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BA48DB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62920B86"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4B4F861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   . Individual Office</w:t>
            </w:r>
            <w:r w:rsidRPr="00717D19">
              <w:rPr>
                <w:rFonts w:ascii="Calibri" w:eastAsia="Times New Roman" w:hAnsi="Calibri" w:cs="Arial"/>
                <w:spacing w:val="0"/>
                <w:w w:val="100"/>
                <w:kern w:val="0"/>
                <w:sz w:val="16"/>
                <w:szCs w:val="16"/>
                <w:vertAlign w:val="superscript"/>
                <w:lang w:eastAsia="zh-CN"/>
              </w:rPr>
              <w:t>1</w:t>
            </w:r>
          </w:p>
        </w:tc>
        <w:tc>
          <w:tcPr>
            <w:tcW w:w="940" w:type="dxa"/>
            <w:tcBorders>
              <w:top w:val="nil"/>
              <w:left w:val="single" w:sz="4" w:space="0" w:color="auto"/>
              <w:bottom w:val="single" w:sz="4" w:space="0" w:color="auto"/>
              <w:right w:val="nil"/>
            </w:tcBorders>
            <w:shd w:val="clear" w:color="auto" w:fill="auto"/>
            <w:hideMark/>
          </w:tcPr>
          <w:p w14:paraId="44D7669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u w:val="single"/>
                <w:lang w:eastAsia="zh-CN"/>
              </w:rPr>
            </w:pPr>
            <w:r w:rsidRPr="00717D19">
              <w:rPr>
                <w:rFonts w:ascii="Calibri" w:eastAsia="Times New Roman" w:hAnsi="Calibri" w:cs="Arial"/>
                <w:spacing w:val="0"/>
                <w:w w:val="100"/>
                <w:kern w:val="0"/>
                <w:sz w:val="16"/>
                <w:szCs w:val="16"/>
                <w:u w:val="single"/>
                <w:lang w:eastAsia="zh-CN"/>
              </w:rPr>
              <w:t>$24,824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687609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3E43713F"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17D0FF2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Management Office furniture set (D1/D2 level)</w:t>
            </w:r>
          </w:p>
        </w:tc>
        <w:tc>
          <w:tcPr>
            <w:tcW w:w="500" w:type="dxa"/>
            <w:tcBorders>
              <w:top w:val="nil"/>
              <w:left w:val="nil"/>
              <w:bottom w:val="single" w:sz="4" w:space="0" w:color="auto"/>
              <w:right w:val="single" w:sz="4" w:space="0" w:color="auto"/>
            </w:tcBorders>
            <w:shd w:val="clear" w:color="auto" w:fill="auto"/>
            <w:hideMark/>
          </w:tcPr>
          <w:p w14:paraId="47D85A9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2186F9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0E7E66D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223C6EF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$6,117</w:t>
            </w:r>
          </w:p>
        </w:tc>
        <w:tc>
          <w:tcPr>
            <w:tcW w:w="940" w:type="dxa"/>
            <w:tcBorders>
              <w:top w:val="nil"/>
              <w:left w:val="single" w:sz="4" w:space="0" w:color="auto"/>
              <w:bottom w:val="single" w:sz="4" w:space="0" w:color="auto"/>
              <w:right w:val="nil"/>
            </w:tcBorders>
            <w:shd w:val="clear" w:color="auto" w:fill="auto"/>
            <w:hideMark/>
          </w:tcPr>
          <w:p w14:paraId="037AF02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$6,117</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E5BAE8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7DE9308B"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3C5C4F8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Standard Office furniture set (P5 level)</w:t>
            </w:r>
          </w:p>
        </w:tc>
        <w:tc>
          <w:tcPr>
            <w:tcW w:w="500" w:type="dxa"/>
            <w:tcBorders>
              <w:top w:val="nil"/>
              <w:left w:val="nil"/>
              <w:bottom w:val="single" w:sz="4" w:space="0" w:color="auto"/>
              <w:right w:val="single" w:sz="4" w:space="0" w:color="auto"/>
            </w:tcBorders>
            <w:shd w:val="clear" w:color="auto" w:fill="auto"/>
            <w:hideMark/>
          </w:tcPr>
          <w:p w14:paraId="3C64FA5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08E4A9D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w:t>
            </w:r>
          </w:p>
        </w:tc>
        <w:tc>
          <w:tcPr>
            <w:tcW w:w="540" w:type="dxa"/>
            <w:tcBorders>
              <w:top w:val="nil"/>
              <w:left w:val="nil"/>
              <w:bottom w:val="single" w:sz="4" w:space="0" w:color="auto"/>
              <w:right w:val="single" w:sz="4" w:space="0" w:color="auto"/>
            </w:tcBorders>
            <w:shd w:val="clear" w:color="auto" w:fill="auto"/>
            <w:hideMark/>
          </w:tcPr>
          <w:p w14:paraId="47541C2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00C8105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$2,280</w:t>
            </w:r>
          </w:p>
        </w:tc>
        <w:tc>
          <w:tcPr>
            <w:tcW w:w="940" w:type="dxa"/>
            <w:tcBorders>
              <w:top w:val="nil"/>
              <w:left w:val="single" w:sz="4" w:space="0" w:color="auto"/>
              <w:bottom w:val="single" w:sz="4" w:space="0" w:color="auto"/>
              <w:right w:val="nil"/>
            </w:tcBorders>
            <w:shd w:val="clear" w:color="auto" w:fill="auto"/>
            <w:hideMark/>
          </w:tcPr>
          <w:p w14:paraId="1627476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$4,560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BEAE89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0BB5FE4E"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75F844B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Standard Office furniture set (G6-P4 level)</w:t>
            </w:r>
          </w:p>
        </w:tc>
        <w:tc>
          <w:tcPr>
            <w:tcW w:w="500" w:type="dxa"/>
            <w:tcBorders>
              <w:top w:val="nil"/>
              <w:left w:val="nil"/>
              <w:bottom w:val="single" w:sz="4" w:space="0" w:color="auto"/>
              <w:right w:val="single" w:sz="4" w:space="0" w:color="auto"/>
            </w:tcBorders>
            <w:shd w:val="clear" w:color="auto" w:fill="auto"/>
            <w:hideMark/>
          </w:tcPr>
          <w:p w14:paraId="507058C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010A845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7</w:t>
            </w:r>
          </w:p>
        </w:tc>
        <w:tc>
          <w:tcPr>
            <w:tcW w:w="540" w:type="dxa"/>
            <w:tcBorders>
              <w:top w:val="nil"/>
              <w:left w:val="nil"/>
              <w:bottom w:val="single" w:sz="4" w:space="0" w:color="auto"/>
              <w:right w:val="single" w:sz="4" w:space="0" w:color="auto"/>
            </w:tcBorders>
            <w:shd w:val="clear" w:color="auto" w:fill="auto"/>
            <w:hideMark/>
          </w:tcPr>
          <w:p w14:paraId="0B84B4D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7D1B23E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$2,021</w:t>
            </w:r>
          </w:p>
        </w:tc>
        <w:tc>
          <w:tcPr>
            <w:tcW w:w="940" w:type="dxa"/>
            <w:tcBorders>
              <w:top w:val="nil"/>
              <w:left w:val="single" w:sz="4" w:space="0" w:color="auto"/>
              <w:bottom w:val="single" w:sz="4" w:space="0" w:color="auto"/>
              <w:right w:val="nil"/>
            </w:tcBorders>
            <w:shd w:val="clear" w:color="auto" w:fill="auto"/>
            <w:hideMark/>
          </w:tcPr>
          <w:p w14:paraId="153E35C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$14,147</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EA2843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47D458DE"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5FE9BA2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   . Conference Room</w:t>
            </w:r>
          </w:p>
        </w:tc>
        <w:tc>
          <w:tcPr>
            <w:tcW w:w="940" w:type="dxa"/>
            <w:tcBorders>
              <w:top w:val="nil"/>
              <w:left w:val="single" w:sz="4" w:space="0" w:color="auto"/>
              <w:bottom w:val="single" w:sz="4" w:space="0" w:color="auto"/>
              <w:right w:val="nil"/>
            </w:tcBorders>
            <w:shd w:val="clear" w:color="auto" w:fill="auto"/>
            <w:hideMark/>
          </w:tcPr>
          <w:p w14:paraId="2497060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u w:val="single"/>
                <w:lang w:eastAsia="zh-CN"/>
              </w:rPr>
            </w:pPr>
            <w:r w:rsidRPr="00717D19">
              <w:rPr>
                <w:rFonts w:ascii="Calibri" w:eastAsia="Times New Roman" w:hAnsi="Calibri" w:cs="Arial"/>
                <w:spacing w:val="0"/>
                <w:w w:val="100"/>
                <w:kern w:val="0"/>
                <w:sz w:val="16"/>
                <w:szCs w:val="16"/>
                <w:u w:val="single"/>
                <w:lang w:eastAsia="zh-CN"/>
              </w:rPr>
              <w:t>$28,200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0CF9D5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0ED1F779"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386207F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Conference Table </w:t>
            </w:r>
          </w:p>
        </w:tc>
        <w:tc>
          <w:tcPr>
            <w:tcW w:w="500" w:type="dxa"/>
            <w:tcBorders>
              <w:top w:val="nil"/>
              <w:left w:val="nil"/>
              <w:bottom w:val="single" w:sz="4" w:space="0" w:color="auto"/>
              <w:right w:val="single" w:sz="4" w:space="0" w:color="auto"/>
            </w:tcBorders>
            <w:shd w:val="clear" w:color="auto" w:fill="auto"/>
            <w:hideMark/>
          </w:tcPr>
          <w:p w14:paraId="23D7E42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2C593F3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76DB8CB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5FB1C02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$12,000</w:t>
            </w:r>
          </w:p>
        </w:tc>
        <w:tc>
          <w:tcPr>
            <w:tcW w:w="940" w:type="dxa"/>
            <w:tcBorders>
              <w:top w:val="nil"/>
              <w:left w:val="single" w:sz="4" w:space="0" w:color="auto"/>
              <w:bottom w:val="single" w:sz="4" w:space="0" w:color="auto"/>
              <w:right w:val="nil"/>
            </w:tcBorders>
            <w:shd w:val="clear" w:color="auto" w:fill="auto"/>
            <w:hideMark/>
          </w:tcPr>
          <w:p w14:paraId="4125DEF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4E70C5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650A7A96"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280F8C7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Conference/visitor chairs</w:t>
            </w:r>
          </w:p>
        </w:tc>
        <w:tc>
          <w:tcPr>
            <w:tcW w:w="500" w:type="dxa"/>
            <w:tcBorders>
              <w:top w:val="nil"/>
              <w:left w:val="nil"/>
              <w:bottom w:val="single" w:sz="4" w:space="0" w:color="auto"/>
              <w:right w:val="single" w:sz="4" w:space="0" w:color="auto"/>
            </w:tcBorders>
            <w:shd w:val="clear" w:color="auto" w:fill="auto"/>
            <w:hideMark/>
          </w:tcPr>
          <w:p w14:paraId="778C6AD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60EBFAD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36</w:t>
            </w:r>
          </w:p>
        </w:tc>
        <w:tc>
          <w:tcPr>
            <w:tcW w:w="540" w:type="dxa"/>
            <w:tcBorders>
              <w:top w:val="nil"/>
              <w:left w:val="nil"/>
              <w:bottom w:val="single" w:sz="4" w:space="0" w:color="auto"/>
              <w:right w:val="single" w:sz="4" w:space="0" w:color="auto"/>
            </w:tcBorders>
            <w:shd w:val="clear" w:color="auto" w:fill="auto"/>
            <w:hideMark/>
          </w:tcPr>
          <w:p w14:paraId="58022B0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66394BC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$450</w:t>
            </w:r>
          </w:p>
        </w:tc>
        <w:tc>
          <w:tcPr>
            <w:tcW w:w="940" w:type="dxa"/>
            <w:tcBorders>
              <w:top w:val="nil"/>
              <w:left w:val="single" w:sz="4" w:space="0" w:color="auto"/>
              <w:bottom w:val="single" w:sz="4" w:space="0" w:color="auto"/>
              <w:right w:val="nil"/>
            </w:tcBorders>
            <w:shd w:val="clear" w:color="auto" w:fill="auto"/>
            <w:hideMark/>
          </w:tcPr>
          <w:p w14:paraId="3F1C55B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$16,200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D118AE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46EDBB89"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5E0DAEF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   . Other furniture</w:t>
            </w:r>
          </w:p>
        </w:tc>
        <w:tc>
          <w:tcPr>
            <w:tcW w:w="500" w:type="dxa"/>
            <w:tcBorders>
              <w:top w:val="nil"/>
              <w:left w:val="nil"/>
              <w:bottom w:val="single" w:sz="4" w:space="0" w:color="auto"/>
              <w:right w:val="single" w:sz="4" w:space="0" w:color="auto"/>
            </w:tcBorders>
            <w:shd w:val="clear" w:color="auto" w:fill="auto"/>
            <w:hideMark/>
          </w:tcPr>
          <w:p w14:paraId="4DFD6DA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0E65780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40" w:type="dxa"/>
            <w:tcBorders>
              <w:top w:val="nil"/>
              <w:left w:val="nil"/>
              <w:bottom w:val="single" w:sz="4" w:space="0" w:color="auto"/>
              <w:right w:val="single" w:sz="4" w:space="0" w:color="auto"/>
            </w:tcBorders>
            <w:shd w:val="clear" w:color="auto" w:fill="auto"/>
            <w:hideMark/>
          </w:tcPr>
          <w:p w14:paraId="65BAEA9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4EC60C8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nil"/>
              <w:bottom w:val="single" w:sz="4" w:space="0" w:color="auto"/>
              <w:right w:val="single" w:sz="4" w:space="0" w:color="auto"/>
            </w:tcBorders>
            <w:shd w:val="clear" w:color="auto" w:fill="auto"/>
            <w:hideMark/>
          </w:tcPr>
          <w:p w14:paraId="1EDB6BF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u w:val="single"/>
                <w:lang w:eastAsia="zh-CN"/>
              </w:rPr>
            </w:pPr>
            <w:r w:rsidRPr="00717D19">
              <w:rPr>
                <w:rFonts w:ascii="Calibri" w:eastAsia="Times New Roman" w:hAnsi="Calibri" w:cs="Arial"/>
                <w:spacing w:val="0"/>
                <w:w w:val="100"/>
                <w:kern w:val="0"/>
                <w:sz w:val="16"/>
                <w:szCs w:val="16"/>
                <w:u w:val="single"/>
                <w:lang w:eastAsia="zh-CN"/>
              </w:rPr>
              <w:t>$32,500</w:t>
            </w:r>
          </w:p>
        </w:tc>
        <w:tc>
          <w:tcPr>
            <w:tcW w:w="1080" w:type="dxa"/>
            <w:tcBorders>
              <w:top w:val="nil"/>
              <w:left w:val="nil"/>
              <w:bottom w:val="single" w:sz="4" w:space="0" w:color="auto"/>
              <w:right w:val="single" w:sz="4" w:space="0" w:color="auto"/>
            </w:tcBorders>
            <w:shd w:val="clear" w:color="auto" w:fill="auto"/>
            <w:noWrap/>
            <w:vAlign w:val="bottom"/>
            <w:hideMark/>
          </w:tcPr>
          <w:p w14:paraId="62C8A84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264AFEE9"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294052A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Bookcases, filing cabinets</w:t>
            </w:r>
          </w:p>
        </w:tc>
        <w:tc>
          <w:tcPr>
            <w:tcW w:w="500" w:type="dxa"/>
            <w:tcBorders>
              <w:top w:val="nil"/>
              <w:left w:val="nil"/>
              <w:bottom w:val="single" w:sz="4" w:space="0" w:color="auto"/>
              <w:right w:val="single" w:sz="4" w:space="0" w:color="auto"/>
            </w:tcBorders>
            <w:shd w:val="clear" w:color="auto" w:fill="auto"/>
            <w:hideMark/>
          </w:tcPr>
          <w:p w14:paraId="23AEDED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06A82E6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w:t>
            </w:r>
          </w:p>
        </w:tc>
        <w:tc>
          <w:tcPr>
            <w:tcW w:w="540" w:type="dxa"/>
            <w:tcBorders>
              <w:top w:val="nil"/>
              <w:left w:val="nil"/>
              <w:bottom w:val="single" w:sz="4" w:space="0" w:color="auto"/>
              <w:right w:val="single" w:sz="4" w:space="0" w:color="auto"/>
            </w:tcBorders>
            <w:shd w:val="clear" w:color="auto" w:fill="auto"/>
            <w:hideMark/>
          </w:tcPr>
          <w:p w14:paraId="7D09241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62BB990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w:t>
            </w:r>
          </w:p>
        </w:tc>
        <w:tc>
          <w:tcPr>
            <w:tcW w:w="940" w:type="dxa"/>
            <w:tcBorders>
              <w:top w:val="nil"/>
              <w:left w:val="single" w:sz="4" w:space="0" w:color="auto"/>
              <w:bottom w:val="single" w:sz="4" w:space="0" w:color="auto"/>
              <w:right w:val="nil"/>
            </w:tcBorders>
            <w:shd w:val="clear" w:color="auto" w:fill="auto"/>
            <w:hideMark/>
          </w:tcPr>
          <w:p w14:paraId="51EA340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0DBAB6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1F6C9CED"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2621F37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Coffee table, 4 armchairs</w:t>
            </w:r>
          </w:p>
        </w:tc>
        <w:tc>
          <w:tcPr>
            <w:tcW w:w="500" w:type="dxa"/>
            <w:tcBorders>
              <w:top w:val="nil"/>
              <w:left w:val="nil"/>
              <w:bottom w:val="single" w:sz="4" w:space="0" w:color="auto"/>
              <w:right w:val="single" w:sz="4" w:space="0" w:color="auto"/>
            </w:tcBorders>
            <w:shd w:val="clear" w:color="auto" w:fill="auto"/>
            <w:hideMark/>
          </w:tcPr>
          <w:p w14:paraId="7F86906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685F57C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2CB821E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2EFA3B6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$7,500</w:t>
            </w:r>
          </w:p>
        </w:tc>
        <w:tc>
          <w:tcPr>
            <w:tcW w:w="940" w:type="dxa"/>
            <w:tcBorders>
              <w:top w:val="nil"/>
              <w:left w:val="single" w:sz="4" w:space="0" w:color="auto"/>
              <w:bottom w:val="single" w:sz="4" w:space="0" w:color="auto"/>
              <w:right w:val="nil"/>
            </w:tcBorders>
            <w:shd w:val="clear" w:color="auto" w:fill="auto"/>
            <w:hideMark/>
          </w:tcPr>
          <w:p w14:paraId="50C5514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$7,500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CCCFF5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6DC25277"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24CCEE4A"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c) Materials and supplies</w:t>
            </w:r>
          </w:p>
        </w:tc>
        <w:tc>
          <w:tcPr>
            <w:tcW w:w="940" w:type="dxa"/>
            <w:tcBorders>
              <w:top w:val="nil"/>
              <w:left w:val="single" w:sz="4" w:space="0" w:color="auto"/>
              <w:bottom w:val="single" w:sz="4" w:space="0" w:color="auto"/>
              <w:right w:val="nil"/>
            </w:tcBorders>
            <w:shd w:val="clear" w:color="auto" w:fill="auto"/>
            <w:hideMark/>
          </w:tcPr>
          <w:p w14:paraId="64DE5D94"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$17,500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1B8E8A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5BE628C6"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52E28C7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Library books</w:t>
            </w:r>
          </w:p>
        </w:tc>
        <w:tc>
          <w:tcPr>
            <w:tcW w:w="500" w:type="dxa"/>
            <w:tcBorders>
              <w:top w:val="nil"/>
              <w:left w:val="nil"/>
              <w:bottom w:val="single" w:sz="4" w:space="0" w:color="auto"/>
              <w:right w:val="single" w:sz="4" w:space="0" w:color="auto"/>
            </w:tcBorders>
            <w:shd w:val="clear" w:color="auto" w:fill="auto"/>
            <w:hideMark/>
          </w:tcPr>
          <w:p w14:paraId="5833F7D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CB8C76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37C7A14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0081E95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$17,500</w:t>
            </w:r>
          </w:p>
        </w:tc>
        <w:tc>
          <w:tcPr>
            <w:tcW w:w="940" w:type="dxa"/>
            <w:tcBorders>
              <w:top w:val="nil"/>
              <w:left w:val="single" w:sz="4" w:space="0" w:color="auto"/>
              <w:bottom w:val="single" w:sz="4" w:space="0" w:color="auto"/>
              <w:right w:val="nil"/>
            </w:tcBorders>
            <w:shd w:val="clear" w:color="auto" w:fill="auto"/>
            <w:hideMark/>
          </w:tcPr>
          <w:p w14:paraId="12E2A22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$17,500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B7468D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01042E56"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27B72C61"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d) Services</w:t>
            </w:r>
          </w:p>
        </w:tc>
        <w:tc>
          <w:tcPr>
            <w:tcW w:w="940" w:type="dxa"/>
            <w:tcBorders>
              <w:top w:val="nil"/>
              <w:left w:val="nil"/>
              <w:bottom w:val="single" w:sz="4" w:space="0" w:color="auto"/>
              <w:right w:val="single" w:sz="4" w:space="0" w:color="auto"/>
            </w:tcBorders>
            <w:shd w:val="clear" w:color="auto" w:fill="auto"/>
            <w:hideMark/>
          </w:tcPr>
          <w:p w14:paraId="392E4B5F"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$105,000</w:t>
            </w:r>
          </w:p>
        </w:tc>
        <w:tc>
          <w:tcPr>
            <w:tcW w:w="1080" w:type="dxa"/>
            <w:tcBorders>
              <w:top w:val="nil"/>
              <w:left w:val="nil"/>
              <w:bottom w:val="single" w:sz="4" w:space="0" w:color="auto"/>
              <w:right w:val="single" w:sz="4" w:space="0" w:color="auto"/>
            </w:tcBorders>
            <w:shd w:val="clear" w:color="auto" w:fill="auto"/>
            <w:noWrap/>
            <w:vAlign w:val="bottom"/>
            <w:hideMark/>
          </w:tcPr>
          <w:p w14:paraId="400E55F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424A369E"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87251A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Website development (multilingual)</w:t>
            </w:r>
          </w:p>
        </w:tc>
        <w:tc>
          <w:tcPr>
            <w:tcW w:w="500" w:type="dxa"/>
            <w:tcBorders>
              <w:top w:val="nil"/>
              <w:left w:val="nil"/>
              <w:bottom w:val="single" w:sz="4" w:space="0" w:color="auto"/>
              <w:right w:val="single" w:sz="4" w:space="0" w:color="auto"/>
            </w:tcBorders>
            <w:shd w:val="clear" w:color="auto" w:fill="auto"/>
            <w:noWrap/>
            <w:vAlign w:val="bottom"/>
            <w:hideMark/>
          </w:tcPr>
          <w:p w14:paraId="74B3B7F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noWrap/>
            <w:vAlign w:val="bottom"/>
            <w:hideMark/>
          </w:tcPr>
          <w:p w14:paraId="2DA5F9A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noWrap/>
            <w:vAlign w:val="bottom"/>
            <w:hideMark/>
          </w:tcPr>
          <w:p w14:paraId="536664D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1A374D4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$80,000</w:t>
            </w:r>
          </w:p>
        </w:tc>
        <w:tc>
          <w:tcPr>
            <w:tcW w:w="940" w:type="dxa"/>
            <w:tcBorders>
              <w:top w:val="nil"/>
              <w:left w:val="single" w:sz="4" w:space="0" w:color="auto"/>
              <w:bottom w:val="single" w:sz="4" w:space="0" w:color="auto"/>
              <w:right w:val="nil"/>
            </w:tcBorders>
            <w:shd w:val="clear" w:color="auto" w:fill="auto"/>
            <w:hideMark/>
          </w:tcPr>
          <w:p w14:paraId="569D112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2A72BD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59B6D232" w14:textId="77777777" w:rsidTr="00717D19">
        <w:trPr>
          <w:trHeight w:val="240"/>
        </w:trPr>
        <w:tc>
          <w:tcPr>
            <w:tcW w:w="4680" w:type="dxa"/>
            <w:tcBorders>
              <w:top w:val="nil"/>
              <w:left w:val="single" w:sz="4" w:space="0" w:color="auto"/>
              <w:bottom w:val="single" w:sz="4" w:space="0" w:color="auto"/>
              <w:right w:val="nil"/>
            </w:tcBorders>
            <w:shd w:val="clear" w:color="auto" w:fill="auto"/>
            <w:noWrap/>
            <w:vAlign w:val="bottom"/>
            <w:hideMark/>
          </w:tcPr>
          <w:p w14:paraId="341E1ED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Database </w:t>
            </w:r>
            <w:proofErr w:type="spellStart"/>
            <w:r w:rsidRPr="00717D19">
              <w:rPr>
                <w:rFonts w:ascii="Calibri" w:eastAsia="Times New Roman" w:hAnsi="Calibri" w:cs="Arial"/>
                <w:spacing w:val="0"/>
                <w:w w:val="100"/>
                <w:kern w:val="0"/>
                <w:sz w:val="16"/>
                <w:szCs w:val="16"/>
                <w:lang w:eastAsia="zh-CN"/>
              </w:rPr>
              <w:t>developmet</w:t>
            </w:r>
            <w:proofErr w:type="spellEnd"/>
            <w:r w:rsidRPr="00717D19">
              <w:rPr>
                <w:rFonts w:ascii="Calibri" w:eastAsia="Times New Roman" w:hAnsi="Calibri" w:cs="Arial"/>
                <w:spacing w:val="0"/>
                <w:w w:val="100"/>
                <w:kern w:val="0"/>
                <w:sz w:val="16"/>
                <w:szCs w:val="16"/>
                <w:lang w:eastAsia="zh-CN"/>
              </w:rPr>
              <w:t xml:space="preserve"> "Collection best practices"</w:t>
            </w:r>
          </w:p>
        </w:tc>
        <w:tc>
          <w:tcPr>
            <w:tcW w:w="500" w:type="dxa"/>
            <w:tcBorders>
              <w:top w:val="nil"/>
              <w:left w:val="nil"/>
              <w:bottom w:val="single" w:sz="4" w:space="0" w:color="auto"/>
              <w:right w:val="nil"/>
            </w:tcBorders>
            <w:shd w:val="clear" w:color="auto" w:fill="auto"/>
            <w:noWrap/>
            <w:vAlign w:val="bottom"/>
            <w:hideMark/>
          </w:tcPr>
          <w:p w14:paraId="029311D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nil"/>
            </w:tcBorders>
            <w:shd w:val="clear" w:color="auto" w:fill="auto"/>
            <w:noWrap/>
            <w:vAlign w:val="bottom"/>
            <w:hideMark/>
          </w:tcPr>
          <w:p w14:paraId="5F1FAA0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nil"/>
            </w:tcBorders>
            <w:shd w:val="clear" w:color="auto" w:fill="auto"/>
            <w:noWrap/>
            <w:vAlign w:val="bottom"/>
            <w:hideMark/>
          </w:tcPr>
          <w:p w14:paraId="5CCBFC8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18A4D52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$25,000</w:t>
            </w:r>
          </w:p>
        </w:tc>
        <w:tc>
          <w:tcPr>
            <w:tcW w:w="940" w:type="dxa"/>
            <w:tcBorders>
              <w:top w:val="nil"/>
              <w:left w:val="single" w:sz="4" w:space="0" w:color="auto"/>
              <w:bottom w:val="single" w:sz="4" w:space="0" w:color="auto"/>
              <w:right w:val="nil"/>
            </w:tcBorders>
            <w:shd w:val="clear" w:color="auto" w:fill="auto"/>
            <w:hideMark/>
          </w:tcPr>
          <w:p w14:paraId="06917BB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6446A8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42EB0B98" w14:textId="77777777" w:rsidTr="00717D19">
        <w:trPr>
          <w:trHeight w:val="300"/>
        </w:trPr>
        <w:tc>
          <w:tcPr>
            <w:tcW w:w="7020"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55AAA141"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RECURRING COSTS (per annum)</w:t>
            </w:r>
          </w:p>
        </w:tc>
        <w:tc>
          <w:tcPr>
            <w:tcW w:w="940" w:type="dxa"/>
            <w:tcBorders>
              <w:top w:val="nil"/>
              <w:left w:val="nil"/>
              <w:bottom w:val="single" w:sz="4" w:space="0" w:color="auto"/>
              <w:right w:val="single" w:sz="4" w:space="0" w:color="auto"/>
            </w:tcBorders>
            <w:shd w:val="clear" w:color="000000" w:fill="C5D9F1"/>
            <w:noWrap/>
            <w:vAlign w:val="bottom"/>
            <w:hideMark/>
          </w:tcPr>
          <w:p w14:paraId="0DF9135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080" w:type="dxa"/>
            <w:tcBorders>
              <w:top w:val="nil"/>
              <w:left w:val="nil"/>
              <w:bottom w:val="single" w:sz="4" w:space="0" w:color="auto"/>
              <w:right w:val="single" w:sz="4" w:space="0" w:color="auto"/>
            </w:tcBorders>
            <w:shd w:val="clear" w:color="000000" w:fill="C5D9F1"/>
            <w:noWrap/>
            <w:vAlign w:val="center"/>
            <w:hideMark/>
          </w:tcPr>
          <w:p w14:paraId="276759C1"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$2,640,824</w:t>
            </w:r>
          </w:p>
        </w:tc>
      </w:tr>
      <w:tr w:rsidR="00717D19" w:rsidRPr="00717D19" w14:paraId="4B149352" w14:textId="77777777" w:rsidTr="00717D19">
        <w:trPr>
          <w:trHeight w:val="300"/>
        </w:trPr>
        <w:tc>
          <w:tcPr>
            <w:tcW w:w="4680" w:type="dxa"/>
            <w:tcBorders>
              <w:top w:val="nil"/>
              <w:left w:val="single" w:sz="4" w:space="0" w:color="auto"/>
              <w:bottom w:val="single" w:sz="4" w:space="0" w:color="auto"/>
              <w:right w:val="nil"/>
            </w:tcBorders>
            <w:shd w:val="clear" w:color="000000" w:fill="FFFFFF"/>
            <w:noWrap/>
            <w:vAlign w:val="center"/>
            <w:hideMark/>
          </w:tcPr>
          <w:p w14:paraId="4E288ED3"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a) Rent</w:t>
            </w:r>
          </w:p>
        </w:tc>
        <w:tc>
          <w:tcPr>
            <w:tcW w:w="500" w:type="dxa"/>
            <w:tcBorders>
              <w:top w:val="nil"/>
              <w:left w:val="nil"/>
              <w:bottom w:val="single" w:sz="4" w:space="0" w:color="auto"/>
              <w:right w:val="nil"/>
            </w:tcBorders>
            <w:shd w:val="clear" w:color="000000" w:fill="FFFFFF"/>
            <w:noWrap/>
            <w:vAlign w:val="center"/>
            <w:hideMark/>
          </w:tcPr>
          <w:p w14:paraId="04FC0ED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nil"/>
            </w:tcBorders>
            <w:shd w:val="clear" w:color="000000" w:fill="FFFFFF"/>
            <w:noWrap/>
            <w:vAlign w:val="center"/>
            <w:hideMark/>
          </w:tcPr>
          <w:p w14:paraId="54D328C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40" w:type="dxa"/>
            <w:tcBorders>
              <w:top w:val="nil"/>
              <w:left w:val="nil"/>
              <w:bottom w:val="single" w:sz="4" w:space="0" w:color="auto"/>
              <w:right w:val="nil"/>
            </w:tcBorders>
            <w:shd w:val="clear" w:color="000000" w:fill="FFFFFF"/>
            <w:noWrap/>
            <w:vAlign w:val="center"/>
            <w:hideMark/>
          </w:tcPr>
          <w:p w14:paraId="43D1054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000000" w:fill="FFFFFF"/>
            <w:noWrap/>
            <w:vAlign w:val="center"/>
            <w:hideMark/>
          </w:tcPr>
          <w:p w14:paraId="44C3851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nil"/>
              <w:bottom w:val="single" w:sz="4" w:space="0" w:color="auto"/>
              <w:right w:val="single" w:sz="4" w:space="0" w:color="auto"/>
            </w:tcBorders>
            <w:shd w:val="clear" w:color="000000" w:fill="FFFFFF"/>
            <w:noWrap/>
            <w:vAlign w:val="bottom"/>
            <w:hideMark/>
          </w:tcPr>
          <w:p w14:paraId="1BD50A6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6FD362F"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 </w:t>
            </w:r>
          </w:p>
        </w:tc>
      </w:tr>
      <w:tr w:rsidR="00717D19" w:rsidRPr="00717D19" w14:paraId="571B20D6" w14:textId="77777777" w:rsidTr="00717D19">
        <w:trPr>
          <w:trHeight w:val="300"/>
        </w:trPr>
        <w:tc>
          <w:tcPr>
            <w:tcW w:w="4680" w:type="dxa"/>
            <w:tcBorders>
              <w:top w:val="nil"/>
              <w:left w:val="single" w:sz="4" w:space="0" w:color="auto"/>
              <w:bottom w:val="single" w:sz="4" w:space="0" w:color="auto"/>
              <w:right w:val="single" w:sz="4" w:space="0" w:color="auto"/>
            </w:tcBorders>
            <w:shd w:val="clear" w:color="auto" w:fill="auto"/>
            <w:hideMark/>
          </w:tcPr>
          <w:p w14:paraId="6F64A05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Rental costs depending on location</w:t>
            </w:r>
          </w:p>
        </w:tc>
        <w:tc>
          <w:tcPr>
            <w:tcW w:w="500" w:type="dxa"/>
            <w:tcBorders>
              <w:top w:val="nil"/>
              <w:left w:val="nil"/>
              <w:bottom w:val="single" w:sz="4" w:space="0" w:color="auto"/>
              <w:right w:val="single" w:sz="4" w:space="0" w:color="auto"/>
            </w:tcBorders>
            <w:shd w:val="clear" w:color="auto" w:fill="auto"/>
            <w:hideMark/>
          </w:tcPr>
          <w:p w14:paraId="0268AEA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0501369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40" w:type="dxa"/>
            <w:tcBorders>
              <w:top w:val="nil"/>
              <w:left w:val="nil"/>
              <w:bottom w:val="single" w:sz="4" w:space="0" w:color="auto"/>
              <w:right w:val="single" w:sz="4" w:space="0" w:color="auto"/>
            </w:tcBorders>
            <w:shd w:val="clear" w:color="auto" w:fill="auto"/>
            <w:hideMark/>
          </w:tcPr>
          <w:p w14:paraId="1A97938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4404532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nil"/>
              <w:bottom w:val="single" w:sz="4" w:space="0" w:color="auto"/>
              <w:right w:val="single" w:sz="4" w:space="0" w:color="auto"/>
            </w:tcBorders>
            <w:shd w:val="clear" w:color="000000" w:fill="FFFFFF"/>
            <w:noWrap/>
            <w:vAlign w:val="bottom"/>
            <w:hideMark/>
          </w:tcPr>
          <w:p w14:paraId="74F66F3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2D1699E8"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 </w:t>
            </w:r>
          </w:p>
        </w:tc>
      </w:tr>
      <w:tr w:rsidR="00717D19" w:rsidRPr="00717D19" w14:paraId="3A581096" w14:textId="77777777" w:rsidTr="00717D19">
        <w:trPr>
          <w:trHeight w:val="240"/>
        </w:trPr>
        <w:tc>
          <w:tcPr>
            <w:tcW w:w="57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6C79D7D"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b) Buildings maintenance, utilities (including security)</w:t>
            </w:r>
            <w:r w:rsidRPr="00717D19">
              <w:rPr>
                <w:rFonts w:ascii="Calibri" w:eastAsia="Times New Roman" w:hAnsi="Calibri" w:cs="Arial"/>
                <w:b/>
                <w:bCs/>
                <w:i/>
                <w:iCs/>
                <w:spacing w:val="0"/>
                <w:w w:val="100"/>
                <w:kern w:val="0"/>
                <w:sz w:val="16"/>
                <w:szCs w:val="16"/>
                <w:vertAlign w:val="superscript"/>
                <w:lang w:eastAsia="zh-CN"/>
              </w:rPr>
              <w:t>1</w:t>
            </w:r>
          </w:p>
        </w:tc>
        <w:tc>
          <w:tcPr>
            <w:tcW w:w="540" w:type="dxa"/>
            <w:tcBorders>
              <w:top w:val="nil"/>
              <w:left w:val="nil"/>
              <w:bottom w:val="single" w:sz="4" w:space="0" w:color="auto"/>
              <w:right w:val="single" w:sz="4" w:space="0" w:color="auto"/>
            </w:tcBorders>
            <w:shd w:val="clear" w:color="auto" w:fill="auto"/>
            <w:noWrap/>
            <w:hideMark/>
          </w:tcPr>
          <w:p w14:paraId="72F1A5E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266</w:t>
            </w:r>
          </w:p>
        </w:tc>
        <w:tc>
          <w:tcPr>
            <w:tcW w:w="780" w:type="dxa"/>
            <w:tcBorders>
              <w:top w:val="nil"/>
              <w:left w:val="nil"/>
              <w:bottom w:val="single" w:sz="4" w:space="0" w:color="auto"/>
              <w:right w:val="single" w:sz="4" w:space="0" w:color="auto"/>
            </w:tcBorders>
            <w:shd w:val="clear" w:color="auto" w:fill="auto"/>
            <w:noWrap/>
            <w:hideMark/>
          </w:tcPr>
          <w:p w14:paraId="3B7601B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single" w:sz="4" w:space="0" w:color="auto"/>
              <w:bottom w:val="single" w:sz="4" w:space="0" w:color="auto"/>
              <w:right w:val="nil"/>
            </w:tcBorders>
            <w:shd w:val="clear" w:color="auto" w:fill="auto"/>
            <w:noWrap/>
            <w:vAlign w:val="bottom"/>
            <w:hideMark/>
          </w:tcPr>
          <w:p w14:paraId="392D3DF9" w14:textId="77777777" w:rsidR="00717D19" w:rsidRPr="00717D19" w:rsidRDefault="00717D19" w:rsidP="00717D19">
            <w:pPr>
              <w:suppressAutoHyphens w:val="0"/>
              <w:spacing w:line="240" w:lineRule="auto"/>
              <w:jc w:val="right"/>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$99,124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7AF478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60E868E2"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5F811EB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Management office</w:t>
            </w:r>
          </w:p>
        </w:tc>
        <w:tc>
          <w:tcPr>
            <w:tcW w:w="500" w:type="dxa"/>
            <w:tcBorders>
              <w:top w:val="nil"/>
              <w:left w:val="nil"/>
              <w:bottom w:val="single" w:sz="4" w:space="0" w:color="auto"/>
              <w:right w:val="single" w:sz="4" w:space="0" w:color="auto"/>
            </w:tcBorders>
            <w:shd w:val="clear" w:color="auto" w:fill="auto"/>
            <w:hideMark/>
          </w:tcPr>
          <w:p w14:paraId="77840C3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27</w:t>
            </w:r>
          </w:p>
        </w:tc>
        <w:tc>
          <w:tcPr>
            <w:tcW w:w="520" w:type="dxa"/>
            <w:tcBorders>
              <w:top w:val="nil"/>
              <w:left w:val="nil"/>
              <w:bottom w:val="single" w:sz="4" w:space="0" w:color="auto"/>
              <w:right w:val="single" w:sz="4" w:space="0" w:color="auto"/>
            </w:tcBorders>
            <w:shd w:val="clear" w:color="auto" w:fill="auto"/>
            <w:hideMark/>
          </w:tcPr>
          <w:p w14:paraId="1FD6CED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0EC8DA3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27</w:t>
            </w:r>
          </w:p>
        </w:tc>
        <w:tc>
          <w:tcPr>
            <w:tcW w:w="780" w:type="dxa"/>
            <w:tcBorders>
              <w:top w:val="nil"/>
              <w:left w:val="nil"/>
              <w:bottom w:val="single" w:sz="4" w:space="0" w:color="auto"/>
              <w:right w:val="single" w:sz="4" w:space="0" w:color="auto"/>
            </w:tcBorders>
            <w:shd w:val="clear" w:color="auto" w:fill="auto"/>
            <w:hideMark/>
          </w:tcPr>
          <w:p w14:paraId="4A67D22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$10,080</w:t>
            </w:r>
          </w:p>
        </w:tc>
        <w:tc>
          <w:tcPr>
            <w:tcW w:w="940" w:type="dxa"/>
            <w:tcBorders>
              <w:top w:val="nil"/>
              <w:left w:val="single" w:sz="4" w:space="0" w:color="auto"/>
              <w:bottom w:val="single" w:sz="4" w:space="0" w:color="auto"/>
              <w:right w:val="nil"/>
            </w:tcBorders>
            <w:shd w:val="clear" w:color="auto" w:fill="auto"/>
            <w:hideMark/>
          </w:tcPr>
          <w:p w14:paraId="0BF63D7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$10,080.45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0A1F95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36A244BB"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4F0C88D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Standard Office </w:t>
            </w:r>
            <w:r w:rsidRPr="00717D19">
              <w:rPr>
                <w:rFonts w:ascii="Calibri" w:eastAsia="Times New Roman" w:hAnsi="Calibri" w:cs="Arial"/>
                <w:spacing w:val="0"/>
                <w:w w:val="100"/>
                <w:kern w:val="0"/>
                <w:sz w:val="16"/>
                <w:szCs w:val="16"/>
                <w:vertAlign w:val="superscript"/>
                <w:lang w:eastAsia="zh-CN"/>
              </w:rPr>
              <w:t>2</w:t>
            </w:r>
          </w:p>
        </w:tc>
        <w:tc>
          <w:tcPr>
            <w:tcW w:w="500" w:type="dxa"/>
            <w:tcBorders>
              <w:top w:val="nil"/>
              <w:left w:val="nil"/>
              <w:bottom w:val="single" w:sz="4" w:space="0" w:color="auto"/>
              <w:right w:val="single" w:sz="4" w:space="0" w:color="auto"/>
            </w:tcBorders>
            <w:shd w:val="clear" w:color="auto" w:fill="auto"/>
            <w:hideMark/>
          </w:tcPr>
          <w:p w14:paraId="2EEB2E4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13.5</w:t>
            </w:r>
          </w:p>
        </w:tc>
        <w:tc>
          <w:tcPr>
            <w:tcW w:w="520" w:type="dxa"/>
            <w:tcBorders>
              <w:top w:val="nil"/>
              <w:left w:val="nil"/>
              <w:bottom w:val="single" w:sz="4" w:space="0" w:color="auto"/>
              <w:right w:val="single" w:sz="4" w:space="0" w:color="auto"/>
            </w:tcBorders>
            <w:shd w:val="clear" w:color="auto" w:fill="auto"/>
            <w:hideMark/>
          </w:tcPr>
          <w:p w14:paraId="0F5BF34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9</w:t>
            </w:r>
          </w:p>
        </w:tc>
        <w:tc>
          <w:tcPr>
            <w:tcW w:w="540" w:type="dxa"/>
            <w:tcBorders>
              <w:top w:val="nil"/>
              <w:left w:val="nil"/>
              <w:bottom w:val="single" w:sz="4" w:space="0" w:color="auto"/>
              <w:right w:val="single" w:sz="4" w:space="0" w:color="auto"/>
            </w:tcBorders>
            <w:shd w:val="clear" w:color="auto" w:fill="auto"/>
            <w:hideMark/>
          </w:tcPr>
          <w:p w14:paraId="559194B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122</w:t>
            </w:r>
          </w:p>
        </w:tc>
        <w:tc>
          <w:tcPr>
            <w:tcW w:w="780" w:type="dxa"/>
            <w:tcBorders>
              <w:top w:val="nil"/>
              <w:left w:val="nil"/>
              <w:bottom w:val="single" w:sz="4" w:space="0" w:color="auto"/>
              <w:right w:val="single" w:sz="4" w:space="0" w:color="auto"/>
            </w:tcBorders>
            <w:shd w:val="clear" w:color="auto" w:fill="auto"/>
            <w:hideMark/>
          </w:tcPr>
          <w:p w14:paraId="4D02C56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$5,040</w:t>
            </w:r>
          </w:p>
        </w:tc>
        <w:tc>
          <w:tcPr>
            <w:tcW w:w="940" w:type="dxa"/>
            <w:tcBorders>
              <w:top w:val="nil"/>
              <w:left w:val="single" w:sz="4" w:space="0" w:color="auto"/>
              <w:bottom w:val="single" w:sz="4" w:space="0" w:color="auto"/>
              <w:right w:val="nil"/>
            </w:tcBorders>
            <w:shd w:val="clear" w:color="auto" w:fill="auto"/>
            <w:hideMark/>
          </w:tcPr>
          <w:p w14:paraId="7E5B347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$45,362.03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BF7A5D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6C6A9FDA"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0A339E0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Conference room</w:t>
            </w:r>
          </w:p>
        </w:tc>
        <w:tc>
          <w:tcPr>
            <w:tcW w:w="500" w:type="dxa"/>
            <w:tcBorders>
              <w:top w:val="nil"/>
              <w:left w:val="nil"/>
              <w:bottom w:val="single" w:sz="4" w:space="0" w:color="auto"/>
              <w:right w:val="single" w:sz="4" w:space="0" w:color="auto"/>
            </w:tcBorders>
            <w:shd w:val="clear" w:color="auto" w:fill="auto"/>
            <w:hideMark/>
          </w:tcPr>
          <w:p w14:paraId="7942B2E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45</w:t>
            </w:r>
          </w:p>
        </w:tc>
        <w:tc>
          <w:tcPr>
            <w:tcW w:w="520" w:type="dxa"/>
            <w:tcBorders>
              <w:top w:val="nil"/>
              <w:left w:val="nil"/>
              <w:bottom w:val="single" w:sz="4" w:space="0" w:color="auto"/>
              <w:right w:val="single" w:sz="4" w:space="0" w:color="auto"/>
            </w:tcBorders>
            <w:shd w:val="clear" w:color="auto" w:fill="auto"/>
            <w:hideMark/>
          </w:tcPr>
          <w:p w14:paraId="0ED56C5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2CAABA6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45</w:t>
            </w:r>
          </w:p>
        </w:tc>
        <w:tc>
          <w:tcPr>
            <w:tcW w:w="780" w:type="dxa"/>
            <w:tcBorders>
              <w:top w:val="nil"/>
              <w:left w:val="nil"/>
              <w:bottom w:val="single" w:sz="4" w:space="0" w:color="auto"/>
              <w:right w:val="single" w:sz="4" w:space="0" w:color="auto"/>
            </w:tcBorders>
            <w:shd w:val="clear" w:color="auto" w:fill="auto"/>
            <w:hideMark/>
          </w:tcPr>
          <w:p w14:paraId="2CBD9EA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$16,801</w:t>
            </w:r>
          </w:p>
        </w:tc>
        <w:tc>
          <w:tcPr>
            <w:tcW w:w="940" w:type="dxa"/>
            <w:tcBorders>
              <w:top w:val="nil"/>
              <w:left w:val="single" w:sz="4" w:space="0" w:color="auto"/>
              <w:bottom w:val="single" w:sz="4" w:space="0" w:color="auto"/>
              <w:right w:val="nil"/>
            </w:tcBorders>
            <w:shd w:val="clear" w:color="auto" w:fill="auto"/>
            <w:hideMark/>
          </w:tcPr>
          <w:p w14:paraId="017BCD4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$16,800.75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57ECC2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4729115C"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51834F8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Library</w:t>
            </w:r>
          </w:p>
        </w:tc>
        <w:tc>
          <w:tcPr>
            <w:tcW w:w="500" w:type="dxa"/>
            <w:tcBorders>
              <w:top w:val="nil"/>
              <w:left w:val="nil"/>
              <w:bottom w:val="single" w:sz="4" w:space="0" w:color="auto"/>
              <w:right w:val="single" w:sz="4" w:space="0" w:color="auto"/>
            </w:tcBorders>
            <w:shd w:val="clear" w:color="auto" w:fill="auto"/>
            <w:hideMark/>
          </w:tcPr>
          <w:p w14:paraId="359007F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45</w:t>
            </w:r>
          </w:p>
        </w:tc>
        <w:tc>
          <w:tcPr>
            <w:tcW w:w="520" w:type="dxa"/>
            <w:tcBorders>
              <w:top w:val="nil"/>
              <w:left w:val="nil"/>
              <w:bottom w:val="single" w:sz="4" w:space="0" w:color="auto"/>
              <w:right w:val="single" w:sz="4" w:space="0" w:color="auto"/>
            </w:tcBorders>
            <w:shd w:val="clear" w:color="auto" w:fill="auto"/>
            <w:hideMark/>
          </w:tcPr>
          <w:p w14:paraId="718ED24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0F26643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45</w:t>
            </w:r>
          </w:p>
        </w:tc>
        <w:tc>
          <w:tcPr>
            <w:tcW w:w="780" w:type="dxa"/>
            <w:tcBorders>
              <w:top w:val="nil"/>
              <w:left w:val="nil"/>
              <w:bottom w:val="single" w:sz="4" w:space="0" w:color="auto"/>
              <w:right w:val="single" w:sz="4" w:space="0" w:color="auto"/>
            </w:tcBorders>
            <w:shd w:val="clear" w:color="auto" w:fill="auto"/>
            <w:hideMark/>
          </w:tcPr>
          <w:p w14:paraId="4EE0154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$16,801</w:t>
            </w:r>
          </w:p>
        </w:tc>
        <w:tc>
          <w:tcPr>
            <w:tcW w:w="940" w:type="dxa"/>
            <w:tcBorders>
              <w:top w:val="nil"/>
              <w:left w:val="single" w:sz="4" w:space="0" w:color="auto"/>
              <w:bottom w:val="single" w:sz="4" w:space="0" w:color="auto"/>
              <w:right w:val="nil"/>
            </w:tcBorders>
            <w:shd w:val="clear" w:color="auto" w:fill="auto"/>
            <w:hideMark/>
          </w:tcPr>
          <w:p w14:paraId="059E446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$16,800.75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3B3E37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35CEE270"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0D8BCFD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Administrative booth/reception</w:t>
            </w:r>
          </w:p>
        </w:tc>
        <w:tc>
          <w:tcPr>
            <w:tcW w:w="500" w:type="dxa"/>
            <w:tcBorders>
              <w:top w:val="nil"/>
              <w:left w:val="nil"/>
              <w:bottom w:val="single" w:sz="4" w:space="0" w:color="auto"/>
              <w:right w:val="single" w:sz="4" w:space="0" w:color="auto"/>
            </w:tcBorders>
            <w:shd w:val="clear" w:color="auto" w:fill="auto"/>
            <w:hideMark/>
          </w:tcPr>
          <w:p w14:paraId="47B02CC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27</w:t>
            </w:r>
          </w:p>
        </w:tc>
        <w:tc>
          <w:tcPr>
            <w:tcW w:w="520" w:type="dxa"/>
            <w:tcBorders>
              <w:top w:val="nil"/>
              <w:left w:val="nil"/>
              <w:bottom w:val="single" w:sz="4" w:space="0" w:color="auto"/>
              <w:right w:val="single" w:sz="4" w:space="0" w:color="auto"/>
            </w:tcBorders>
            <w:shd w:val="clear" w:color="auto" w:fill="auto"/>
            <w:hideMark/>
          </w:tcPr>
          <w:p w14:paraId="4CB30D2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0C0BC3B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27</w:t>
            </w:r>
          </w:p>
        </w:tc>
        <w:tc>
          <w:tcPr>
            <w:tcW w:w="780" w:type="dxa"/>
            <w:tcBorders>
              <w:top w:val="nil"/>
              <w:left w:val="nil"/>
              <w:bottom w:val="single" w:sz="4" w:space="0" w:color="auto"/>
              <w:right w:val="single" w:sz="4" w:space="0" w:color="auto"/>
            </w:tcBorders>
            <w:shd w:val="clear" w:color="auto" w:fill="auto"/>
            <w:hideMark/>
          </w:tcPr>
          <w:p w14:paraId="3A5F3E2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$10,080</w:t>
            </w:r>
          </w:p>
        </w:tc>
        <w:tc>
          <w:tcPr>
            <w:tcW w:w="940" w:type="dxa"/>
            <w:tcBorders>
              <w:top w:val="nil"/>
              <w:left w:val="single" w:sz="4" w:space="0" w:color="auto"/>
              <w:bottom w:val="single" w:sz="4" w:space="0" w:color="auto"/>
              <w:right w:val="nil"/>
            </w:tcBorders>
            <w:shd w:val="clear" w:color="auto" w:fill="auto"/>
            <w:hideMark/>
          </w:tcPr>
          <w:p w14:paraId="72E1659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$10,080.45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C034DD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7226257F" w14:textId="77777777" w:rsidTr="00717D19">
        <w:trPr>
          <w:trHeight w:val="240"/>
        </w:trPr>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5CD1C3A5"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 xml:space="preserve">c) Staff costs </w:t>
            </w:r>
            <w:r w:rsidRPr="00717D19">
              <w:rPr>
                <w:rFonts w:ascii="Calibri" w:eastAsia="Times New Roman" w:hAnsi="Calibri" w:cs="Arial"/>
                <w:i/>
                <w:iCs/>
                <w:spacing w:val="0"/>
                <w:w w:val="100"/>
                <w:kern w:val="0"/>
                <w:sz w:val="16"/>
                <w:szCs w:val="16"/>
                <w:vertAlign w:val="superscript"/>
                <w:lang w:eastAsia="zh-CN"/>
              </w:rPr>
              <w:t>3</w:t>
            </w:r>
          </w:p>
        </w:tc>
        <w:tc>
          <w:tcPr>
            <w:tcW w:w="940" w:type="dxa"/>
            <w:tcBorders>
              <w:top w:val="nil"/>
              <w:left w:val="single" w:sz="4" w:space="0" w:color="auto"/>
              <w:bottom w:val="single" w:sz="4" w:space="0" w:color="auto"/>
              <w:right w:val="nil"/>
            </w:tcBorders>
            <w:shd w:val="clear" w:color="auto" w:fill="auto"/>
            <w:noWrap/>
            <w:vAlign w:val="bottom"/>
            <w:hideMark/>
          </w:tcPr>
          <w:p w14:paraId="764B6C6D"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$1,352,700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68B897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2B411577"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3C7975F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Executive Director (D2 level) </w:t>
            </w:r>
          </w:p>
        </w:tc>
        <w:tc>
          <w:tcPr>
            <w:tcW w:w="500" w:type="dxa"/>
            <w:tcBorders>
              <w:top w:val="nil"/>
              <w:left w:val="nil"/>
              <w:bottom w:val="single" w:sz="4" w:space="0" w:color="auto"/>
              <w:right w:val="single" w:sz="4" w:space="0" w:color="auto"/>
            </w:tcBorders>
            <w:shd w:val="clear" w:color="auto" w:fill="auto"/>
            <w:hideMark/>
          </w:tcPr>
          <w:p w14:paraId="1AAF764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8582FD8"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4A304CF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3A05248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$231,400</w:t>
            </w:r>
          </w:p>
        </w:tc>
        <w:tc>
          <w:tcPr>
            <w:tcW w:w="940" w:type="dxa"/>
            <w:tcBorders>
              <w:top w:val="nil"/>
              <w:left w:val="single" w:sz="4" w:space="0" w:color="auto"/>
              <w:bottom w:val="single" w:sz="4" w:space="0" w:color="auto"/>
              <w:right w:val="nil"/>
            </w:tcBorders>
            <w:shd w:val="clear" w:color="auto" w:fill="auto"/>
            <w:hideMark/>
          </w:tcPr>
          <w:p w14:paraId="72571A7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$231,400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2A0509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6504A298"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7AE130D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lastRenderedPageBreak/>
              <w:t xml:space="preserve">Lawyers, senior level (P5) </w:t>
            </w:r>
            <w:r w:rsidRPr="00717D19">
              <w:rPr>
                <w:rFonts w:ascii="Calibri" w:eastAsia="Times New Roman" w:hAnsi="Calibri" w:cs="Arial"/>
                <w:spacing w:val="0"/>
                <w:w w:val="100"/>
                <w:kern w:val="0"/>
                <w:sz w:val="16"/>
                <w:szCs w:val="16"/>
                <w:vertAlign w:val="superscript"/>
                <w:lang w:eastAsia="zh-CN"/>
              </w:rPr>
              <w:t>4</w:t>
            </w:r>
          </w:p>
        </w:tc>
        <w:tc>
          <w:tcPr>
            <w:tcW w:w="500" w:type="dxa"/>
            <w:tcBorders>
              <w:top w:val="nil"/>
              <w:left w:val="nil"/>
              <w:bottom w:val="single" w:sz="4" w:space="0" w:color="auto"/>
              <w:right w:val="single" w:sz="4" w:space="0" w:color="auto"/>
            </w:tcBorders>
            <w:shd w:val="clear" w:color="auto" w:fill="auto"/>
            <w:hideMark/>
          </w:tcPr>
          <w:p w14:paraId="2C1AEA2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1F9538A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w:t>
            </w:r>
          </w:p>
        </w:tc>
        <w:tc>
          <w:tcPr>
            <w:tcW w:w="540" w:type="dxa"/>
            <w:tcBorders>
              <w:top w:val="nil"/>
              <w:left w:val="nil"/>
              <w:bottom w:val="single" w:sz="4" w:space="0" w:color="auto"/>
              <w:right w:val="single" w:sz="4" w:space="0" w:color="auto"/>
            </w:tcBorders>
            <w:shd w:val="clear" w:color="auto" w:fill="auto"/>
            <w:hideMark/>
          </w:tcPr>
          <w:p w14:paraId="3AAC174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7705846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$195,800</w:t>
            </w:r>
          </w:p>
        </w:tc>
        <w:tc>
          <w:tcPr>
            <w:tcW w:w="940" w:type="dxa"/>
            <w:tcBorders>
              <w:top w:val="nil"/>
              <w:left w:val="single" w:sz="4" w:space="0" w:color="auto"/>
              <w:bottom w:val="single" w:sz="4" w:space="0" w:color="auto"/>
              <w:right w:val="nil"/>
            </w:tcBorders>
            <w:shd w:val="clear" w:color="auto" w:fill="auto"/>
            <w:hideMark/>
          </w:tcPr>
          <w:p w14:paraId="29B5A1E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$391,600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810511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7C66991A"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7DDE91F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Lawyers, upper medium level (P4)  </w:t>
            </w:r>
          </w:p>
        </w:tc>
        <w:tc>
          <w:tcPr>
            <w:tcW w:w="500" w:type="dxa"/>
            <w:tcBorders>
              <w:top w:val="nil"/>
              <w:left w:val="nil"/>
              <w:bottom w:val="single" w:sz="4" w:space="0" w:color="auto"/>
              <w:right w:val="single" w:sz="4" w:space="0" w:color="auto"/>
            </w:tcBorders>
            <w:shd w:val="clear" w:color="auto" w:fill="auto"/>
            <w:hideMark/>
          </w:tcPr>
          <w:p w14:paraId="5E93588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5B8D13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2E3E38F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241B3DD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$166,600</w:t>
            </w:r>
          </w:p>
        </w:tc>
        <w:tc>
          <w:tcPr>
            <w:tcW w:w="940" w:type="dxa"/>
            <w:tcBorders>
              <w:top w:val="nil"/>
              <w:left w:val="single" w:sz="4" w:space="0" w:color="auto"/>
              <w:bottom w:val="single" w:sz="4" w:space="0" w:color="auto"/>
              <w:right w:val="nil"/>
            </w:tcBorders>
            <w:shd w:val="clear" w:color="auto" w:fill="auto"/>
            <w:hideMark/>
          </w:tcPr>
          <w:p w14:paraId="4420DF4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$166,600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C21EBF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2D7164B8"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070C7EF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Lawyers, medium level (P3)</w:t>
            </w:r>
          </w:p>
        </w:tc>
        <w:tc>
          <w:tcPr>
            <w:tcW w:w="500" w:type="dxa"/>
            <w:tcBorders>
              <w:top w:val="nil"/>
              <w:left w:val="nil"/>
              <w:bottom w:val="single" w:sz="4" w:space="0" w:color="auto"/>
              <w:right w:val="single" w:sz="4" w:space="0" w:color="auto"/>
            </w:tcBorders>
            <w:shd w:val="clear" w:color="auto" w:fill="auto"/>
            <w:hideMark/>
          </w:tcPr>
          <w:p w14:paraId="0570BC8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0FE44B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459FE67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225A55D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$136,700</w:t>
            </w:r>
          </w:p>
        </w:tc>
        <w:tc>
          <w:tcPr>
            <w:tcW w:w="940" w:type="dxa"/>
            <w:tcBorders>
              <w:top w:val="nil"/>
              <w:left w:val="single" w:sz="4" w:space="0" w:color="auto"/>
              <w:bottom w:val="single" w:sz="4" w:space="0" w:color="auto"/>
              <w:right w:val="nil"/>
            </w:tcBorders>
            <w:shd w:val="clear" w:color="auto" w:fill="auto"/>
            <w:hideMark/>
          </w:tcPr>
          <w:p w14:paraId="7E9B68A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$136,700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B09AE5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32A8EF09"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7231B40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Lawyers, junior level (P2) </w:t>
            </w:r>
            <w:r w:rsidRPr="00717D19">
              <w:rPr>
                <w:rFonts w:ascii="Calibri" w:eastAsia="Times New Roman" w:hAnsi="Calibri" w:cs="Arial"/>
                <w:spacing w:val="0"/>
                <w:w w:val="100"/>
                <w:kern w:val="0"/>
                <w:sz w:val="16"/>
                <w:szCs w:val="16"/>
                <w:vertAlign w:val="superscript"/>
                <w:lang w:eastAsia="zh-CN"/>
              </w:rPr>
              <w:t>4</w:t>
            </w:r>
          </w:p>
        </w:tc>
        <w:tc>
          <w:tcPr>
            <w:tcW w:w="500" w:type="dxa"/>
            <w:tcBorders>
              <w:top w:val="nil"/>
              <w:left w:val="nil"/>
              <w:bottom w:val="single" w:sz="4" w:space="0" w:color="auto"/>
              <w:right w:val="single" w:sz="4" w:space="0" w:color="auto"/>
            </w:tcBorders>
            <w:shd w:val="clear" w:color="auto" w:fill="auto"/>
            <w:hideMark/>
          </w:tcPr>
          <w:p w14:paraId="77D4011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1B3B21D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468DA4B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42F422F8"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$112,700</w:t>
            </w:r>
          </w:p>
        </w:tc>
        <w:tc>
          <w:tcPr>
            <w:tcW w:w="940" w:type="dxa"/>
            <w:tcBorders>
              <w:top w:val="nil"/>
              <w:left w:val="single" w:sz="4" w:space="0" w:color="auto"/>
              <w:bottom w:val="single" w:sz="4" w:space="0" w:color="auto"/>
              <w:right w:val="nil"/>
            </w:tcBorders>
            <w:shd w:val="clear" w:color="auto" w:fill="auto"/>
            <w:hideMark/>
          </w:tcPr>
          <w:p w14:paraId="2AEE69E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$112,700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76256C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5DDDA00C"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15E6E9B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Secondment trainees (P2)</w:t>
            </w:r>
          </w:p>
        </w:tc>
        <w:tc>
          <w:tcPr>
            <w:tcW w:w="500" w:type="dxa"/>
            <w:tcBorders>
              <w:top w:val="nil"/>
              <w:left w:val="nil"/>
              <w:bottom w:val="single" w:sz="4" w:space="0" w:color="auto"/>
              <w:right w:val="single" w:sz="4" w:space="0" w:color="auto"/>
            </w:tcBorders>
            <w:shd w:val="clear" w:color="auto" w:fill="auto"/>
            <w:hideMark/>
          </w:tcPr>
          <w:p w14:paraId="56A0C2D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7060404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w:t>
            </w:r>
          </w:p>
        </w:tc>
        <w:tc>
          <w:tcPr>
            <w:tcW w:w="540" w:type="dxa"/>
            <w:tcBorders>
              <w:top w:val="nil"/>
              <w:left w:val="nil"/>
              <w:bottom w:val="single" w:sz="4" w:space="0" w:color="auto"/>
              <w:right w:val="single" w:sz="4" w:space="0" w:color="auto"/>
            </w:tcBorders>
            <w:shd w:val="clear" w:color="auto" w:fill="auto"/>
            <w:hideMark/>
          </w:tcPr>
          <w:p w14:paraId="378F7D4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16C6B6C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$112,700</w:t>
            </w:r>
          </w:p>
        </w:tc>
        <w:tc>
          <w:tcPr>
            <w:tcW w:w="940" w:type="dxa"/>
            <w:tcBorders>
              <w:top w:val="nil"/>
              <w:left w:val="single" w:sz="4" w:space="0" w:color="auto"/>
              <w:bottom w:val="single" w:sz="4" w:space="0" w:color="auto"/>
              <w:right w:val="nil"/>
            </w:tcBorders>
            <w:shd w:val="clear" w:color="auto" w:fill="auto"/>
            <w:hideMark/>
          </w:tcPr>
          <w:p w14:paraId="605EFF4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$225,400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773505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40C7FA23"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1A51DE0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Administrative staff (G4-G6)</w:t>
            </w:r>
          </w:p>
        </w:tc>
        <w:tc>
          <w:tcPr>
            <w:tcW w:w="500" w:type="dxa"/>
            <w:tcBorders>
              <w:top w:val="nil"/>
              <w:left w:val="nil"/>
              <w:bottom w:val="single" w:sz="4" w:space="0" w:color="auto"/>
              <w:right w:val="single" w:sz="4" w:space="0" w:color="auto"/>
            </w:tcBorders>
            <w:shd w:val="clear" w:color="auto" w:fill="auto"/>
            <w:hideMark/>
          </w:tcPr>
          <w:p w14:paraId="51BF7B1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39E15B2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1572931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67812AA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$88,300</w:t>
            </w:r>
          </w:p>
        </w:tc>
        <w:tc>
          <w:tcPr>
            <w:tcW w:w="940" w:type="dxa"/>
            <w:tcBorders>
              <w:top w:val="nil"/>
              <w:left w:val="single" w:sz="4" w:space="0" w:color="auto"/>
              <w:bottom w:val="single" w:sz="4" w:space="0" w:color="auto"/>
              <w:right w:val="nil"/>
            </w:tcBorders>
            <w:shd w:val="clear" w:color="auto" w:fill="auto"/>
            <w:hideMark/>
          </w:tcPr>
          <w:p w14:paraId="614F027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$88,300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F1E845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0E270F85"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52D3E635"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d) Services and supplies</w:t>
            </w:r>
          </w:p>
        </w:tc>
        <w:tc>
          <w:tcPr>
            <w:tcW w:w="500" w:type="dxa"/>
            <w:tcBorders>
              <w:top w:val="nil"/>
              <w:left w:val="nil"/>
              <w:bottom w:val="single" w:sz="4" w:space="0" w:color="auto"/>
              <w:right w:val="single" w:sz="4" w:space="0" w:color="auto"/>
            </w:tcBorders>
            <w:shd w:val="clear" w:color="auto" w:fill="auto"/>
            <w:hideMark/>
          </w:tcPr>
          <w:p w14:paraId="263362C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1C608EB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40" w:type="dxa"/>
            <w:tcBorders>
              <w:top w:val="nil"/>
              <w:left w:val="nil"/>
              <w:bottom w:val="single" w:sz="4" w:space="0" w:color="auto"/>
              <w:right w:val="single" w:sz="4" w:space="0" w:color="auto"/>
            </w:tcBorders>
            <w:shd w:val="clear" w:color="auto" w:fill="auto"/>
            <w:hideMark/>
          </w:tcPr>
          <w:p w14:paraId="3F4F949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6B05233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single" w:sz="4" w:space="0" w:color="auto"/>
              <w:bottom w:val="single" w:sz="4" w:space="0" w:color="auto"/>
              <w:right w:val="nil"/>
            </w:tcBorders>
            <w:shd w:val="clear" w:color="auto" w:fill="auto"/>
            <w:noWrap/>
            <w:vAlign w:val="bottom"/>
            <w:hideMark/>
          </w:tcPr>
          <w:p w14:paraId="3F2539E4"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$789,000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22AC72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7601020F"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0B8B077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ICT hardware and software support, server hosting</w:t>
            </w:r>
          </w:p>
        </w:tc>
        <w:tc>
          <w:tcPr>
            <w:tcW w:w="500" w:type="dxa"/>
            <w:tcBorders>
              <w:top w:val="nil"/>
              <w:left w:val="nil"/>
              <w:bottom w:val="single" w:sz="4" w:space="0" w:color="auto"/>
              <w:right w:val="single" w:sz="4" w:space="0" w:color="auto"/>
            </w:tcBorders>
            <w:shd w:val="clear" w:color="auto" w:fill="auto"/>
            <w:hideMark/>
          </w:tcPr>
          <w:p w14:paraId="6FA9D86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61E11EB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w:t>
            </w:r>
          </w:p>
        </w:tc>
        <w:tc>
          <w:tcPr>
            <w:tcW w:w="540" w:type="dxa"/>
            <w:tcBorders>
              <w:top w:val="nil"/>
              <w:left w:val="nil"/>
              <w:bottom w:val="single" w:sz="4" w:space="0" w:color="auto"/>
              <w:right w:val="single" w:sz="4" w:space="0" w:color="auto"/>
            </w:tcBorders>
            <w:shd w:val="clear" w:color="auto" w:fill="auto"/>
            <w:hideMark/>
          </w:tcPr>
          <w:p w14:paraId="1464778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6D4B159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$3,500</w:t>
            </w:r>
          </w:p>
        </w:tc>
        <w:tc>
          <w:tcPr>
            <w:tcW w:w="940" w:type="dxa"/>
            <w:tcBorders>
              <w:top w:val="nil"/>
              <w:left w:val="single" w:sz="4" w:space="0" w:color="auto"/>
              <w:bottom w:val="single" w:sz="4" w:space="0" w:color="auto"/>
              <w:right w:val="nil"/>
            </w:tcBorders>
            <w:shd w:val="clear" w:color="auto" w:fill="auto"/>
            <w:hideMark/>
          </w:tcPr>
          <w:p w14:paraId="74892D7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$42,000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DA2B4D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4D91BB8F" w14:textId="77777777" w:rsidTr="00717D19">
        <w:trPr>
          <w:trHeight w:val="420"/>
        </w:trPr>
        <w:tc>
          <w:tcPr>
            <w:tcW w:w="4680" w:type="dxa"/>
            <w:tcBorders>
              <w:top w:val="nil"/>
              <w:left w:val="single" w:sz="4" w:space="0" w:color="auto"/>
              <w:bottom w:val="single" w:sz="4" w:space="0" w:color="auto"/>
              <w:right w:val="single" w:sz="4" w:space="0" w:color="auto"/>
            </w:tcBorders>
            <w:shd w:val="clear" w:color="auto" w:fill="auto"/>
            <w:hideMark/>
          </w:tcPr>
          <w:p w14:paraId="1FB8E4C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Software licenses/digital subscriptions (library, electronic communication)</w:t>
            </w:r>
          </w:p>
        </w:tc>
        <w:tc>
          <w:tcPr>
            <w:tcW w:w="500" w:type="dxa"/>
            <w:tcBorders>
              <w:top w:val="nil"/>
              <w:left w:val="nil"/>
              <w:bottom w:val="single" w:sz="4" w:space="0" w:color="auto"/>
              <w:right w:val="single" w:sz="4" w:space="0" w:color="auto"/>
            </w:tcBorders>
            <w:shd w:val="clear" w:color="auto" w:fill="auto"/>
            <w:hideMark/>
          </w:tcPr>
          <w:p w14:paraId="132C516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263C748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784E2B4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69DF991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$80,000</w:t>
            </w:r>
          </w:p>
        </w:tc>
        <w:tc>
          <w:tcPr>
            <w:tcW w:w="940" w:type="dxa"/>
            <w:tcBorders>
              <w:top w:val="nil"/>
              <w:left w:val="single" w:sz="4" w:space="0" w:color="auto"/>
              <w:bottom w:val="single" w:sz="4" w:space="0" w:color="auto"/>
              <w:right w:val="nil"/>
            </w:tcBorders>
            <w:shd w:val="clear" w:color="auto" w:fill="auto"/>
            <w:hideMark/>
          </w:tcPr>
          <w:p w14:paraId="4200CDB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3E0AE7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30B1FBA8"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6AD53CD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Telephone costs </w:t>
            </w:r>
            <w:r w:rsidRPr="00717D19">
              <w:rPr>
                <w:rFonts w:ascii="Calibri" w:eastAsia="Times New Roman" w:hAnsi="Calibri" w:cs="Arial"/>
                <w:spacing w:val="0"/>
                <w:w w:val="100"/>
                <w:kern w:val="0"/>
                <w:sz w:val="16"/>
                <w:szCs w:val="16"/>
                <w:vertAlign w:val="superscript"/>
                <w:lang w:eastAsia="zh-CN"/>
              </w:rPr>
              <w:t>5</w:t>
            </w:r>
          </w:p>
        </w:tc>
        <w:tc>
          <w:tcPr>
            <w:tcW w:w="500" w:type="dxa"/>
            <w:tcBorders>
              <w:top w:val="nil"/>
              <w:left w:val="nil"/>
              <w:bottom w:val="single" w:sz="4" w:space="0" w:color="auto"/>
              <w:right w:val="single" w:sz="4" w:space="0" w:color="auto"/>
            </w:tcBorders>
            <w:shd w:val="clear" w:color="auto" w:fill="auto"/>
            <w:hideMark/>
          </w:tcPr>
          <w:p w14:paraId="118C8A9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7AD34B1"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w:t>
            </w:r>
          </w:p>
        </w:tc>
        <w:tc>
          <w:tcPr>
            <w:tcW w:w="540" w:type="dxa"/>
            <w:tcBorders>
              <w:top w:val="nil"/>
              <w:left w:val="nil"/>
              <w:bottom w:val="single" w:sz="4" w:space="0" w:color="auto"/>
              <w:right w:val="single" w:sz="4" w:space="0" w:color="auto"/>
            </w:tcBorders>
            <w:shd w:val="clear" w:color="auto" w:fill="auto"/>
            <w:hideMark/>
          </w:tcPr>
          <w:p w14:paraId="2ACB5DD8"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56DBDE6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$9,500</w:t>
            </w:r>
          </w:p>
        </w:tc>
        <w:tc>
          <w:tcPr>
            <w:tcW w:w="940" w:type="dxa"/>
            <w:tcBorders>
              <w:top w:val="nil"/>
              <w:left w:val="single" w:sz="4" w:space="0" w:color="auto"/>
              <w:bottom w:val="single" w:sz="4" w:space="0" w:color="auto"/>
              <w:right w:val="nil"/>
            </w:tcBorders>
            <w:shd w:val="clear" w:color="auto" w:fill="auto"/>
            <w:hideMark/>
          </w:tcPr>
          <w:p w14:paraId="4BEF81A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$114,000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E4D25D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74CEAA25"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37101F3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Translation costs </w:t>
            </w:r>
            <w:r w:rsidRPr="00717D19">
              <w:rPr>
                <w:rFonts w:ascii="Calibri" w:eastAsia="Times New Roman" w:hAnsi="Calibri" w:cs="Arial"/>
                <w:spacing w:val="0"/>
                <w:w w:val="100"/>
                <w:kern w:val="0"/>
                <w:sz w:val="16"/>
                <w:szCs w:val="16"/>
                <w:vertAlign w:val="superscript"/>
                <w:lang w:eastAsia="zh-CN"/>
              </w:rPr>
              <w:t>5</w:t>
            </w:r>
          </w:p>
        </w:tc>
        <w:tc>
          <w:tcPr>
            <w:tcW w:w="500" w:type="dxa"/>
            <w:tcBorders>
              <w:top w:val="nil"/>
              <w:left w:val="nil"/>
              <w:bottom w:val="single" w:sz="4" w:space="0" w:color="auto"/>
              <w:right w:val="single" w:sz="4" w:space="0" w:color="auto"/>
            </w:tcBorders>
            <w:shd w:val="clear" w:color="auto" w:fill="auto"/>
            <w:hideMark/>
          </w:tcPr>
          <w:p w14:paraId="008B64B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7EA490F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2,000</w:t>
            </w:r>
          </w:p>
        </w:tc>
        <w:tc>
          <w:tcPr>
            <w:tcW w:w="540" w:type="dxa"/>
            <w:tcBorders>
              <w:top w:val="nil"/>
              <w:left w:val="nil"/>
              <w:bottom w:val="single" w:sz="4" w:space="0" w:color="auto"/>
              <w:right w:val="single" w:sz="4" w:space="0" w:color="auto"/>
            </w:tcBorders>
            <w:shd w:val="clear" w:color="auto" w:fill="auto"/>
            <w:hideMark/>
          </w:tcPr>
          <w:p w14:paraId="0A5AE3B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5BDEFCD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$230</w:t>
            </w:r>
          </w:p>
        </w:tc>
        <w:tc>
          <w:tcPr>
            <w:tcW w:w="940" w:type="dxa"/>
            <w:tcBorders>
              <w:top w:val="nil"/>
              <w:left w:val="single" w:sz="4" w:space="0" w:color="auto"/>
              <w:bottom w:val="single" w:sz="4" w:space="0" w:color="auto"/>
              <w:right w:val="nil"/>
            </w:tcBorders>
            <w:shd w:val="clear" w:color="auto" w:fill="auto"/>
            <w:hideMark/>
          </w:tcPr>
          <w:p w14:paraId="149756C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$460,000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CE97F8B"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4AEE438D"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3762458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Stationery and supplies</w:t>
            </w:r>
          </w:p>
        </w:tc>
        <w:tc>
          <w:tcPr>
            <w:tcW w:w="500" w:type="dxa"/>
            <w:tcBorders>
              <w:top w:val="nil"/>
              <w:left w:val="nil"/>
              <w:bottom w:val="single" w:sz="4" w:space="0" w:color="auto"/>
              <w:right w:val="single" w:sz="4" w:space="0" w:color="auto"/>
            </w:tcBorders>
            <w:shd w:val="clear" w:color="auto" w:fill="auto"/>
            <w:hideMark/>
          </w:tcPr>
          <w:p w14:paraId="501312A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06BF881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w:t>
            </w:r>
          </w:p>
        </w:tc>
        <w:tc>
          <w:tcPr>
            <w:tcW w:w="540" w:type="dxa"/>
            <w:tcBorders>
              <w:top w:val="nil"/>
              <w:left w:val="nil"/>
              <w:bottom w:val="single" w:sz="4" w:space="0" w:color="auto"/>
              <w:right w:val="single" w:sz="4" w:space="0" w:color="auto"/>
            </w:tcBorders>
            <w:shd w:val="clear" w:color="auto" w:fill="auto"/>
            <w:hideMark/>
          </w:tcPr>
          <w:p w14:paraId="7CD53BD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1B6489C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w:t>
            </w:r>
          </w:p>
        </w:tc>
        <w:tc>
          <w:tcPr>
            <w:tcW w:w="940" w:type="dxa"/>
            <w:tcBorders>
              <w:top w:val="nil"/>
              <w:left w:val="single" w:sz="4" w:space="0" w:color="auto"/>
              <w:bottom w:val="single" w:sz="4" w:space="0" w:color="auto"/>
              <w:right w:val="nil"/>
            </w:tcBorders>
            <w:shd w:val="clear" w:color="auto" w:fill="auto"/>
            <w:hideMark/>
          </w:tcPr>
          <w:p w14:paraId="7B05A03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1E0DF9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2F5F6E42"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31A24BB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Photocopying/printing equipment rental and maintenance </w:t>
            </w:r>
          </w:p>
        </w:tc>
        <w:tc>
          <w:tcPr>
            <w:tcW w:w="500" w:type="dxa"/>
            <w:tcBorders>
              <w:top w:val="nil"/>
              <w:left w:val="nil"/>
              <w:bottom w:val="single" w:sz="4" w:space="0" w:color="auto"/>
              <w:right w:val="single" w:sz="4" w:space="0" w:color="auto"/>
            </w:tcBorders>
            <w:shd w:val="clear" w:color="auto" w:fill="auto"/>
            <w:hideMark/>
          </w:tcPr>
          <w:p w14:paraId="3A3EAC7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116BA2B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12</w:t>
            </w:r>
          </w:p>
        </w:tc>
        <w:tc>
          <w:tcPr>
            <w:tcW w:w="540" w:type="dxa"/>
            <w:tcBorders>
              <w:top w:val="nil"/>
              <w:left w:val="nil"/>
              <w:bottom w:val="single" w:sz="4" w:space="0" w:color="auto"/>
              <w:right w:val="single" w:sz="4" w:space="0" w:color="auto"/>
            </w:tcBorders>
            <w:shd w:val="clear" w:color="auto" w:fill="auto"/>
            <w:hideMark/>
          </w:tcPr>
          <w:p w14:paraId="694EB4AD"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0B763B66"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w:t>
            </w:r>
          </w:p>
        </w:tc>
        <w:tc>
          <w:tcPr>
            <w:tcW w:w="940" w:type="dxa"/>
            <w:tcBorders>
              <w:top w:val="nil"/>
              <w:left w:val="single" w:sz="4" w:space="0" w:color="auto"/>
              <w:bottom w:val="single" w:sz="4" w:space="0" w:color="auto"/>
              <w:right w:val="nil"/>
            </w:tcBorders>
            <w:shd w:val="clear" w:color="auto" w:fill="auto"/>
            <w:hideMark/>
          </w:tcPr>
          <w:p w14:paraId="51D176C5"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$30,000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BC63EA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194CD747"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7B1593B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Website hosting and maintenance</w:t>
            </w:r>
          </w:p>
        </w:tc>
        <w:tc>
          <w:tcPr>
            <w:tcW w:w="500" w:type="dxa"/>
            <w:tcBorders>
              <w:top w:val="nil"/>
              <w:left w:val="nil"/>
              <w:bottom w:val="single" w:sz="4" w:space="0" w:color="auto"/>
              <w:right w:val="single" w:sz="4" w:space="0" w:color="auto"/>
            </w:tcBorders>
            <w:shd w:val="clear" w:color="auto" w:fill="auto"/>
            <w:hideMark/>
          </w:tcPr>
          <w:p w14:paraId="05D1E1F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5FD5FFE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2FC7AFA4"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1AA9F52E"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$25,000</w:t>
            </w:r>
          </w:p>
        </w:tc>
        <w:tc>
          <w:tcPr>
            <w:tcW w:w="940" w:type="dxa"/>
            <w:tcBorders>
              <w:top w:val="nil"/>
              <w:left w:val="single" w:sz="4" w:space="0" w:color="auto"/>
              <w:bottom w:val="single" w:sz="4" w:space="0" w:color="auto"/>
              <w:right w:val="nil"/>
            </w:tcBorders>
            <w:shd w:val="clear" w:color="auto" w:fill="auto"/>
            <w:hideMark/>
          </w:tcPr>
          <w:p w14:paraId="052FADF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$25,000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130D44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6144B577"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33EB81B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Database maintenance "Collection best practices"</w:t>
            </w:r>
          </w:p>
        </w:tc>
        <w:tc>
          <w:tcPr>
            <w:tcW w:w="500" w:type="dxa"/>
            <w:tcBorders>
              <w:top w:val="nil"/>
              <w:left w:val="nil"/>
              <w:bottom w:val="single" w:sz="4" w:space="0" w:color="auto"/>
              <w:right w:val="single" w:sz="4" w:space="0" w:color="auto"/>
            </w:tcBorders>
            <w:shd w:val="clear" w:color="auto" w:fill="auto"/>
            <w:hideMark/>
          </w:tcPr>
          <w:p w14:paraId="6CDBB81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44326B87"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5D53E8CB"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771689E9"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$8,000</w:t>
            </w:r>
          </w:p>
        </w:tc>
        <w:tc>
          <w:tcPr>
            <w:tcW w:w="940" w:type="dxa"/>
            <w:tcBorders>
              <w:top w:val="nil"/>
              <w:left w:val="single" w:sz="4" w:space="0" w:color="auto"/>
              <w:bottom w:val="single" w:sz="4" w:space="0" w:color="auto"/>
              <w:right w:val="nil"/>
            </w:tcBorders>
            <w:shd w:val="clear" w:color="auto" w:fill="auto"/>
            <w:hideMark/>
          </w:tcPr>
          <w:p w14:paraId="36B5AB80"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$8,000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281311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0D2507F7"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23F270F8"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d) Travel</w:t>
            </w:r>
          </w:p>
        </w:tc>
        <w:tc>
          <w:tcPr>
            <w:tcW w:w="500" w:type="dxa"/>
            <w:tcBorders>
              <w:top w:val="nil"/>
              <w:left w:val="nil"/>
              <w:bottom w:val="single" w:sz="4" w:space="0" w:color="auto"/>
              <w:right w:val="single" w:sz="4" w:space="0" w:color="auto"/>
            </w:tcBorders>
            <w:shd w:val="clear" w:color="auto" w:fill="auto"/>
            <w:hideMark/>
          </w:tcPr>
          <w:p w14:paraId="26E4B2A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2EA6CBB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40" w:type="dxa"/>
            <w:tcBorders>
              <w:top w:val="nil"/>
              <w:left w:val="nil"/>
              <w:bottom w:val="single" w:sz="4" w:space="0" w:color="auto"/>
              <w:right w:val="single" w:sz="4" w:space="0" w:color="auto"/>
            </w:tcBorders>
            <w:shd w:val="clear" w:color="auto" w:fill="auto"/>
            <w:hideMark/>
          </w:tcPr>
          <w:p w14:paraId="4FE13E6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0F2323D3"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single" w:sz="4" w:space="0" w:color="auto"/>
              <w:bottom w:val="single" w:sz="4" w:space="0" w:color="auto"/>
              <w:right w:val="nil"/>
            </w:tcBorders>
            <w:shd w:val="clear" w:color="auto" w:fill="auto"/>
            <w:hideMark/>
          </w:tcPr>
          <w:p w14:paraId="5222108C"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$400,000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FE19BDA"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750011BD" w14:textId="77777777" w:rsidTr="00717D19">
        <w:trPr>
          <w:trHeight w:val="240"/>
        </w:trPr>
        <w:tc>
          <w:tcPr>
            <w:tcW w:w="4680" w:type="dxa"/>
            <w:tcBorders>
              <w:top w:val="nil"/>
              <w:left w:val="single" w:sz="4" w:space="0" w:color="auto"/>
              <w:bottom w:val="single" w:sz="4" w:space="0" w:color="auto"/>
              <w:right w:val="single" w:sz="4" w:space="0" w:color="auto"/>
            </w:tcBorders>
            <w:shd w:val="clear" w:color="auto" w:fill="auto"/>
            <w:hideMark/>
          </w:tcPr>
          <w:p w14:paraId="60AF3551"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Travel costs</w:t>
            </w:r>
          </w:p>
        </w:tc>
        <w:tc>
          <w:tcPr>
            <w:tcW w:w="500" w:type="dxa"/>
            <w:tcBorders>
              <w:top w:val="nil"/>
              <w:left w:val="nil"/>
              <w:bottom w:val="single" w:sz="4" w:space="0" w:color="auto"/>
              <w:right w:val="single" w:sz="4" w:space="0" w:color="auto"/>
            </w:tcBorders>
            <w:shd w:val="clear" w:color="auto" w:fill="auto"/>
            <w:hideMark/>
          </w:tcPr>
          <w:p w14:paraId="3C9D532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single" w:sz="4" w:space="0" w:color="auto"/>
            </w:tcBorders>
            <w:shd w:val="clear" w:color="auto" w:fill="auto"/>
            <w:hideMark/>
          </w:tcPr>
          <w:p w14:paraId="7A8C844A"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1</w:t>
            </w:r>
          </w:p>
        </w:tc>
        <w:tc>
          <w:tcPr>
            <w:tcW w:w="540" w:type="dxa"/>
            <w:tcBorders>
              <w:top w:val="nil"/>
              <w:left w:val="nil"/>
              <w:bottom w:val="single" w:sz="4" w:space="0" w:color="auto"/>
              <w:right w:val="single" w:sz="4" w:space="0" w:color="auto"/>
            </w:tcBorders>
            <w:shd w:val="clear" w:color="auto" w:fill="auto"/>
            <w:hideMark/>
          </w:tcPr>
          <w:p w14:paraId="7BBC0BC2"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single" w:sz="4" w:space="0" w:color="auto"/>
            </w:tcBorders>
            <w:shd w:val="clear" w:color="auto" w:fill="auto"/>
            <w:hideMark/>
          </w:tcPr>
          <w:p w14:paraId="781BFB7F"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400,000</w:t>
            </w:r>
          </w:p>
        </w:tc>
        <w:tc>
          <w:tcPr>
            <w:tcW w:w="940" w:type="dxa"/>
            <w:tcBorders>
              <w:top w:val="nil"/>
              <w:left w:val="single" w:sz="4" w:space="0" w:color="auto"/>
              <w:bottom w:val="single" w:sz="4" w:space="0" w:color="auto"/>
              <w:right w:val="nil"/>
            </w:tcBorders>
            <w:shd w:val="clear" w:color="auto" w:fill="auto"/>
            <w:hideMark/>
          </w:tcPr>
          <w:p w14:paraId="648C383C"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$400,000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25654C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r>
      <w:tr w:rsidR="00717D19" w:rsidRPr="00717D19" w14:paraId="4C86E12E" w14:textId="77777777" w:rsidTr="00717D19">
        <w:trPr>
          <w:trHeight w:val="240"/>
        </w:trPr>
        <w:tc>
          <w:tcPr>
            <w:tcW w:w="4680" w:type="dxa"/>
            <w:tcBorders>
              <w:top w:val="nil"/>
              <w:left w:val="single" w:sz="4" w:space="0" w:color="auto"/>
              <w:bottom w:val="single" w:sz="4" w:space="0" w:color="auto"/>
              <w:right w:val="nil"/>
            </w:tcBorders>
            <w:shd w:val="clear" w:color="000000" w:fill="FFFFFF"/>
            <w:hideMark/>
          </w:tcPr>
          <w:p w14:paraId="1EB574C7"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xml:space="preserve">Total costs </w:t>
            </w:r>
            <w:r w:rsidRPr="00717D19">
              <w:rPr>
                <w:rFonts w:ascii="Calibri" w:eastAsia="Times New Roman" w:hAnsi="Calibri" w:cs="Arial"/>
                <w:spacing w:val="0"/>
                <w:w w:val="100"/>
                <w:kern w:val="0"/>
                <w:sz w:val="16"/>
                <w:szCs w:val="16"/>
                <w:vertAlign w:val="superscript"/>
                <w:lang w:eastAsia="zh-CN"/>
              </w:rPr>
              <w:t>6</w:t>
            </w:r>
          </w:p>
        </w:tc>
        <w:tc>
          <w:tcPr>
            <w:tcW w:w="500" w:type="dxa"/>
            <w:tcBorders>
              <w:top w:val="nil"/>
              <w:left w:val="nil"/>
              <w:bottom w:val="single" w:sz="4" w:space="0" w:color="auto"/>
              <w:right w:val="nil"/>
            </w:tcBorders>
            <w:shd w:val="clear" w:color="000000" w:fill="FFFFFF"/>
            <w:hideMark/>
          </w:tcPr>
          <w:p w14:paraId="324DA62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20" w:type="dxa"/>
            <w:tcBorders>
              <w:top w:val="nil"/>
              <w:left w:val="nil"/>
              <w:bottom w:val="single" w:sz="4" w:space="0" w:color="auto"/>
              <w:right w:val="nil"/>
            </w:tcBorders>
            <w:shd w:val="clear" w:color="000000" w:fill="FFFFFF"/>
            <w:hideMark/>
          </w:tcPr>
          <w:p w14:paraId="67ECC27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540" w:type="dxa"/>
            <w:tcBorders>
              <w:top w:val="nil"/>
              <w:left w:val="nil"/>
              <w:bottom w:val="single" w:sz="4" w:space="0" w:color="auto"/>
              <w:right w:val="nil"/>
            </w:tcBorders>
            <w:shd w:val="clear" w:color="000000" w:fill="FFFFFF"/>
            <w:hideMark/>
          </w:tcPr>
          <w:p w14:paraId="00EC6ECD"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780" w:type="dxa"/>
            <w:tcBorders>
              <w:top w:val="nil"/>
              <w:left w:val="nil"/>
              <w:bottom w:val="single" w:sz="4" w:space="0" w:color="auto"/>
              <w:right w:val="nil"/>
            </w:tcBorders>
            <w:shd w:val="clear" w:color="000000" w:fill="FFFFFF"/>
            <w:hideMark/>
          </w:tcPr>
          <w:p w14:paraId="09636AB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940" w:type="dxa"/>
            <w:tcBorders>
              <w:top w:val="nil"/>
              <w:left w:val="nil"/>
              <w:bottom w:val="single" w:sz="4" w:space="0" w:color="auto"/>
              <w:right w:val="single" w:sz="4" w:space="0" w:color="auto"/>
            </w:tcBorders>
            <w:shd w:val="clear" w:color="000000" w:fill="FFFFFF"/>
            <w:hideMark/>
          </w:tcPr>
          <w:p w14:paraId="4601C9D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4DA84C60"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$2,893,738</w:t>
            </w:r>
          </w:p>
        </w:tc>
      </w:tr>
      <w:tr w:rsidR="00717D19" w:rsidRPr="00717D19" w14:paraId="55A2D63C" w14:textId="77777777" w:rsidTr="00717D19">
        <w:trPr>
          <w:trHeight w:val="240"/>
        </w:trPr>
        <w:tc>
          <w:tcPr>
            <w:tcW w:w="79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79878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Contingency reserve (7.5%)</w:t>
            </w:r>
          </w:p>
        </w:tc>
        <w:tc>
          <w:tcPr>
            <w:tcW w:w="1080" w:type="dxa"/>
            <w:tcBorders>
              <w:top w:val="nil"/>
              <w:left w:val="nil"/>
              <w:bottom w:val="single" w:sz="4" w:space="0" w:color="auto"/>
              <w:right w:val="single" w:sz="4" w:space="0" w:color="auto"/>
            </w:tcBorders>
            <w:shd w:val="clear" w:color="auto" w:fill="auto"/>
            <w:noWrap/>
            <w:vAlign w:val="bottom"/>
            <w:hideMark/>
          </w:tcPr>
          <w:p w14:paraId="6A518D33" w14:textId="77777777" w:rsidR="00717D19" w:rsidRPr="00717D19" w:rsidRDefault="00717D19" w:rsidP="00717D19">
            <w:pPr>
              <w:suppressAutoHyphens w:val="0"/>
              <w:spacing w:line="240" w:lineRule="auto"/>
              <w:jc w:val="right"/>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lang w:eastAsia="zh-CN"/>
              </w:rPr>
              <w:t>$217,030</w:t>
            </w:r>
          </w:p>
        </w:tc>
      </w:tr>
      <w:tr w:rsidR="00717D19" w:rsidRPr="00717D19" w14:paraId="7AE753F9" w14:textId="77777777" w:rsidTr="00717D19">
        <w:trPr>
          <w:trHeight w:val="330"/>
        </w:trPr>
        <w:tc>
          <w:tcPr>
            <w:tcW w:w="7960"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6301AD89" w14:textId="77777777" w:rsidR="00717D19" w:rsidRPr="00717D19" w:rsidRDefault="00717D19" w:rsidP="00717D19">
            <w:pPr>
              <w:suppressAutoHyphens w:val="0"/>
              <w:spacing w:line="240" w:lineRule="auto"/>
              <w:rPr>
                <w:rFonts w:ascii="Calibri" w:eastAsia="Times New Roman" w:hAnsi="Calibri" w:cs="Arial"/>
                <w:b/>
                <w:bCs/>
                <w:i/>
                <w:iCs/>
                <w:spacing w:val="0"/>
                <w:w w:val="100"/>
                <w:kern w:val="0"/>
                <w:sz w:val="16"/>
                <w:szCs w:val="16"/>
                <w:lang w:eastAsia="zh-CN"/>
              </w:rPr>
            </w:pPr>
            <w:r w:rsidRPr="00717D19">
              <w:rPr>
                <w:rFonts w:ascii="Calibri" w:eastAsia="Times New Roman" w:hAnsi="Calibri" w:cs="Arial"/>
                <w:b/>
                <w:bCs/>
                <w:i/>
                <w:iCs/>
                <w:spacing w:val="0"/>
                <w:w w:val="100"/>
                <w:kern w:val="0"/>
                <w:sz w:val="16"/>
                <w:szCs w:val="16"/>
                <w:lang w:eastAsia="zh-CN"/>
              </w:rPr>
              <w:t>TOTAL REQUIREMENTS</w:t>
            </w:r>
          </w:p>
        </w:tc>
        <w:tc>
          <w:tcPr>
            <w:tcW w:w="1080" w:type="dxa"/>
            <w:tcBorders>
              <w:top w:val="nil"/>
              <w:left w:val="nil"/>
              <w:bottom w:val="single" w:sz="4" w:space="0" w:color="auto"/>
              <w:right w:val="single" w:sz="4" w:space="0" w:color="auto"/>
            </w:tcBorders>
            <w:shd w:val="clear" w:color="000000" w:fill="C5D9F1"/>
            <w:noWrap/>
            <w:vAlign w:val="bottom"/>
            <w:hideMark/>
          </w:tcPr>
          <w:p w14:paraId="526B56A2" w14:textId="77777777" w:rsidR="00717D19" w:rsidRPr="00717D19" w:rsidRDefault="00717D19" w:rsidP="00717D19">
            <w:pPr>
              <w:suppressAutoHyphens w:val="0"/>
              <w:spacing w:line="240" w:lineRule="auto"/>
              <w:jc w:val="right"/>
              <w:rPr>
                <w:rFonts w:ascii="Calibri" w:eastAsia="Times New Roman" w:hAnsi="Calibri" w:cs="Arial"/>
                <w:b/>
                <w:bCs/>
                <w:spacing w:val="0"/>
                <w:w w:val="100"/>
                <w:kern w:val="0"/>
                <w:sz w:val="16"/>
                <w:szCs w:val="16"/>
                <w:lang w:eastAsia="zh-CN"/>
              </w:rPr>
            </w:pPr>
            <w:r w:rsidRPr="00717D19">
              <w:rPr>
                <w:rFonts w:ascii="Calibri" w:eastAsia="Times New Roman" w:hAnsi="Calibri" w:cs="Arial"/>
                <w:b/>
                <w:bCs/>
                <w:spacing w:val="0"/>
                <w:w w:val="100"/>
                <w:kern w:val="0"/>
                <w:sz w:val="16"/>
                <w:szCs w:val="16"/>
                <w:lang w:eastAsia="zh-CN"/>
              </w:rPr>
              <w:t>$3,110,769</w:t>
            </w:r>
          </w:p>
        </w:tc>
      </w:tr>
      <w:tr w:rsidR="00717D19" w:rsidRPr="00717D19" w14:paraId="7EF16FEE" w14:textId="77777777" w:rsidTr="00717D19">
        <w:trPr>
          <w:trHeight w:val="285"/>
        </w:trPr>
        <w:tc>
          <w:tcPr>
            <w:tcW w:w="7960" w:type="dxa"/>
            <w:gridSpan w:val="6"/>
            <w:tcBorders>
              <w:top w:val="nil"/>
              <w:left w:val="nil"/>
              <w:bottom w:val="nil"/>
              <w:right w:val="nil"/>
            </w:tcBorders>
            <w:shd w:val="clear" w:color="auto" w:fill="auto"/>
            <w:noWrap/>
            <w:vAlign w:val="bottom"/>
            <w:hideMark/>
          </w:tcPr>
          <w:p w14:paraId="178D7078"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vertAlign w:val="superscript"/>
                <w:lang w:eastAsia="zh-CN"/>
              </w:rPr>
              <w:t>1</w:t>
            </w:r>
            <w:r w:rsidRPr="00717D19">
              <w:rPr>
                <w:rFonts w:ascii="Calibri" w:eastAsia="Times New Roman" w:hAnsi="Calibri" w:cs="Arial"/>
                <w:spacing w:val="0"/>
                <w:w w:val="100"/>
                <w:kern w:val="0"/>
                <w:sz w:val="16"/>
                <w:szCs w:val="16"/>
                <w:lang w:eastAsia="zh-CN"/>
              </w:rPr>
              <w:t xml:space="preserve"> Based on 2019 UNOV/UNODC Standard Cost Manual </w:t>
            </w:r>
          </w:p>
        </w:tc>
        <w:tc>
          <w:tcPr>
            <w:tcW w:w="1080" w:type="dxa"/>
            <w:tcBorders>
              <w:top w:val="nil"/>
              <w:left w:val="nil"/>
              <w:bottom w:val="nil"/>
              <w:right w:val="nil"/>
            </w:tcBorders>
            <w:shd w:val="clear" w:color="auto" w:fill="auto"/>
            <w:noWrap/>
            <w:vAlign w:val="bottom"/>
            <w:hideMark/>
          </w:tcPr>
          <w:p w14:paraId="28206C8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1F979543" w14:textId="77777777" w:rsidTr="00717D19">
        <w:trPr>
          <w:trHeight w:val="223"/>
        </w:trPr>
        <w:tc>
          <w:tcPr>
            <w:tcW w:w="5180" w:type="dxa"/>
            <w:gridSpan w:val="2"/>
            <w:tcBorders>
              <w:top w:val="nil"/>
              <w:left w:val="nil"/>
              <w:bottom w:val="nil"/>
              <w:right w:val="nil"/>
            </w:tcBorders>
            <w:shd w:val="clear" w:color="auto" w:fill="auto"/>
            <w:noWrap/>
            <w:vAlign w:val="bottom"/>
            <w:hideMark/>
          </w:tcPr>
          <w:p w14:paraId="0F5FF054"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vertAlign w:val="superscript"/>
                <w:lang w:eastAsia="zh-CN"/>
              </w:rPr>
              <w:t>2</w:t>
            </w:r>
            <w:r w:rsidRPr="00717D19">
              <w:rPr>
                <w:rFonts w:ascii="Calibri" w:eastAsia="Times New Roman" w:hAnsi="Calibri" w:cs="Arial"/>
                <w:spacing w:val="0"/>
                <w:w w:val="100"/>
                <w:kern w:val="0"/>
                <w:sz w:val="16"/>
                <w:szCs w:val="16"/>
                <w:lang w:eastAsia="zh-CN"/>
              </w:rPr>
              <w:t xml:space="preserve"> Includes workspace for 2 Government officials on secondment/interns</w:t>
            </w:r>
          </w:p>
        </w:tc>
        <w:tc>
          <w:tcPr>
            <w:tcW w:w="520" w:type="dxa"/>
            <w:tcBorders>
              <w:top w:val="nil"/>
              <w:left w:val="nil"/>
              <w:bottom w:val="nil"/>
              <w:right w:val="nil"/>
            </w:tcBorders>
            <w:shd w:val="clear" w:color="auto" w:fill="auto"/>
            <w:noWrap/>
            <w:vAlign w:val="bottom"/>
            <w:hideMark/>
          </w:tcPr>
          <w:p w14:paraId="6E938B86"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c>
          <w:tcPr>
            <w:tcW w:w="540" w:type="dxa"/>
            <w:tcBorders>
              <w:top w:val="nil"/>
              <w:left w:val="nil"/>
              <w:bottom w:val="nil"/>
              <w:right w:val="nil"/>
            </w:tcBorders>
            <w:shd w:val="clear" w:color="auto" w:fill="auto"/>
            <w:noWrap/>
            <w:vAlign w:val="bottom"/>
            <w:hideMark/>
          </w:tcPr>
          <w:p w14:paraId="2D5C78AF"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780" w:type="dxa"/>
            <w:tcBorders>
              <w:top w:val="nil"/>
              <w:left w:val="nil"/>
              <w:bottom w:val="nil"/>
              <w:right w:val="nil"/>
            </w:tcBorders>
            <w:shd w:val="clear" w:color="auto" w:fill="auto"/>
            <w:noWrap/>
            <w:vAlign w:val="bottom"/>
            <w:hideMark/>
          </w:tcPr>
          <w:p w14:paraId="4F8EA5B8"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940" w:type="dxa"/>
            <w:tcBorders>
              <w:top w:val="nil"/>
              <w:left w:val="nil"/>
              <w:bottom w:val="nil"/>
              <w:right w:val="nil"/>
            </w:tcBorders>
            <w:shd w:val="clear" w:color="auto" w:fill="auto"/>
            <w:noWrap/>
            <w:vAlign w:val="bottom"/>
            <w:hideMark/>
          </w:tcPr>
          <w:p w14:paraId="2E785D03"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1080" w:type="dxa"/>
            <w:tcBorders>
              <w:top w:val="nil"/>
              <w:left w:val="nil"/>
              <w:bottom w:val="nil"/>
              <w:right w:val="nil"/>
            </w:tcBorders>
            <w:shd w:val="clear" w:color="auto" w:fill="auto"/>
            <w:noWrap/>
            <w:vAlign w:val="bottom"/>
            <w:hideMark/>
          </w:tcPr>
          <w:p w14:paraId="5A94F569" w14:textId="77777777" w:rsidR="00717D19" w:rsidRPr="00717D19" w:rsidRDefault="00717D19" w:rsidP="00717D19">
            <w:pPr>
              <w:suppressAutoHyphens w:val="0"/>
              <w:spacing w:line="240" w:lineRule="auto"/>
              <w:rPr>
                <w:rFonts w:eastAsia="Times New Roman"/>
                <w:spacing w:val="0"/>
                <w:w w:val="100"/>
                <w:kern w:val="0"/>
                <w:lang w:eastAsia="zh-CN"/>
              </w:rPr>
            </w:pPr>
          </w:p>
        </w:tc>
      </w:tr>
      <w:tr w:rsidR="00717D19" w:rsidRPr="00717D19" w14:paraId="57F0D9DB" w14:textId="77777777" w:rsidTr="00717D19">
        <w:trPr>
          <w:trHeight w:val="223"/>
        </w:trPr>
        <w:tc>
          <w:tcPr>
            <w:tcW w:w="7960" w:type="dxa"/>
            <w:gridSpan w:val="6"/>
            <w:tcBorders>
              <w:top w:val="nil"/>
              <w:left w:val="nil"/>
              <w:bottom w:val="nil"/>
              <w:right w:val="nil"/>
            </w:tcBorders>
            <w:shd w:val="clear" w:color="auto" w:fill="auto"/>
            <w:noWrap/>
            <w:vAlign w:val="bottom"/>
            <w:hideMark/>
          </w:tcPr>
          <w:p w14:paraId="1545F63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vertAlign w:val="superscript"/>
                <w:lang w:eastAsia="zh-CN"/>
              </w:rPr>
              <w:t>3</w:t>
            </w:r>
            <w:r w:rsidRPr="00717D19">
              <w:rPr>
                <w:rFonts w:ascii="Calibri" w:eastAsia="Times New Roman" w:hAnsi="Calibri" w:cs="Arial"/>
                <w:spacing w:val="0"/>
                <w:w w:val="100"/>
                <w:kern w:val="0"/>
                <w:sz w:val="16"/>
                <w:szCs w:val="16"/>
                <w:lang w:eastAsia="zh-CN"/>
              </w:rPr>
              <w:t xml:space="preserve"> Based on 2020 Revised UNODC Standard Salary Cost Manual</w:t>
            </w:r>
          </w:p>
        </w:tc>
        <w:tc>
          <w:tcPr>
            <w:tcW w:w="1080" w:type="dxa"/>
            <w:tcBorders>
              <w:top w:val="nil"/>
              <w:left w:val="nil"/>
              <w:bottom w:val="nil"/>
              <w:right w:val="nil"/>
            </w:tcBorders>
            <w:shd w:val="clear" w:color="auto" w:fill="auto"/>
            <w:noWrap/>
            <w:vAlign w:val="bottom"/>
            <w:hideMark/>
          </w:tcPr>
          <w:p w14:paraId="3802A140"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62788B79" w14:textId="77777777" w:rsidTr="00717D19">
        <w:trPr>
          <w:trHeight w:val="223"/>
        </w:trPr>
        <w:tc>
          <w:tcPr>
            <w:tcW w:w="4680" w:type="dxa"/>
            <w:tcBorders>
              <w:top w:val="nil"/>
              <w:left w:val="nil"/>
              <w:bottom w:val="nil"/>
              <w:right w:val="nil"/>
            </w:tcBorders>
            <w:shd w:val="clear" w:color="auto" w:fill="auto"/>
            <w:noWrap/>
            <w:vAlign w:val="bottom"/>
            <w:hideMark/>
          </w:tcPr>
          <w:p w14:paraId="4DE29CF2"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r w:rsidRPr="00717D19">
              <w:rPr>
                <w:rFonts w:ascii="Calibri" w:eastAsia="Times New Roman" w:hAnsi="Calibri" w:cs="Arial"/>
                <w:spacing w:val="0"/>
                <w:w w:val="100"/>
                <w:kern w:val="0"/>
                <w:sz w:val="16"/>
                <w:szCs w:val="16"/>
                <w:vertAlign w:val="superscript"/>
                <w:lang w:eastAsia="zh-CN"/>
              </w:rPr>
              <w:t>4</w:t>
            </w:r>
            <w:r w:rsidRPr="00717D19">
              <w:rPr>
                <w:rFonts w:ascii="Calibri" w:eastAsia="Times New Roman" w:hAnsi="Calibri" w:cs="Arial"/>
                <w:spacing w:val="0"/>
                <w:w w:val="100"/>
                <w:kern w:val="0"/>
                <w:sz w:val="16"/>
                <w:szCs w:val="16"/>
                <w:lang w:eastAsia="zh-CN"/>
              </w:rPr>
              <w:t xml:space="preserve"> One staff foreseen to provide support in mediation proceedings</w:t>
            </w:r>
          </w:p>
        </w:tc>
        <w:tc>
          <w:tcPr>
            <w:tcW w:w="500" w:type="dxa"/>
            <w:tcBorders>
              <w:top w:val="nil"/>
              <w:left w:val="nil"/>
              <w:bottom w:val="nil"/>
              <w:right w:val="nil"/>
            </w:tcBorders>
            <w:shd w:val="clear" w:color="auto" w:fill="auto"/>
            <w:noWrap/>
            <w:vAlign w:val="bottom"/>
            <w:hideMark/>
          </w:tcPr>
          <w:p w14:paraId="09ABC975"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c>
          <w:tcPr>
            <w:tcW w:w="520" w:type="dxa"/>
            <w:tcBorders>
              <w:top w:val="nil"/>
              <w:left w:val="nil"/>
              <w:bottom w:val="nil"/>
              <w:right w:val="nil"/>
            </w:tcBorders>
            <w:shd w:val="clear" w:color="auto" w:fill="auto"/>
            <w:noWrap/>
            <w:vAlign w:val="bottom"/>
            <w:hideMark/>
          </w:tcPr>
          <w:p w14:paraId="1E5C434E"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40" w:type="dxa"/>
            <w:tcBorders>
              <w:top w:val="nil"/>
              <w:left w:val="nil"/>
              <w:bottom w:val="nil"/>
              <w:right w:val="nil"/>
            </w:tcBorders>
            <w:shd w:val="clear" w:color="auto" w:fill="auto"/>
            <w:noWrap/>
            <w:vAlign w:val="bottom"/>
            <w:hideMark/>
          </w:tcPr>
          <w:p w14:paraId="548ECAD8"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780" w:type="dxa"/>
            <w:tcBorders>
              <w:top w:val="nil"/>
              <w:left w:val="nil"/>
              <w:bottom w:val="nil"/>
              <w:right w:val="nil"/>
            </w:tcBorders>
            <w:shd w:val="clear" w:color="auto" w:fill="auto"/>
            <w:noWrap/>
            <w:vAlign w:val="bottom"/>
            <w:hideMark/>
          </w:tcPr>
          <w:p w14:paraId="0508B390"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940" w:type="dxa"/>
            <w:tcBorders>
              <w:top w:val="nil"/>
              <w:left w:val="nil"/>
              <w:bottom w:val="nil"/>
              <w:right w:val="nil"/>
            </w:tcBorders>
            <w:shd w:val="clear" w:color="auto" w:fill="auto"/>
            <w:noWrap/>
            <w:vAlign w:val="bottom"/>
            <w:hideMark/>
          </w:tcPr>
          <w:p w14:paraId="39DD4ECA"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1080" w:type="dxa"/>
            <w:tcBorders>
              <w:top w:val="nil"/>
              <w:left w:val="nil"/>
              <w:bottom w:val="nil"/>
              <w:right w:val="nil"/>
            </w:tcBorders>
            <w:shd w:val="clear" w:color="auto" w:fill="auto"/>
            <w:noWrap/>
            <w:vAlign w:val="bottom"/>
            <w:hideMark/>
          </w:tcPr>
          <w:p w14:paraId="7A246D0D" w14:textId="77777777" w:rsidR="00717D19" w:rsidRPr="00717D19" w:rsidRDefault="00717D19" w:rsidP="00717D19">
            <w:pPr>
              <w:suppressAutoHyphens w:val="0"/>
              <w:spacing w:line="240" w:lineRule="auto"/>
              <w:rPr>
                <w:rFonts w:eastAsia="Times New Roman"/>
                <w:spacing w:val="0"/>
                <w:w w:val="100"/>
                <w:kern w:val="0"/>
                <w:lang w:eastAsia="zh-CN"/>
              </w:rPr>
            </w:pPr>
          </w:p>
        </w:tc>
      </w:tr>
      <w:tr w:rsidR="00717D19" w:rsidRPr="00717D19" w14:paraId="3AACA7E7" w14:textId="77777777" w:rsidTr="00717D19">
        <w:trPr>
          <w:trHeight w:val="223"/>
        </w:trPr>
        <w:tc>
          <w:tcPr>
            <w:tcW w:w="7960" w:type="dxa"/>
            <w:gridSpan w:val="6"/>
            <w:tcBorders>
              <w:top w:val="nil"/>
              <w:left w:val="nil"/>
              <w:bottom w:val="nil"/>
              <w:right w:val="nil"/>
            </w:tcBorders>
            <w:shd w:val="clear" w:color="auto" w:fill="auto"/>
            <w:noWrap/>
            <w:vAlign w:val="bottom"/>
            <w:hideMark/>
          </w:tcPr>
          <w:p w14:paraId="458B959F"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roofErr w:type="gramStart"/>
            <w:r w:rsidRPr="00717D19">
              <w:rPr>
                <w:rFonts w:ascii="Calibri" w:eastAsia="Times New Roman" w:hAnsi="Calibri" w:cs="Arial"/>
                <w:spacing w:val="0"/>
                <w:w w:val="100"/>
                <w:kern w:val="0"/>
                <w:sz w:val="16"/>
                <w:szCs w:val="16"/>
                <w:vertAlign w:val="superscript"/>
                <w:lang w:eastAsia="zh-CN"/>
              </w:rPr>
              <w:t>5</w:t>
            </w:r>
            <w:r w:rsidRPr="00717D19">
              <w:rPr>
                <w:rFonts w:ascii="Calibri" w:eastAsia="Times New Roman" w:hAnsi="Calibri" w:cs="Arial"/>
                <w:spacing w:val="0"/>
                <w:w w:val="100"/>
                <w:kern w:val="0"/>
                <w:sz w:val="16"/>
                <w:szCs w:val="16"/>
                <w:lang w:eastAsia="zh-CN"/>
              </w:rPr>
              <w:t xml:space="preserve">  Provisions</w:t>
            </w:r>
            <w:proofErr w:type="gramEnd"/>
            <w:r w:rsidRPr="00717D19">
              <w:rPr>
                <w:rFonts w:ascii="Calibri" w:eastAsia="Times New Roman" w:hAnsi="Calibri" w:cs="Arial"/>
                <w:spacing w:val="0"/>
                <w:w w:val="100"/>
                <w:kern w:val="0"/>
                <w:sz w:val="16"/>
                <w:szCs w:val="16"/>
                <w:lang w:eastAsia="zh-CN"/>
              </w:rPr>
              <w:t xml:space="preserve"> take into account that Advisory Centre is operating on a worldwide basis</w:t>
            </w:r>
          </w:p>
        </w:tc>
        <w:tc>
          <w:tcPr>
            <w:tcW w:w="1080" w:type="dxa"/>
            <w:tcBorders>
              <w:top w:val="nil"/>
              <w:left w:val="nil"/>
              <w:bottom w:val="nil"/>
              <w:right w:val="nil"/>
            </w:tcBorders>
            <w:shd w:val="clear" w:color="auto" w:fill="auto"/>
            <w:noWrap/>
            <w:vAlign w:val="bottom"/>
            <w:hideMark/>
          </w:tcPr>
          <w:p w14:paraId="16F7C77C"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r>
      <w:tr w:rsidR="00717D19" w:rsidRPr="00717D19" w14:paraId="5756C4B5" w14:textId="77777777" w:rsidTr="00717D19">
        <w:trPr>
          <w:trHeight w:val="223"/>
        </w:trPr>
        <w:tc>
          <w:tcPr>
            <w:tcW w:w="4680" w:type="dxa"/>
            <w:tcBorders>
              <w:top w:val="nil"/>
              <w:left w:val="nil"/>
              <w:bottom w:val="nil"/>
              <w:right w:val="nil"/>
            </w:tcBorders>
            <w:shd w:val="clear" w:color="auto" w:fill="auto"/>
            <w:noWrap/>
            <w:vAlign w:val="bottom"/>
            <w:hideMark/>
          </w:tcPr>
          <w:p w14:paraId="0CB22A2E"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roofErr w:type="gramStart"/>
            <w:r w:rsidRPr="00717D19">
              <w:rPr>
                <w:rFonts w:ascii="Calibri" w:eastAsia="Times New Roman" w:hAnsi="Calibri" w:cs="Arial"/>
                <w:spacing w:val="0"/>
                <w:w w:val="100"/>
                <w:kern w:val="0"/>
                <w:sz w:val="16"/>
                <w:szCs w:val="16"/>
                <w:vertAlign w:val="superscript"/>
                <w:lang w:eastAsia="zh-CN"/>
              </w:rPr>
              <w:t>6</w:t>
            </w:r>
            <w:r w:rsidRPr="00717D19">
              <w:rPr>
                <w:rFonts w:ascii="Calibri" w:eastAsia="Times New Roman" w:hAnsi="Calibri" w:cs="Arial"/>
                <w:spacing w:val="0"/>
                <w:w w:val="100"/>
                <w:kern w:val="0"/>
                <w:sz w:val="16"/>
                <w:szCs w:val="16"/>
                <w:lang w:eastAsia="zh-CN"/>
              </w:rPr>
              <w:t xml:space="preserve">  Costs</w:t>
            </w:r>
            <w:proofErr w:type="gramEnd"/>
            <w:r w:rsidRPr="00717D19">
              <w:rPr>
                <w:rFonts w:ascii="Calibri" w:eastAsia="Times New Roman" w:hAnsi="Calibri" w:cs="Arial"/>
                <w:spacing w:val="0"/>
                <w:w w:val="100"/>
                <w:kern w:val="0"/>
                <w:sz w:val="16"/>
                <w:szCs w:val="16"/>
                <w:lang w:eastAsia="zh-CN"/>
              </w:rPr>
              <w:t xml:space="preserve"> have been calculated on the basis of tax exemption</w:t>
            </w:r>
          </w:p>
        </w:tc>
        <w:tc>
          <w:tcPr>
            <w:tcW w:w="500" w:type="dxa"/>
            <w:tcBorders>
              <w:top w:val="nil"/>
              <w:left w:val="nil"/>
              <w:bottom w:val="nil"/>
              <w:right w:val="nil"/>
            </w:tcBorders>
            <w:shd w:val="clear" w:color="auto" w:fill="auto"/>
            <w:noWrap/>
            <w:vAlign w:val="bottom"/>
            <w:hideMark/>
          </w:tcPr>
          <w:p w14:paraId="2A08D159" w14:textId="77777777" w:rsidR="00717D19" w:rsidRPr="00717D19" w:rsidRDefault="00717D19" w:rsidP="00717D19">
            <w:pPr>
              <w:suppressAutoHyphens w:val="0"/>
              <w:spacing w:line="240" w:lineRule="auto"/>
              <w:rPr>
                <w:rFonts w:ascii="Calibri" w:eastAsia="Times New Roman" w:hAnsi="Calibri" w:cs="Arial"/>
                <w:spacing w:val="0"/>
                <w:w w:val="100"/>
                <w:kern w:val="0"/>
                <w:sz w:val="16"/>
                <w:szCs w:val="16"/>
                <w:lang w:eastAsia="zh-CN"/>
              </w:rPr>
            </w:pPr>
          </w:p>
        </w:tc>
        <w:tc>
          <w:tcPr>
            <w:tcW w:w="520" w:type="dxa"/>
            <w:tcBorders>
              <w:top w:val="nil"/>
              <w:left w:val="nil"/>
              <w:bottom w:val="nil"/>
              <w:right w:val="nil"/>
            </w:tcBorders>
            <w:shd w:val="clear" w:color="auto" w:fill="auto"/>
            <w:noWrap/>
            <w:vAlign w:val="bottom"/>
            <w:hideMark/>
          </w:tcPr>
          <w:p w14:paraId="2F54045F"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40" w:type="dxa"/>
            <w:tcBorders>
              <w:top w:val="nil"/>
              <w:left w:val="nil"/>
              <w:bottom w:val="nil"/>
              <w:right w:val="nil"/>
            </w:tcBorders>
            <w:shd w:val="clear" w:color="auto" w:fill="auto"/>
            <w:noWrap/>
            <w:vAlign w:val="bottom"/>
            <w:hideMark/>
          </w:tcPr>
          <w:p w14:paraId="45387D77"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780" w:type="dxa"/>
            <w:tcBorders>
              <w:top w:val="nil"/>
              <w:left w:val="nil"/>
              <w:bottom w:val="nil"/>
              <w:right w:val="nil"/>
            </w:tcBorders>
            <w:shd w:val="clear" w:color="auto" w:fill="auto"/>
            <w:noWrap/>
            <w:vAlign w:val="bottom"/>
            <w:hideMark/>
          </w:tcPr>
          <w:p w14:paraId="2332069D"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940" w:type="dxa"/>
            <w:tcBorders>
              <w:top w:val="nil"/>
              <w:left w:val="nil"/>
              <w:bottom w:val="nil"/>
              <w:right w:val="nil"/>
            </w:tcBorders>
            <w:shd w:val="clear" w:color="auto" w:fill="auto"/>
            <w:noWrap/>
            <w:vAlign w:val="bottom"/>
            <w:hideMark/>
          </w:tcPr>
          <w:p w14:paraId="51347A58"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1080" w:type="dxa"/>
            <w:tcBorders>
              <w:top w:val="nil"/>
              <w:left w:val="nil"/>
              <w:bottom w:val="nil"/>
              <w:right w:val="nil"/>
            </w:tcBorders>
            <w:shd w:val="clear" w:color="auto" w:fill="auto"/>
            <w:noWrap/>
            <w:vAlign w:val="bottom"/>
            <w:hideMark/>
          </w:tcPr>
          <w:p w14:paraId="65465C7B" w14:textId="77777777" w:rsidR="00717D19" w:rsidRPr="00717D19" w:rsidRDefault="00717D19" w:rsidP="00717D19">
            <w:pPr>
              <w:suppressAutoHyphens w:val="0"/>
              <w:spacing w:line="240" w:lineRule="auto"/>
              <w:rPr>
                <w:rFonts w:eastAsia="Times New Roman"/>
                <w:spacing w:val="0"/>
                <w:w w:val="100"/>
                <w:kern w:val="0"/>
                <w:lang w:eastAsia="zh-CN"/>
              </w:rPr>
            </w:pPr>
          </w:p>
        </w:tc>
      </w:tr>
      <w:tr w:rsidR="00717D19" w:rsidRPr="00717D19" w14:paraId="0EDB4108" w14:textId="77777777" w:rsidTr="00717D19">
        <w:trPr>
          <w:trHeight w:val="210"/>
        </w:trPr>
        <w:tc>
          <w:tcPr>
            <w:tcW w:w="4680" w:type="dxa"/>
            <w:tcBorders>
              <w:top w:val="nil"/>
              <w:left w:val="nil"/>
              <w:bottom w:val="nil"/>
              <w:right w:val="nil"/>
            </w:tcBorders>
            <w:shd w:val="clear" w:color="auto" w:fill="auto"/>
            <w:noWrap/>
            <w:vAlign w:val="bottom"/>
            <w:hideMark/>
          </w:tcPr>
          <w:p w14:paraId="36C52E6B"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00" w:type="dxa"/>
            <w:tcBorders>
              <w:top w:val="nil"/>
              <w:left w:val="nil"/>
              <w:bottom w:val="nil"/>
              <w:right w:val="nil"/>
            </w:tcBorders>
            <w:shd w:val="clear" w:color="auto" w:fill="auto"/>
            <w:noWrap/>
            <w:vAlign w:val="bottom"/>
            <w:hideMark/>
          </w:tcPr>
          <w:p w14:paraId="45929078"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20" w:type="dxa"/>
            <w:tcBorders>
              <w:top w:val="nil"/>
              <w:left w:val="nil"/>
              <w:bottom w:val="nil"/>
              <w:right w:val="nil"/>
            </w:tcBorders>
            <w:shd w:val="clear" w:color="auto" w:fill="auto"/>
            <w:noWrap/>
            <w:vAlign w:val="bottom"/>
            <w:hideMark/>
          </w:tcPr>
          <w:p w14:paraId="22BD1E04"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40" w:type="dxa"/>
            <w:tcBorders>
              <w:top w:val="nil"/>
              <w:left w:val="nil"/>
              <w:bottom w:val="nil"/>
              <w:right w:val="nil"/>
            </w:tcBorders>
            <w:shd w:val="clear" w:color="auto" w:fill="auto"/>
            <w:noWrap/>
            <w:vAlign w:val="bottom"/>
            <w:hideMark/>
          </w:tcPr>
          <w:p w14:paraId="4C3551CD"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780" w:type="dxa"/>
            <w:tcBorders>
              <w:top w:val="nil"/>
              <w:left w:val="nil"/>
              <w:bottom w:val="nil"/>
              <w:right w:val="nil"/>
            </w:tcBorders>
            <w:shd w:val="clear" w:color="auto" w:fill="auto"/>
            <w:noWrap/>
            <w:vAlign w:val="bottom"/>
            <w:hideMark/>
          </w:tcPr>
          <w:p w14:paraId="348FF0DA"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940" w:type="dxa"/>
            <w:tcBorders>
              <w:top w:val="nil"/>
              <w:left w:val="nil"/>
              <w:bottom w:val="nil"/>
              <w:right w:val="nil"/>
            </w:tcBorders>
            <w:shd w:val="clear" w:color="auto" w:fill="auto"/>
            <w:noWrap/>
            <w:vAlign w:val="bottom"/>
            <w:hideMark/>
          </w:tcPr>
          <w:p w14:paraId="1117AAB3"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1080" w:type="dxa"/>
            <w:tcBorders>
              <w:top w:val="nil"/>
              <w:left w:val="nil"/>
              <w:bottom w:val="nil"/>
              <w:right w:val="nil"/>
            </w:tcBorders>
            <w:shd w:val="clear" w:color="auto" w:fill="auto"/>
            <w:noWrap/>
            <w:vAlign w:val="bottom"/>
            <w:hideMark/>
          </w:tcPr>
          <w:p w14:paraId="53FC3DCA" w14:textId="77777777" w:rsidR="00717D19" w:rsidRPr="00717D19" w:rsidRDefault="00717D19" w:rsidP="00717D19">
            <w:pPr>
              <w:suppressAutoHyphens w:val="0"/>
              <w:spacing w:line="240" w:lineRule="auto"/>
              <w:rPr>
                <w:rFonts w:eastAsia="Times New Roman"/>
                <w:spacing w:val="0"/>
                <w:w w:val="100"/>
                <w:kern w:val="0"/>
                <w:lang w:eastAsia="zh-CN"/>
              </w:rPr>
            </w:pPr>
          </w:p>
        </w:tc>
      </w:tr>
      <w:tr w:rsidR="00717D19" w:rsidRPr="00717D19" w14:paraId="076AEF77" w14:textId="77777777" w:rsidTr="00717D19">
        <w:trPr>
          <w:trHeight w:val="210"/>
        </w:trPr>
        <w:tc>
          <w:tcPr>
            <w:tcW w:w="4680" w:type="dxa"/>
            <w:tcBorders>
              <w:top w:val="nil"/>
              <w:left w:val="nil"/>
              <w:bottom w:val="nil"/>
              <w:right w:val="nil"/>
            </w:tcBorders>
            <w:shd w:val="clear" w:color="auto" w:fill="auto"/>
            <w:noWrap/>
            <w:vAlign w:val="bottom"/>
            <w:hideMark/>
          </w:tcPr>
          <w:p w14:paraId="0C5A90CC"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00" w:type="dxa"/>
            <w:tcBorders>
              <w:top w:val="nil"/>
              <w:left w:val="nil"/>
              <w:bottom w:val="nil"/>
              <w:right w:val="nil"/>
            </w:tcBorders>
            <w:shd w:val="clear" w:color="auto" w:fill="auto"/>
            <w:noWrap/>
            <w:vAlign w:val="bottom"/>
            <w:hideMark/>
          </w:tcPr>
          <w:p w14:paraId="0971A121"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20" w:type="dxa"/>
            <w:tcBorders>
              <w:top w:val="nil"/>
              <w:left w:val="nil"/>
              <w:bottom w:val="nil"/>
              <w:right w:val="nil"/>
            </w:tcBorders>
            <w:shd w:val="clear" w:color="auto" w:fill="auto"/>
            <w:noWrap/>
            <w:vAlign w:val="bottom"/>
            <w:hideMark/>
          </w:tcPr>
          <w:p w14:paraId="673F193F"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40" w:type="dxa"/>
            <w:tcBorders>
              <w:top w:val="nil"/>
              <w:left w:val="nil"/>
              <w:bottom w:val="nil"/>
              <w:right w:val="nil"/>
            </w:tcBorders>
            <w:shd w:val="clear" w:color="auto" w:fill="auto"/>
            <w:noWrap/>
            <w:vAlign w:val="bottom"/>
            <w:hideMark/>
          </w:tcPr>
          <w:p w14:paraId="7AB870CE"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780" w:type="dxa"/>
            <w:tcBorders>
              <w:top w:val="nil"/>
              <w:left w:val="nil"/>
              <w:bottom w:val="nil"/>
              <w:right w:val="nil"/>
            </w:tcBorders>
            <w:shd w:val="clear" w:color="auto" w:fill="auto"/>
            <w:noWrap/>
            <w:vAlign w:val="bottom"/>
            <w:hideMark/>
          </w:tcPr>
          <w:p w14:paraId="10CC96C2"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940" w:type="dxa"/>
            <w:tcBorders>
              <w:top w:val="nil"/>
              <w:left w:val="nil"/>
              <w:bottom w:val="nil"/>
              <w:right w:val="nil"/>
            </w:tcBorders>
            <w:shd w:val="clear" w:color="auto" w:fill="auto"/>
            <w:noWrap/>
            <w:vAlign w:val="bottom"/>
            <w:hideMark/>
          </w:tcPr>
          <w:p w14:paraId="13C05723"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1080" w:type="dxa"/>
            <w:tcBorders>
              <w:top w:val="nil"/>
              <w:left w:val="nil"/>
              <w:bottom w:val="nil"/>
              <w:right w:val="nil"/>
            </w:tcBorders>
            <w:shd w:val="clear" w:color="auto" w:fill="auto"/>
            <w:noWrap/>
            <w:vAlign w:val="bottom"/>
            <w:hideMark/>
          </w:tcPr>
          <w:p w14:paraId="54DB9834" w14:textId="77777777" w:rsidR="00717D19" w:rsidRPr="00717D19" w:rsidRDefault="00717D19" w:rsidP="00717D19">
            <w:pPr>
              <w:suppressAutoHyphens w:val="0"/>
              <w:spacing w:line="240" w:lineRule="auto"/>
              <w:rPr>
                <w:rFonts w:eastAsia="Times New Roman"/>
                <w:spacing w:val="0"/>
                <w:w w:val="100"/>
                <w:kern w:val="0"/>
                <w:lang w:eastAsia="zh-CN"/>
              </w:rPr>
            </w:pPr>
          </w:p>
        </w:tc>
      </w:tr>
      <w:tr w:rsidR="00717D19" w:rsidRPr="00717D19" w14:paraId="6F3BA75B" w14:textId="77777777" w:rsidTr="00717D19">
        <w:trPr>
          <w:trHeight w:val="210"/>
        </w:trPr>
        <w:tc>
          <w:tcPr>
            <w:tcW w:w="4680" w:type="dxa"/>
            <w:tcBorders>
              <w:top w:val="nil"/>
              <w:left w:val="nil"/>
              <w:bottom w:val="nil"/>
              <w:right w:val="nil"/>
            </w:tcBorders>
            <w:shd w:val="clear" w:color="auto" w:fill="auto"/>
            <w:noWrap/>
            <w:vAlign w:val="bottom"/>
            <w:hideMark/>
          </w:tcPr>
          <w:p w14:paraId="2C716347"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00" w:type="dxa"/>
            <w:tcBorders>
              <w:top w:val="nil"/>
              <w:left w:val="nil"/>
              <w:bottom w:val="nil"/>
              <w:right w:val="nil"/>
            </w:tcBorders>
            <w:shd w:val="clear" w:color="auto" w:fill="auto"/>
            <w:noWrap/>
            <w:vAlign w:val="bottom"/>
            <w:hideMark/>
          </w:tcPr>
          <w:p w14:paraId="14FA535E"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20" w:type="dxa"/>
            <w:tcBorders>
              <w:top w:val="nil"/>
              <w:left w:val="nil"/>
              <w:bottom w:val="nil"/>
              <w:right w:val="nil"/>
            </w:tcBorders>
            <w:shd w:val="clear" w:color="auto" w:fill="auto"/>
            <w:noWrap/>
            <w:vAlign w:val="bottom"/>
            <w:hideMark/>
          </w:tcPr>
          <w:p w14:paraId="625CF5F1"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40" w:type="dxa"/>
            <w:tcBorders>
              <w:top w:val="nil"/>
              <w:left w:val="nil"/>
              <w:bottom w:val="nil"/>
              <w:right w:val="nil"/>
            </w:tcBorders>
            <w:shd w:val="clear" w:color="auto" w:fill="auto"/>
            <w:noWrap/>
            <w:vAlign w:val="bottom"/>
            <w:hideMark/>
          </w:tcPr>
          <w:p w14:paraId="2354129E"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780" w:type="dxa"/>
            <w:tcBorders>
              <w:top w:val="nil"/>
              <w:left w:val="nil"/>
              <w:bottom w:val="nil"/>
              <w:right w:val="nil"/>
            </w:tcBorders>
            <w:shd w:val="clear" w:color="auto" w:fill="auto"/>
            <w:noWrap/>
            <w:vAlign w:val="bottom"/>
            <w:hideMark/>
          </w:tcPr>
          <w:p w14:paraId="6B5AF8BC"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940" w:type="dxa"/>
            <w:tcBorders>
              <w:top w:val="nil"/>
              <w:left w:val="nil"/>
              <w:bottom w:val="nil"/>
              <w:right w:val="nil"/>
            </w:tcBorders>
            <w:shd w:val="clear" w:color="auto" w:fill="auto"/>
            <w:noWrap/>
            <w:vAlign w:val="bottom"/>
            <w:hideMark/>
          </w:tcPr>
          <w:p w14:paraId="1C052D20"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1080" w:type="dxa"/>
            <w:tcBorders>
              <w:top w:val="nil"/>
              <w:left w:val="nil"/>
              <w:bottom w:val="nil"/>
              <w:right w:val="nil"/>
            </w:tcBorders>
            <w:shd w:val="clear" w:color="auto" w:fill="auto"/>
            <w:noWrap/>
            <w:vAlign w:val="bottom"/>
            <w:hideMark/>
          </w:tcPr>
          <w:p w14:paraId="0DA0DC9A" w14:textId="77777777" w:rsidR="00717D19" w:rsidRPr="00717D19" w:rsidRDefault="00717D19" w:rsidP="00717D19">
            <w:pPr>
              <w:suppressAutoHyphens w:val="0"/>
              <w:spacing w:line="240" w:lineRule="auto"/>
              <w:rPr>
                <w:rFonts w:eastAsia="Times New Roman"/>
                <w:spacing w:val="0"/>
                <w:w w:val="100"/>
                <w:kern w:val="0"/>
                <w:lang w:eastAsia="zh-CN"/>
              </w:rPr>
            </w:pPr>
          </w:p>
        </w:tc>
      </w:tr>
      <w:tr w:rsidR="00717D19" w:rsidRPr="00717D19" w14:paraId="3BBAC9FB" w14:textId="77777777" w:rsidTr="00717D19">
        <w:trPr>
          <w:trHeight w:val="210"/>
        </w:trPr>
        <w:tc>
          <w:tcPr>
            <w:tcW w:w="4680" w:type="dxa"/>
            <w:tcBorders>
              <w:top w:val="nil"/>
              <w:left w:val="nil"/>
              <w:bottom w:val="nil"/>
              <w:right w:val="nil"/>
            </w:tcBorders>
            <w:shd w:val="clear" w:color="auto" w:fill="auto"/>
            <w:noWrap/>
            <w:vAlign w:val="bottom"/>
            <w:hideMark/>
          </w:tcPr>
          <w:p w14:paraId="5E903CBA"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00" w:type="dxa"/>
            <w:tcBorders>
              <w:top w:val="nil"/>
              <w:left w:val="nil"/>
              <w:bottom w:val="nil"/>
              <w:right w:val="nil"/>
            </w:tcBorders>
            <w:shd w:val="clear" w:color="auto" w:fill="auto"/>
            <w:noWrap/>
            <w:vAlign w:val="bottom"/>
            <w:hideMark/>
          </w:tcPr>
          <w:p w14:paraId="5E769059"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20" w:type="dxa"/>
            <w:tcBorders>
              <w:top w:val="nil"/>
              <w:left w:val="nil"/>
              <w:bottom w:val="nil"/>
              <w:right w:val="nil"/>
            </w:tcBorders>
            <w:shd w:val="clear" w:color="auto" w:fill="auto"/>
            <w:noWrap/>
            <w:vAlign w:val="bottom"/>
            <w:hideMark/>
          </w:tcPr>
          <w:p w14:paraId="058C8BF0"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540" w:type="dxa"/>
            <w:tcBorders>
              <w:top w:val="nil"/>
              <w:left w:val="nil"/>
              <w:bottom w:val="nil"/>
              <w:right w:val="nil"/>
            </w:tcBorders>
            <w:shd w:val="clear" w:color="auto" w:fill="auto"/>
            <w:noWrap/>
            <w:vAlign w:val="bottom"/>
            <w:hideMark/>
          </w:tcPr>
          <w:p w14:paraId="7BE13559"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780" w:type="dxa"/>
            <w:tcBorders>
              <w:top w:val="nil"/>
              <w:left w:val="nil"/>
              <w:bottom w:val="nil"/>
              <w:right w:val="nil"/>
            </w:tcBorders>
            <w:shd w:val="clear" w:color="auto" w:fill="auto"/>
            <w:noWrap/>
            <w:vAlign w:val="bottom"/>
            <w:hideMark/>
          </w:tcPr>
          <w:p w14:paraId="09C89C42"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940" w:type="dxa"/>
            <w:tcBorders>
              <w:top w:val="nil"/>
              <w:left w:val="nil"/>
              <w:bottom w:val="nil"/>
              <w:right w:val="nil"/>
            </w:tcBorders>
            <w:shd w:val="clear" w:color="auto" w:fill="auto"/>
            <w:noWrap/>
            <w:vAlign w:val="bottom"/>
            <w:hideMark/>
          </w:tcPr>
          <w:p w14:paraId="701F4C71" w14:textId="77777777" w:rsidR="00717D19" w:rsidRPr="00717D19" w:rsidRDefault="00717D19" w:rsidP="00717D19">
            <w:pPr>
              <w:suppressAutoHyphens w:val="0"/>
              <w:spacing w:line="240" w:lineRule="auto"/>
              <w:rPr>
                <w:rFonts w:eastAsia="Times New Roman"/>
                <w:spacing w:val="0"/>
                <w:w w:val="100"/>
                <w:kern w:val="0"/>
                <w:lang w:eastAsia="zh-CN"/>
              </w:rPr>
            </w:pPr>
          </w:p>
        </w:tc>
        <w:tc>
          <w:tcPr>
            <w:tcW w:w="1080" w:type="dxa"/>
            <w:tcBorders>
              <w:top w:val="nil"/>
              <w:left w:val="nil"/>
              <w:bottom w:val="nil"/>
              <w:right w:val="nil"/>
            </w:tcBorders>
            <w:shd w:val="clear" w:color="auto" w:fill="auto"/>
            <w:noWrap/>
            <w:vAlign w:val="bottom"/>
            <w:hideMark/>
          </w:tcPr>
          <w:p w14:paraId="7BC47B4A" w14:textId="77777777" w:rsidR="00717D19" w:rsidRPr="00717D19" w:rsidRDefault="00717D19" w:rsidP="00717D19">
            <w:pPr>
              <w:suppressAutoHyphens w:val="0"/>
              <w:spacing w:line="240" w:lineRule="auto"/>
              <w:rPr>
                <w:rFonts w:eastAsia="Times New Roman"/>
                <w:spacing w:val="0"/>
                <w:w w:val="100"/>
                <w:kern w:val="0"/>
                <w:lang w:eastAsia="zh-CN"/>
              </w:rPr>
            </w:pPr>
          </w:p>
        </w:tc>
      </w:tr>
    </w:tbl>
    <w:p w14:paraId="60F64797" w14:textId="77777777" w:rsidR="00717D19" w:rsidRDefault="00717D19" w:rsidP="003865E3">
      <w:pPr>
        <w:pStyle w:val="SingleTxt"/>
        <w:jc w:val="center"/>
        <w:rPr>
          <w:rFonts w:asciiTheme="majorBidi" w:hAnsiTheme="majorBidi" w:cstheme="majorBidi"/>
          <w:b/>
          <w:bCs/>
          <w:sz w:val="24"/>
          <w:szCs w:val="24"/>
          <w:u w:val="single"/>
        </w:rPr>
      </w:pPr>
    </w:p>
    <w:p w14:paraId="0993AB13" w14:textId="0116B712" w:rsidR="00717D19" w:rsidRDefault="00717D19" w:rsidP="003865E3">
      <w:pPr>
        <w:pStyle w:val="SingleTxt"/>
        <w:jc w:val="center"/>
        <w:rPr>
          <w:rFonts w:asciiTheme="majorBidi" w:hAnsiTheme="majorBidi" w:cstheme="majorBidi"/>
          <w:b/>
          <w:bCs/>
          <w:sz w:val="24"/>
          <w:szCs w:val="24"/>
          <w:u w:val="single"/>
        </w:rPr>
      </w:pPr>
    </w:p>
    <w:p w14:paraId="5F79E5BC" w14:textId="77777777" w:rsidR="00717D19" w:rsidRPr="00C54C48" w:rsidRDefault="00717D19" w:rsidP="003865E3">
      <w:pPr>
        <w:pStyle w:val="SingleTxt"/>
        <w:jc w:val="center"/>
        <w:rPr>
          <w:rFonts w:asciiTheme="majorBidi" w:hAnsiTheme="majorBidi" w:cstheme="majorBidi"/>
          <w:b/>
          <w:bCs/>
          <w:sz w:val="24"/>
          <w:szCs w:val="24"/>
          <w:u w:val="single"/>
        </w:rPr>
      </w:pPr>
    </w:p>
    <w:sectPr w:rsidR="00717D19" w:rsidRPr="00C54C48" w:rsidSect="00FD2D1A">
      <w:endnotePr>
        <w:numFmt w:val="decimal"/>
      </w:endnotePr>
      <w:pgSz w:w="11909" w:h="16834" w:code="9"/>
      <w:pgMar w:top="1440" w:right="1037" w:bottom="1152" w:left="1037"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B3194" w14:textId="77777777" w:rsidR="00F613F0" w:rsidRDefault="00F613F0" w:rsidP="00556720">
      <w:r>
        <w:separator/>
      </w:r>
    </w:p>
  </w:endnote>
  <w:endnote w:type="continuationSeparator" w:id="0">
    <w:p w14:paraId="55D33422" w14:textId="77777777" w:rsidR="00F613F0" w:rsidRDefault="00F613F0" w:rsidP="00556720">
      <w:r>
        <w:continuationSeparator/>
      </w:r>
    </w:p>
  </w:endnote>
  <w:endnote w:type="continuationNotice" w:id="1">
    <w:p w14:paraId="3A2F5FC5" w14:textId="77777777" w:rsidR="00F613F0" w:rsidRDefault="00F613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767ABC" w14:paraId="74990943" w14:textId="77777777" w:rsidTr="00721987">
      <w:trPr>
        <w:jc w:val="center"/>
      </w:trPr>
      <w:tc>
        <w:tcPr>
          <w:tcW w:w="4922" w:type="dxa"/>
          <w:shd w:val="clear" w:color="auto" w:fill="auto"/>
        </w:tcPr>
        <w:p w14:paraId="6D17D6BA" w14:textId="5DFD88D7" w:rsidR="00767ABC" w:rsidRPr="00721987" w:rsidRDefault="00767ABC" w:rsidP="00721987">
          <w:pPr>
            <w:pStyle w:val="Footer"/>
            <w:jc w:val="right"/>
            <w:rPr>
              <w:b w:val="0"/>
              <w:w w:val="103"/>
              <w:sz w:val="14"/>
            </w:rPr>
          </w:pPr>
        </w:p>
      </w:tc>
      <w:tc>
        <w:tcPr>
          <w:tcW w:w="4923" w:type="dxa"/>
          <w:shd w:val="clear" w:color="auto" w:fill="auto"/>
        </w:tcPr>
        <w:p w14:paraId="46959C46" w14:textId="13A7F041" w:rsidR="00767ABC" w:rsidRPr="00721987" w:rsidRDefault="00767ABC" w:rsidP="0072198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2E053565" w14:textId="77777777" w:rsidR="00767ABC" w:rsidRPr="00721987" w:rsidRDefault="00767ABC" w:rsidP="00721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767ABC" w14:paraId="11DE30CF" w14:textId="77777777" w:rsidTr="00721987">
      <w:trPr>
        <w:jc w:val="center"/>
      </w:trPr>
      <w:tc>
        <w:tcPr>
          <w:tcW w:w="4922" w:type="dxa"/>
          <w:shd w:val="clear" w:color="auto" w:fill="auto"/>
        </w:tcPr>
        <w:p w14:paraId="1D7603EA" w14:textId="7AB9CF25" w:rsidR="00767ABC" w:rsidRPr="00721987" w:rsidRDefault="00767ABC" w:rsidP="0072198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c>
        <w:tcPr>
          <w:tcW w:w="4923" w:type="dxa"/>
          <w:shd w:val="clear" w:color="auto" w:fill="auto"/>
        </w:tcPr>
        <w:p w14:paraId="5380DE54" w14:textId="7CF6355E" w:rsidR="00767ABC" w:rsidRPr="00721987" w:rsidRDefault="00767ABC" w:rsidP="00721987">
          <w:pPr>
            <w:pStyle w:val="Footer"/>
            <w:rPr>
              <w:b w:val="0"/>
              <w:w w:val="103"/>
              <w:sz w:val="14"/>
            </w:rPr>
          </w:pPr>
        </w:p>
      </w:tc>
    </w:tr>
  </w:tbl>
  <w:p w14:paraId="14032515" w14:textId="77777777" w:rsidR="00767ABC" w:rsidRPr="00721987" w:rsidRDefault="00767ABC" w:rsidP="00721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EF5F" w14:textId="77777777" w:rsidR="001B025F" w:rsidRDefault="001B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6516" w14:textId="77777777" w:rsidR="00F613F0" w:rsidRPr="0064794F" w:rsidRDefault="00F613F0" w:rsidP="0064794F">
      <w:pPr>
        <w:pStyle w:val="Footer"/>
        <w:spacing w:after="80"/>
        <w:ind w:left="792"/>
        <w:rPr>
          <w:sz w:val="16"/>
        </w:rPr>
      </w:pPr>
      <w:r w:rsidRPr="0064794F">
        <w:rPr>
          <w:sz w:val="16"/>
        </w:rPr>
        <w:t>__________________</w:t>
      </w:r>
    </w:p>
  </w:footnote>
  <w:footnote w:type="continuationSeparator" w:id="0">
    <w:p w14:paraId="0283800F" w14:textId="77777777" w:rsidR="00F613F0" w:rsidRPr="0064794F" w:rsidRDefault="00F613F0" w:rsidP="0064794F">
      <w:pPr>
        <w:pStyle w:val="Footer"/>
        <w:spacing w:after="80"/>
        <w:ind w:left="792"/>
        <w:rPr>
          <w:sz w:val="16"/>
        </w:rPr>
      </w:pPr>
      <w:r w:rsidRPr="0064794F">
        <w:rPr>
          <w:sz w:val="16"/>
        </w:rPr>
        <w:t>__________________</w:t>
      </w:r>
    </w:p>
  </w:footnote>
  <w:footnote w:type="continuationNotice" w:id="1">
    <w:p w14:paraId="3757F39E" w14:textId="77777777" w:rsidR="00F613F0" w:rsidRDefault="00F613F0">
      <w:pPr>
        <w:spacing w:line="240" w:lineRule="auto"/>
      </w:pPr>
    </w:p>
  </w:footnote>
  <w:footnote w:id="2">
    <w:p w14:paraId="735D9EC4" w14:textId="77777777" w:rsidR="00767ABC" w:rsidRPr="00125F39" w:rsidRDefault="00767ABC" w:rsidP="007250CD">
      <w:pPr>
        <w:pStyle w:val="FootnoteText"/>
        <w:ind w:firstLine="801"/>
        <w:jc w:val="both"/>
        <w:rPr>
          <w:szCs w:val="17"/>
          <w:lang w:val="en-US"/>
        </w:rPr>
      </w:pPr>
      <w:r w:rsidRPr="00125F39">
        <w:rPr>
          <w:rStyle w:val="FootnoteReference"/>
          <w:szCs w:val="17"/>
        </w:rPr>
        <w:footnoteRef/>
      </w:r>
      <w:r w:rsidRPr="00125F39">
        <w:rPr>
          <w:szCs w:val="17"/>
        </w:rPr>
        <w:t xml:space="preserve"> See </w:t>
      </w:r>
      <w:r w:rsidRPr="00125F39">
        <w:rPr>
          <w:i/>
          <w:iCs/>
          <w:szCs w:val="17"/>
        </w:rPr>
        <w:t>ACWL Organisational Structure</w:t>
      </w:r>
      <w:r w:rsidRPr="00125F39">
        <w:rPr>
          <w:szCs w:val="17"/>
        </w:rPr>
        <w:t xml:space="preserve">, </w:t>
      </w:r>
      <w:hyperlink r:id="rId1" w:history="1">
        <w:r w:rsidRPr="00125F39">
          <w:rPr>
            <w:rStyle w:val="Hyperlink"/>
            <w:szCs w:val="17"/>
          </w:rPr>
          <w:t>https://www.acwl.ch/organisational-structure/</w:t>
        </w:r>
      </w:hyperlink>
      <w:r w:rsidRPr="00125F39">
        <w:rPr>
          <w:szCs w:val="17"/>
        </w:rPr>
        <w:t xml:space="preserve"> </w:t>
      </w:r>
    </w:p>
  </w:footnote>
  <w:footnote w:id="3">
    <w:p w14:paraId="18D307D2" w14:textId="77777777" w:rsidR="00767ABC" w:rsidRPr="00125F39" w:rsidRDefault="00767ABC" w:rsidP="00C42F4F">
      <w:pPr>
        <w:pStyle w:val="FootnoteText"/>
        <w:tabs>
          <w:tab w:val="left" w:pos="1134"/>
          <w:tab w:val="left" w:pos="1276"/>
        </w:tabs>
        <w:jc w:val="both"/>
        <w:rPr>
          <w:szCs w:val="17"/>
        </w:rPr>
      </w:pPr>
      <w:r w:rsidRPr="00125F39">
        <w:rPr>
          <w:szCs w:val="17"/>
        </w:rPr>
        <w:tab/>
      </w:r>
      <w:r w:rsidRPr="00125F39">
        <w:rPr>
          <w:szCs w:val="17"/>
        </w:rPr>
        <w:tab/>
      </w:r>
      <w:r w:rsidRPr="00125F39">
        <w:rPr>
          <w:szCs w:val="17"/>
        </w:rPr>
        <w:tab/>
      </w:r>
      <w:r w:rsidRPr="00125F39">
        <w:rPr>
          <w:szCs w:val="17"/>
        </w:rPr>
        <w:tab/>
      </w:r>
      <w:r w:rsidRPr="00125F39">
        <w:rPr>
          <w:rStyle w:val="FootnoteReference"/>
          <w:szCs w:val="17"/>
        </w:rPr>
        <w:footnoteRef/>
      </w:r>
      <w:r w:rsidRPr="00125F39">
        <w:rPr>
          <w:szCs w:val="17"/>
        </w:rPr>
        <w:t xml:space="preserve"> IAA/ILI: Note on the costs and financing of an Advisory Centre on International Investment Law </w:t>
      </w:r>
      <w:r>
        <w:rPr>
          <w:szCs w:val="17"/>
        </w:rPr>
        <w:t>(the Study)</w:t>
      </w:r>
    </w:p>
    <w:p w14:paraId="72DFCF90" w14:textId="16CF5834" w:rsidR="00767ABC" w:rsidRPr="00125F39" w:rsidRDefault="001B025F" w:rsidP="00C42F4F">
      <w:pPr>
        <w:pStyle w:val="FootnoteText"/>
        <w:ind w:left="1276" w:right="1198" w:firstLine="0"/>
        <w:jc w:val="both"/>
        <w:rPr>
          <w:szCs w:val="17"/>
        </w:rPr>
      </w:pPr>
      <w:hyperlink r:id="rId2" w:history="1">
        <w:r w:rsidR="00767ABC" w:rsidRPr="00A15766">
          <w:rPr>
            <w:rStyle w:val="Hyperlink"/>
            <w:szCs w:val="17"/>
          </w:rPr>
          <w:t>https://uncitral.un.org/sites/uncitral.un.org/files/aciil_note_on_costs_financing_24_august_2020_final_updated.pdf</w:t>
        </w:r>
      </w:hyperlink>
      <w:r w:rsidR="00767ABC">
        <w:rPr>
          <w:rStyle w:val="Hyperlink"/>
          <w:szCs w:val="17"/>
        </w:rPr>
        <w:t>.</w:t>
      </w:r>
    </w:p>
  </w:footnote>
  <w:footnote w:id="4">
    <w:p w14:paraId="0F2AC412" w14:textId="71AD0CC2" w:rsidR="00767ABC" w:rsidRDefault="00767ABC" w:rsidP="00C42F4F">
      <w:pPr>
        <w:pStyle w:val="SingleTxt"/>
        <w:tabs>
          <w:tab w:val="clear" w:pos="1742"/>
          <w:tab w:val="left" w:pos="709"/>
          <w:tab w:val="left" w:pos="2127"/>
          <w:tab w:val="num" w:pos="2843"/>
        </w:tabs>
        <w:ind w:left="0"/>
      </w:pPr>
      <w:r>
        <w:rPr>
          <w:sz w:val="18"/>
          <w:szCs w:val="18"/>
        </w:rPr>
        <w:tab/>
      </w:r>
      <w:r>
        <w:rPr>
          <w:sz w:val="18"/>
          <w:szCs w:val="18"/>
        </w:rPr>
        <w:tab/>
      </w:r>
      <w:r w:rsidRPr="007A0116">
        <w:rPr>
          <w:rStyle w:val="FootnoteReference"/>
          <w:sz w:val="18"/>
          <w:szCs w:val="18"/>
        </w:rPr>
        <w:footnoteRef/>
      </w:r>
      <w:r>
        <w:rPr>
          <w:sz w:val="18"/>
          <w:szCs w:val="18"/>
        </w:rPr>
        <w:t xml:space="preserve"> Study, para 4-2.3.</w:t>
      </w:r>
    </w:p>
  </w:footnote>
  <w:footnote w:id="5">
    <w:p w14:paraId="48BE4A76" w14:textId="2F8A9C69" w:rsidR="00767ABC" w:rsidRPr="002667E1" w:rsidRDefault="00767ABC" w:rsidP="00290C9C">
      <w:pPr>
        <w:pStyle w:val="FootnoteText"/>
        <w:tabs>
          <w:tab w:val="clear" w:pos="418"/>
          <w:tab w:val="right" w:pos="1276"/>
        </w:tabs>
        <w:ind w:left="1276" w:right="1198" w:firstLine="0"/>
      </w:pPr>
      <w:r>
        <w:rPr>
          <w:rStyle w:val="FootnoteReference"/>
        </w:rPr>
        <w:footnoteRef/>
      </w:r>
      <w:r>
        <w:t xml:space="preserve"> Study, p</w:t>
      </w:r>
      <w:r w:rsidRPr="002667E1">
        <w:t>aras</w:t>
      </w:r>
      <w:r>
        <w:t>.</w:t>
      </w:r>
      <w:r w:rsidRPr="002667E1">
        <w:t xml:space="preserve"> 24-45 and Annex 2 with further details, notably an overview of all ICSID cases May 2019-May 2020, the number of hours spent on the cases, the calculation of average lawyers’ fees per case, the calculation of average number of hours per cases, and the calculation of average duration of a case</w:t>
      </w:r>
      <w:r>
        <w:t>.</w:t>
      </w:r>
    </w:p>
  </w:footnote>
  <w:footnote w:id="6">
    <w:p w14:paraId="74840225" w14:textId="722B1FDC" w:rsidR="00767ABC" w:rsidRDefault="00767ABC" w:rsidP="00D1497C">
      <w:pPr>
        <w:pStyle w:val="FootnoteText"/>
        <w:tabs>
          <w:tab w:val="clear" w:pos="418"/>
          <w:tab w:val="left" w:pos="1134"/>
        </w:tabs>
        <w:ind w:left="1276" w:right="914" w:firstLine="0"/>
      </w:pPr>
      <w:r>
        <w:rPr>
          <w:rStyle w:val="FootnoteReference"/>
        </w:rPr>
        <w:footnoteRef/>
      </w:r>
      <w:r>
        <w:t xml:space="preserve"> More precisely, it refers to the </w:t>
      </w:r>
      <w:r w:rsidRPr="00C54C48">
        <w:rPr>
          <w:rFonts w:asciiTheme="majorBidi" w:hAnsiTheme="majorBidi" w:cstheme="majorBidi"/>
        </w:rPr>
        <w:t>UNODC Standard Salary Costs and the UNOV/UNODC Standard Cost Manual</w:t>
      </w:r>
      <w:r>
        <w:rPr>
          <w:rFonts w:asciiTheme="majorBidi" w:hAnsiTheme="majorBidi" w:cstheme="majorBidi"/>
        </w:rPr>
        <w:t>.</w:t>
      </w:r>
    </w:p>
  </w:footnote>
  <w:footnote w:id="7">
    <w:p w14:paraId="4F81BC04" w14:textId="0B04731E" w:rsidR="00767ABC" w:rsidRPr="00FD2D1A" w:rsidRDefault="00767ABC" w:rsidP="00AA1E3B">
      <w:pPr>
        <w:pStyle w:val="NoSpacing"/>
        <w:ind w:left="1276" w:firstLine="142"/>
        <w:rPr>
          <w:sz w:val="17"/>
          <w:szCs w:val="17"/>
          <w:lang w:val="es-ES"/>
        </w:rPr>
      </w:pPr>
      <w:r w:rsidRPr="00A26F72">
        <w:rPr>
          <w:rStyle w:val="FootnoteReference"/>
          <w:sz w:val="17"/>
          <w:szCs w:val="17"/>
        </w:rPr>
        <w:footnoteRef/>
      </w:r>
      <w:r w:rsidRPr="00FD2D1A">
        <w:rPr>
          <w:sz w:val="17"/>
          <w:szCs w:val="17"/>
          <w:lang w:val="es-ES"/>
        </w:rPr>
        <w:t xml:space="preserve"> </w:t>
      </w:r>
      <w:proofErr w:type="spellStart"/>
      <w:r w:rsidRPr="00FD2D1A">
        <w:rPr>
          <w:sz w:val="17"/>
          <w:szCs w:val="17"/>
          <w:lang w:val="es-ES"/>
        </w:rPr>
        <w:t>Study</w:t>
      </w:r>
      <w:proofErr w:type="spellEnd"/>
      <w:r w:rsidRPr="00FD2D1A">
        <w:rPr>
          <w:sz w:val="17"/>
          <w:szCs w:val="17"/>
          <w:lang w:val="es-ES"/>
        </w:rPr>
        <w:t>, para 16.</w:t>
      </w:r>
    </w:p>
  </w:footnote>
  <w:footnote w:id="8">
    <w:p w14:paraId="3F16D433" w14:textId="3102609E" w:rsidR="00767ABC" w:rsidRPr="00FD2D1A" w:rsidRDefault="00767ABC" w:rsidP="00AA1E3B">
      <w:pPr>
        <w:pStyle w:val="NoSpacing"/>
        <w:ind w:left="1276" w:firstLine="142"/>
        <w:rPr>
          <w:sz w:val="17"/>
          <w:szCs w:val="17"/>
          <w:lang w:val="es-ES"/>
        </w:rPr>
      </w:pPr>
      <w:r w:rsidRPr="00A26F72">
        <w:rPr>
          <w:rStyle w:val="FootnoteReference"/>
          <w:sz w:val="17"/>
          <w:szCs w:val="17"/>
        </w:rPr>
        <w:footnoteRef/>
      </w:r>
      <w:r w:rsidRPr="00FD2D1A">
        <w:rPr>
          <w:sz w:val="17"/>
          <w:szCs w:val="17"/>
          <w:lang w:val="es-ES"/>
        </w:rPr>
        <w:t xml:space="preserve"> Ibid., para. 64.</w:t>
      </w:r>
    </w:p>
  </w:footnote>
  <w:footnote w:id="9">
    <w:p w14:paraId="69D76DD5" w14:textId="75D96B9D" w:rsidR="00767ABC" w:rsidRPr="00FD2D1A" w:rsidRDefault="00767ABC" w:rsidP="00AA1E3B">
      <w:pPr>
        <w:pStyle w:val="NoSpacing"/>
        <w:ind w:left="1276" w:firstLine="142"/>
        <w:rPr>
          <w:sz w:val="17"/>
          <w:szCs w:val="17"/>
          <w:lang w:val="es-ES"/>
        </w:rPr>
      </w:pPr>
      <w:r w:rsidRPr="00A26F72">
        <w:rPr>
          <w:rStyle w:val="FootnoteReference"/>
          <w:sz w:val="17"/>
          <w:szCs w:val="17"/>
        </w:rPr>
        <w:footnoteRef/>
      </w:r>
      <w:r w:rsidRPr="00FD2D1A">
        <w:rPr>
          <w:sz w:val="17"/>
          <w:szCs w:val="17"/>
          <w:lang w:val="es-ES"/>
        </w:rPr>
        <w:t xml:space="preserve"> Ibid., paras. 66–67.</w:t>
      </w:r>
    </w:p>
  </w:footnote>
  <w:footnote w:id="10">
    <w:p w14:paraId="089D8542" w14:textId="50194E30" w:rsidR="00767ABC" w:rsidRPr="00FD2D1A" w:rsidRDefault="00767ABC" w:rsidP="00AA1E3B">
      <w:pPr>
        <w:pStyle w:val="NoSpacing"/>
        <w:ind w:left="1276" w:firstLine="142"/>
        <w:rPr>
          <w:sz w:val="17"/>
          <w:szCs w:val="17"/>
          <w:lang w:val="es-ES"/>
        </w:rPr>
      </w:pPr>
      <w:r w:rsidRPr="00A26F72">
        <w:rPr>
          <w:rStyle w:val="FootnoteReference"/>
          <w:sz w:val="17"/>
          <w:szCs w:val="17"/>
        </w:rPr>
        <w:footnoteRef/>
      </w:r>
      <w:r w:rsidRPr="00FD2D1A">
        <w:rPr>
          <w:sz w:val="17"/>
          <w:szCs w:val="17"/>
          <w:lang w:val="es-ES"/>
        </w:rPr>
        <w:t xml:space="preserve"> Ibid., para. 67</w:t>
      </w:r>
    </w:p>
  </w:footnote>
  <w:footnote w:id="11">
    <w:p w14:paraId="1E0DF8A4" w14:textId="6CE2B3D1" w:rsidR="00767ABC" w:rsidRPr="00A26F72" w:rsidRDefault="00767ABC" w:rsidP="00AA1E3B">
      <w:pPr>
        <w:pStyle w:val="NoSpacing"/>
        <w:ind w:left="1276" w:firstLine="142"/>
        <w:rPr>
          <w:sz w:val="17"/>
          <w:szCs w:val="17"/>
          <w:lang w:val="es-ES"/>
        </w:rPr>
      </w:pPr>
      <w:r w:rsidRPr="00A26F72">
        <w:rPr>
          <w:rStyle w:val="FootnoteReference"/>
          <w:sz w:val="17"/>
          <w:szCs w:val="17"/>
        </w:rPr>
        <w:footnoteRef/>
      </w:r>
      <w:r w:rsidRPr="00A26F72">
        <w:rPr>
          <w:sz w:val="17"/>
          <w:szCs w:val="17"/>
          <w:lang w:val="es-ES"/>
        </w:rPr>
        <w:t xml:space="preserve"> Ibid</w:t>
      </w:r>
      <w:r>
        <w:rPr>
          <w:sz w:val="17"/>
          <w:szCs w:val="17"/>
          <w:lang w:val="es-ES"/>
        </w:rPr>
        <w:t>.</w:t>
      </w:r>
      <w:r w:rsidRPr="00A26F72">
        <w:rPr>
          <w:sz w:val="17"/>
          <w:szCs w:val="17"/>
          <w:lang w:val="es-ES"/>
        </w:rPr>
        <w:t>,</w:t>
      </w:r>
      <w:r>
        <w:rPr>
          <w:sz w:val="17"/>
          <w:szCs w:val="17"/>
          <w:lang w:val="es-ES"/>
        </w:rPr>
        <w:t xml:space="preserve"> </w:t>
      </w:r>
      <w:r w:rsidRPr="00A26F72">
        <w:rPr>
          <w:sz w:val="17"/>
          <w:szCs w:val="17"/>
          <w:lang w:val="es-ES"/>
        </w:rPr>
        <w:t>paras. 69–70.</w:t>
      </w:r>
    </w:p>
  </w:footnote>
  <w:footnote w:id="12">
    <w:p w14:paraId="19085FE1" w14:textId="506279AD" w:rsidR="00767ABC" w:rsidRPr="00C1225E" w:rsidRDefault="00767ABC" w:rsidP="00AA1E3B">
      <w:pPr>
        <w:pStyle w:val="NoSpacing"/>
        <w:ind w:left="1276" w:firstLine="142"/>
        <w:rPr>
          <w:lang w:val="es-ES"/>
        </w:rPr>
      </w:pPr>
      <w:r w:rsidRPr="00A26F72">
        <w:rPr>
          <w:rStyle w:val="FootnoteReference"/>
          <w:sz w:val="17"/>
          <w:szCs w:val="17"/>
        </w:rPr>
        <w:footnoteRef/>
      </w:r>
      <w:r w:rsidRPr="00A26F72">
        <w:rPr>
          <w:sz w:val="17"/>
          <w:szCs w:val="17"/>
          <w:lang w:val="es-ES"/>
        </w:rPr>
        <w:t xml:space="preserve"> Ibid</w:t>
      </w:r>
      <w:r>
        <w:rPr>
          <w:sz w:val="17"/>
          <w:szCs w:val="17"/>
          <w:lang w:val="es-ES"/>
        </w:rPr>
        <w:t>.</w:t>
      </w:r>
      <w:r w:rsidRPr="00A26F72">
        <w:rPr>
          <w:sz w:val="17"/>
          <w:szCs w:val="17"/>
          <w:lang w:val="es-ES"/>
        </w:rPr>
        <w:t>, para. 68.</w:t>
      </w:r>
    </w:p>
  </w:footnote>
  <w:footnote w:id="13">
    <w:p w14:paraId="71530C55" w14:textId="16B2D70F" w:rsidR="00767ABC" w:rsidRPr="00A26F72" w:rsidRDefault="00767ABC" w:rsidP="00290C9C">
      <w:pPr>
        <w:pStyle w:val="FootnoteText"/>
        <w:ind w:left="1134" w:firstLine="92"/>
        <w:jc w:val="both"/>
        <w:rPr>
          <w:szCs w:val="17"/>
        </w:rPr>
      </w:pPr>
      <w:r w:rsidRPr="00125F39">
        <w:rPr>
          <w:rStyle w:val="FootnoteReference"/>
          <w:szCs w:val="17"/>
        </w:rPr>
        <w:footnoteRef/>
      </w:r>
      <w:r w:rsidRPr="00C1225E">
        <w:rPr>
          <w:szCs w:val="17"/>
          <w:lang w:val="es-ES"/>
        </w:rPr>
        <w:t xml:space="preserve"> </w:t>
      </w:r>
      <w:r w:rsidRPr="00A26F72">
        <w:rPr>
          <w:szCs w:val="17"/>
          <w:lang w:val="es-ES"/>
        </w:rPr>
        <w:t>Ibid</w:t>
      </w:r>
      <w:r>
        <w:rPr>
          <w:szCs w:val="17"/>
          <w:lang w:val="es-ES"/>
        </w:rPr>
        <w:t>.</w:t>
      </w:r>
      <w:r w:rsidRPr="00A26F72">
        <w:rPr>
          <w:szCs w:val="17"/>
          <w:lang w:val="es-ES"/>
        </w:rPr>
        <w:t xml:space="preserve">, para. </w:t>
      </w:r>
      <w:r w:rsidRPr="00A26F72">
        <w:rPr>
          <w:szCs w:val="17"/>
        </w:rPr>
        <w:t>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767ABC" w14:paraId="3F014ED4" w14:textId="77777777" w:rsidTr="00721987">
      <w:trPr>
        <w:trHeight w:hRule="exact" w:val="864"/>
        <w:jc w:val="center"/>
      </w:trPr>
      <w:tc>
        <w:tcPr>
          <w:tcW w:w="4882" w:type="dxa"/>
          <w:shd w:val="clear" w:color="auto" w:fill="auto"/>
          <w:vAlign w:val="bottom"/>
        </w:tcPr>
        <w:p w14:paraId="6D91DE18" w14:textId="57746F30" w:rsidR="00767ABC" w:rsidRPr="00721987" w:rsidRDefault="00767ABC" w:rsidP="00721987">
          <w:pPr>
            <w:pStyle w:val="Header"/>
            <w:spacing w:after="80"/>
            <w:rPr>
              <w:b/>
            </w:rPr>
          </w:pPr>
        </w:p>
      </w:tc>
      <w:tc>
        <w:tcPr>
          <w:tcW w:w="4923" w:type="dxa"/>
          <w:shd w:val="clear" w:color="auto" w:fill="auto"/>
          <w:vAlign w:val="bottom"/>
        </w:tcPr>
        <w:p w14:paraId="1002303D" w14:textId="77777777" w:rsidR="00767ABC" w:rsidRDefault="00767ABC" w:rsidP="00721987">
          <w:pPr>
            <w:pStyle w:val="Header"/>
          </w:pPr>
        </w:p>
      </w:tc>
    </w:tr>
  </w:tbl>
  <w:p w14:paraId="3039FD79" w14:textId="357C9B0E" w:rsidR="00767ABC" w:rsidRPr="00721987" w:rsidRDefault="001B025F" w:rsidP="00721987">
    <w:pPr>
      <w:pStyle w:val="Header"/>
    </w:pPr>
    <w:r>
      <w:pict w14:anchorId="1E2CB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95.75pt;height:198.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767ABC" w14:paraId="5C4A1200" w14:textId="77777777" w:rsidTr="00721987">
      <w:trPr>
        <w:trHeight w:hRule="exact" w:val="864"/>
        <w:jc w:val="center"/>
      </w:trPr>
      <w:tc>
        <w:tcPr>
          <w:tcW w:w="4882" w:type="dxa"/>
          <w:shd w:val="clear" w:color="auto" w:fill="auto"/>
          <w:vAlign w:val="bottom"/>
        </w:tcPr>
        <w:p w14:paraId="7D220D3F" w14:textId="77777777" w:rsidR="00767ABC" w:rsidRDefault="00767ABC" w:rsidP="00721987">
          <w:pPr>
            <w:pStyle w:val="Header"/>
          </w:pPr>
        </w:p>
      </w:tc>
      <w:tc>
        <w:tcPr>
          <w:tcW w:w="4923" w:type="dxa"/>
          <w:shd w:val="clear" w:color="auto" w:fill="auto"/>
          <w:vAlign w:val="bottom"/>
        </w:tcPr>
        <w:p w14:paraId="1E632333" w14:textId="28DA6911" w:rsidR="00767ABC" w:rsidRPr="00721987" w:rsidRDefault="00767ABC" w:rsidP="00721987">
          <w:pPr>
            <w:pStyle w:val="Header"/>
            <w:spacing w:after="80"/>
            <w:jc w:val="right"/>
            <w:rPr>
              <w:b/>
            </w:rPr>
          </w:pPr>
        </w:p>
      </w:tc>
    </w:tr>
  </w:tbl>
  <w:p w14:paraId="20A165DD" w14:textId="18C2EF39" w:rsidR="00767ABC" w:rsidRPr="00721987" w:rsidRDefault="001B025F" w:rsidP="00721987">
    <w:pPr>
      <w:pStyle w:val="Header"/>
    </w:pPr>
    <w:r>
      <w:pict w14:anchorId="265EA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495.75pt;height:198.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767ABC" w14:paraId="1B2B89BB" w14:textId="77777777" w:rsidTr="00721987">
      <w:trPr>
        <w:trHeight w:hRule="exact" w:val="864"/>
      </w:trPr>
      <w:tc>
        <w:tcPr>
          <w:tcW w:w="1267" w:type="dxa"/>
          <w:tcBorders>
            <w:bottom w:val="single" w:sz="4" w:space="0" w:color="auto"/>
          </w:tcBorders>
          <w:shd w:val="clear" w:color="auto" w:fill="auto"/>
          <w:vAlign w:val="bottom"/>
        </w:tcPr>
        <w:p w14:paraId="6E365AF4" w14:textId="77777777" w:rsidR="00767ABC" w:rsidRDefault="00767ABC" w:rsidP="00721987">
          <w:pPr>
            <w:pStyle w:val="Header"/>
            <w:spacing w:after="120"/>
          </w:pPr>
        </w:p>
      </w:tc>
      <w:tc>
        <w:tcPr>
          <w:tcW w:w="1872" w:type="dxa"/>
          <w:tcBorders>
            <w:bottom w:val="single" w:sz="4" w:space="0" w:color="auto"/>
          </w:tcBorders>
          <w:shd w:val="clear" w:color="auto" w:fill="auto"/>
          <w:vAlign w:val="bottom"/>
        </w:tcPr>
        <w:p w14:paraId="364C253F" w14:textId="77777777" w:rsidR="00767ABC" w:rsidRPr="00721987" w:rsidRDefault="00767ABC" w:rsidP="0072198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23DBD3A" w14:textId="77777777" w:rsidR="00767ABC" w:rsidRDefault="00767ABC" w:rsidP="00721987">
          <w:pPr>
            <w:pStyle w:val="Header"/>
            <w:spacing w:after="120"/>
          </w:pPr>
        </w:p>
      </w:tc>
      <w:tc>
        <w:tcPr>
          <w:tcW w:w="6466" w:type="dxa"/>
          <w:gridSpan w:val="4"/>
          <w:tcBorders>
            <w:bottom w:val="single" w:sz="4" w:space="0" w:color="auto"/>
          </w:tcBorders>
          <w:shd w:val="clear" w:color="auto" w:fill="auto"/>
          <w:vAlign w:val="bottom"/>
        </w:tcPr>
        <w:p w14:paraId="35911DA8" w14:textId="4466451C" w:rsidR="00767ABC" w:rsidRPr="00721987" w:rsidRDefault="00767ABC" w:rsidP="00721987">
          <w:pPr>
            <w:spacing w:after="80" w:line="240" w:lineRule="auto"/>
            <w:jc w:val="right"/>
            <w:rPr>
              <w:position w:val="-4"/>
            </w:rPr>
          </w:pPr>
          <w:r>
            <w:rPr>
              <w:position w:val="-4"/>
              <w:sz w:val="40"/>
            </w:rPr>
            <w:t>A</w:t>
          </w:r>
          <w:r>
            <w:rPr>
              <w:position w:val="-4"/>
            </w:rPr>
            <w:t>/CN.9/WG.III/WP.</w:t>
          </w:r>
        </w:p>
      </w:tc>
    </w:tr>
    <w:tr w:rsidR="00767ABC" w:rsidRPr="00721987" w14:paraId="0B523DBD" w14:textId="77777777" w:rsidTr="00721987">
      <w:trPr>
        <w:gridAfter w:val="1"/>
        <w:wAfter w:w="11" w:type="dxa"/>
        <w:trHeight w:hRule="exact" w:val="2880"/>
      </w:trPr>
      <w:tc>
        <w:tcPr>
          <w:tcW w:w="1267" w:type="dxa"/>
          <w:tcBorders>
            <w:top w:val="single" w:sz="4" w:space="0" w:color="auto"/>
            <w:bottom w:val="single" w:sz="12" w:space="0" w:color="auto"/>
          </w:tcBorders>
          <w:shd w:val="clear" w:color="auto" w:fill="auto"/>
        </w:tcPr>
        <w:p w14:paraId="704F7A49" w14:textId="77777777" w:rsidR="00767ABC" w:rsidRPr="00721987" w:rsidRDefault="00767ABC" w:rsidP="00721987">
          <w:pPr>
            <w:pStyle w:val="Header"/>
            <w:spacing w:before="120"/>
            <w:jc w:val="center"/>
          </w:pPr>
          <w:r>
            <w:t xml:space="preserve"> </w:t>
          </w:r>
          <w:r>
            <w:drawing>
              <wp:inline distT="0" distB="0" distL="0" distR="0" wp14:anchorId="6392D1AC" wp14:editId="1282B25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133AEE" w14:textId="77777777" w:rsidR="00767ABC" w:rsidRPr="00721987" w:rsidRDefault="00767ABC" w:rsidP="00721987">
          <w:pPr>
            <w:pStyle w:val="XLarge"/>
            <w:spacing w:before="109" w:line="390" w:lineRule="atLeast"/>
          </w:pPr>
          <w:r>
            <w:t>General Assembly</w:t>
          </w:r>
        </w:p>
      </w:tc>
      <w:tc>
        <w:tcPr>
          <w:tcW w:w="245" w:type="dxa"/>
          <w:tcBorders>
            <w:top w:val="single" w:sz="4" w:space="0" w:color="auto"/>
            <w:bottom w:val="single" w:sz="12" w:space="0" w:color="auto"/>
          </w:tcBorders>
          <w:shd w:val="clear" w:color="auto" w:fill="auto"/>
        </w:tcPr>
        <w:p w14:paraId="60C89267" w14:textId="77777777" w:rsidR="00767ABC" w:rsidRPr="00721987" w:rsidRDefault="00767ABC" w:rsidP="00721987">
          <w:pPr>
            <w:pStyle w:val="Header"/>
            <w:spacing w:before="109"/>
          </w:pPr>
        </w:p>
      </w:tc>
      <w:tc>
        <w:tcPr>
          <w:tcW w:w="3100" w:type="dxa"/>
          <w:tcBorders>
            <w:top w:val="single" w:sz="4" w:space="0" w:color="auto"/>
            <w:bottom w:val="single" w:sz="12" w:space="0" w:color="auto"/>
          </w:tcBorders>
          <w:shd w:val="clear" w:color="auto" w:fill="auto"/>
        </w:tcPr>
        <w:p w14:paraId="09A56060" w14:textId="77777777" w:rsidR="00767ABC" w:rsidRDefault="00767ABC" w:rsidP="00721987">
          <w:pPr>
            <w:pStyle w:val="Distribution"/>
            <w:rPr>
              <w:color w:val="010000"/>
            </w:rPr>
          </w:pPr>
          <w:r>
            <w:rPr>
              <w:color w:val="010000"/>
            </w:rPr>
            <w:t>Distr.: Limited</w:t>
          </w:r>
        </w:p>
        <w:p w14:paraId="417B088F" w14:textId="77777777" w:rsidR="00767ABC" w:rsidRDefault="00767ABC" w:rsidP="00721987"/>
        <w:p w14:paraId="28043F60" w14:textId="77777777" w:rsidR="00767ABC" w:rsidRDefault="00767ABC" w:rsidP="00721987">
          <w:pPr>
            <w:pStyle w:val="Original"/>
            <w:rPr>
              <w:color w:val="010000"/>
            </w:rPr>
          </w:pPr>
          <w:r>
            <w:rPr>
              <w:color w:val="010000"/>
            </w:rPr>
            <w:t>Original: English</w:t>
          </w:r>
        </w:p>
        <w:p w14:paraId="46000F28" w14:textId="77777777" w:rsidR="00767ABC" w:rsidRPr="00721987" w:rsidRDefault="00767ABC" w:rsidP="00721987"/>
      </w:tc>
    </w:tr>
  </w:tbl>
  <w:p w14:paraId="6D1724B8" w14:textId="53D3E310" w:rsidR="00767ABC" w:rsidRPr="00721987" w:rsidRDefault="001B025F" w:rsidP="00721987">
    <w:pPr>
      <w:pStyle w:val="Header"/>
      <w:rPr>
        <w:sz w:val="2"/>
      </w:rPr>
    </w:pPr>
    <w:r>
      <w:pict w14:anchorId="52F9C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495.75pt;height:198.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0F8"/>
    <w:multiLevelType w:val="hybridMultilevel"/>
    <w:tmpl w:val="7B9C8F6C"/>
    <w:lvl w:ilvl="0" w:tplc="403EE248">
      <w:start w:val="5"/>
      <w:numFmt w:val="lowerLetter"/>
      <w:lvlText w:val="%1."/>
      <w:lvlJc w:val="left"/>
      <w:pPr>
        <w:ind w:left="2724" w:hanging="360"/>
      </w:pPr>
      <w:rPr>
        <w:rFonts w:hint="default"/>
      </w:rPr>
    </w:lvl>
    <w:lvl w:ilvl="1" w:tplc="10000019" w:tentative="1">
      <w:start w:val="1"/>
      <w:numFmt w:val="lowerLetter"/>
      <w:lvlText w:val="%2."/>
      <w:lvlJc w:val="left"/>
      <w:pPr>
        <w:ind w:left="3444" w:hanging="360"/>
      </w:pPr>
    </w:lvl>
    <w:lvl w:ilvl="2" w:tplc="1000001B" w:tentative="1">
      <w:start w:val="1"/>
      <w:numFmt w:val="lowerRoman"/>
      <w:lvlText w:val="%3."/>
      <w:lvlJc w:val="right"/>
      <w:pPr>
        <w:ind w:left="4164" w:hanging="180"/>
      </w:pPr>
    </w:lvl>
    <w:lvl w:ilvl="3" w:tplc="1000000F" w:tentative="1">
      <w:start w:val="1"/>
      <w:numFmt w:val="decimal"/>
      <w:lvlText w:val="%4."/>
      <w:lvlJc w:val="left"/>
      <w:pPr>
        <w:ind w:left="4884" w:hanging="360"/>
      </w:pPr>
    </w:lvl>
    <w:lvl w:ilvl="4" w:tplc="10000019" w:tentative="1">
      <w:start w:val="1"/>
      <w:numFmt w:val="lowerLetter"/>
      <w:lvlText w:val="%5."/>
      <w:lvlJc w:val="left"/>
      <w:pPr>
        <w:ind w:left="5604" w:hanging="360"/>
      </w:pPr>
    </w:lvl>
    <w:lvl w:ilvl="5" w:tplc="1000001B" w:tentative="1">
      <w:start w:val="1"/>
      <w:numFmt w:val="lowerRoman"/>
      <w:lvlText w:val="%6."/>
      <w:lvlJc w:val="right"/>
      <w:pPr>
        <w:ind w:left="6324" w:hanging="180"/>
      </w:pPr>
    </w:lvl>
    <w:lvl w:ilvl="6" w:tplc="1000000F" w:tentative="1">
      <w:start w:val="1"/>
      <w:numFmt w:val="decimal"/>
      <w:lvlText w:val="%7."/>
      <w:lvlJc w:val="left"/>
      <w:pPr>
        <w:ind w:left="7044" w:hanging="360"/>
      </w:pPr>
    </w:lvl>
    <w:lvl w:ilvl="7" w:tplc="10000019" w:tentative="1">
      <w:start w:val="1"/>
      <w:numFmt w:val="lowerLetter"/>
      <w:lvlText w:val="%8."/>
      <w:lvlJc w:val="left"/>
      <w:pPr>
        <w:ind w:left="7764" w:hanging="360"/>
      </w:pPr>
    </w:lvl>
    <w:lvl w:ilvl="8" w:tplc="1000001B" w:tentative="1">
      <w:start w:val="1"/>
      <w:numFmt w:val="lowerRoman"/>
      <w:lvlText w:val="%9."/>
      <w:lvlJc w:val="right"/>
      <w:pPr>
        <w:ind w:left="8484" w:hanging="180"/>
      </w:pPr>
    </w:lvl>
  </w:abstractNum>
  <w:abstractNum w:abstractNumId="1" w15:restartNumberingAfterBreak="0">
    <w:nsid w:val="11BA3BD5"/>
    <w:multiLevelType w:val="hybridMultilevel"/>
    <w:tmpl w:val="626C5842"/>
    <w:lvl w:ilvl="0" w:tplc="625E2E1A">
      <w:start w:val="1"/>
      <w:numFmt w:val="upperLetter"/>
      <w:lvlText w:val="%1."/>
      <w:lvlJc w:val="left"/>
      <w:pPr>
        <w:ind w:left="1764" w:hanging="480"/>
      </w:pPr>
      <w:rPr>
        <w:rFonts w:hint="default"/>
      </w:rPr>
    </w:lvl>
    <w:lvl w:ilvl="1" w:tplc="08090019">
      <w:start w:val="1"/>
      <w:numFmt w:val="lowerLetter"/>
      <w:lvlText w:val="%2."/>
      <w:lvlJc w:val="left"/>
      <w:pPr>
        <w:ind w:left="2364" w:hanging="360"/>
      </w:pPr>
    </w:lvl>
    <w:lvl w:ilvl="2" w:tplc="0809001B">
      <w:start w:val="1"/>
      <w:numFmt w:val="lowerRoman"/>
      <w:lvlText w:val="%3."/>
      <w:lvlJc w:val="right"/>
      <w:pPr>
        <w:ind w:left="3084" w:hanging="180"/>
      </w:pPr>
    </w:lvl>
    <w:lvl w:ilvl="3" w:tplc="F91677DA">
      <w:start w:val="18"/>
      <w:numFmt w:val="decimal"/>
      <w:lvlText w:val="%4."/>
      <w:lvlJc w:val="left"/>
      <w:pPr>
        <w:ind w:left="3804" w:hanging="360"/>
      </w:pPr>
      <w:rPr>
        <w:rFonts w:hint="default"/>
      </w:rPr>
    </w:lvl>
    <w:lvl w:ilvl="4" w:tplc="08090019">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2" w15:restartNumberingAfterBreak="0">
    <w:nsid w:val="17D6228B"/>
    <w:multiLevelType w:val="multilevel"/>
    <w:tmpl w:val="0809001D"/>
    <w:name w:val="TOC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571887"/>
    <w:multiLevelType w:val="hybridMultilevel"/>
    <w:tmpl w:val="829CFDE4"/>
    <w:lvl w:ilvl="0" w:tplc="B1EACF9C">
      <w:start w:val="1"/>
      <w:numFmt w:val="lowerLetter"/>
      <w:lvlText w:val="%1)"/>
      <w:lvlJc w:val="left"/>
      <w:pPr>
        <w:ind w:left="2952" w:hanging="360"/>
      </w:pPr>
      <w:rPr>
        <w:rFonts w:hint="default"/>
        <w:i/>
        <w:iCs/>
      </w:rPr>
    </w:lvl>
    <w:lvl w:ilvl="1" w:tplc="08090019" w:tentative="1">
      <w:start w:val="1"/>
      <w:numFmt w:val="lowerLetter"/>
      <w:lvlText w:val="%2."/>
      <w:lvlJc w:val="left"/>
      <w:pPr>
        <w:ind w:left="3672" w:hanging="360"/>
      </w:pPr>
    </w:lvl>
    <w:lvl w:ilvl="2" w:tplc="0809001B" w:tentative="1">
      <w:start w:val="1"/>
      <w:numFmt w:val="lowerRoman"/>
      <w:lvlText w:val="%3."/>
      <w:lvlJc w:val="right"/>
      <w:pPr>
        <w:ind w:left="4392" w:hanging="180"/>
      </w:pPr>
    </w:lvl>
    <w:lvl w:ilvl="3" w:tplc="0809000F" w:tentative="1">
      <w:start w:val="1"/>
      <w:numFmt w:val="decimal"/>
      <w:lvlText w:val="%4."/>
      <w:lvlJc w:val="left"/>
      <w:pPr>
        <w:ind w:left="5112" w:hanging="360"/>
      </w:pPr>
    </w:lvl>
    <w:lvl w:ilvl="4" w:tplc="08090019" w:tentative="1">
      <w:start w:val="1"/>
      <w:numFmt w:val="lowerLetter"/>
      <w:lvlText w:val="%5."/>
      <w:lvlJc w:val="left"/>
      <w:pPr>
        <w:ind w:left="5832" w:hanging="360"/>
      </w:pPr>
    </w:lvl>
    <w:lvl w:ilvl="5" w:tplc="0809001B" w:tentative="1">
      <w:start w:val="1"/>
      <w:numFmt w:val="lowerRoman"/>
      <w:lvlText w:val="%6."/>
      <w:lvlJc w:val="right"/>
      <w:pPr>
        <w:ind w:left="6552" w:hanging="180"/>
      </w:pPr>
    </w:lvl>
    <w:lvl w:ilvl="6" w:tplc="0809000F" w:tentative="1">
      <w:start w:val="1"/>
      <w:numFmt w:val="decimal"/>
      <w:lvlText w:val="%7."/>
      <w:lvlJc w:val="left"/>
      <w:pPr>
        <w:ind w:left="7272" w:hanging="360"/>
      </w:pPr>
    </w:lvl>
    <w:lvl w:ilvl="7" w:tplc="08090019" w:tentative="1">
      <w:start w:val="1"/>
      <w:numFmt w:val="lowerLetter"/>
      <w:lvlText w:val="%8."/>
      <w:lvlJc w:val="left"/>
      <w:pPr>
        <w:ind w:left="7992" w:hanging="360"/>
      </w:pPr>
    </w:lvl>
    <w:lvl w:ilvl="8" w:tplc="0809001B" w:tentative="1">
      <w:start w:val="1"/>
      <w:numFmt w:val="lowerRoman"/>
      <w:lvlText w:val="%9."/>
      <w:lvlJc w:val="right"/>
      <w:pPr>
        <w:ind w:left="8712" w:hanging="180"/>
      </w:pPr>
    </w:lvl>
  </w:abstractNum>
  <w:abstractNum w:abstractNumId="4"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2BD42DCA"/>
    <w:multiLevelType w:val="hybridMultilevel"/>
    <w:tmpl w:val="B6B00F8A"/>
    <w:lvl w:ilvl="0" w:tplc="D2F00338">
      <w:start w:val="3"/>
      <w:numFmt w:val="decimal"/>
      <w:lvlText w:val="%1."/>
      <w:lvlJc w:val="left"/>
      <w:pPr>
        <w:ind w:left="1624" w:hanging="360"/>
      </w:pPr>
      <w:rPr>
        <w:rFonts w:hint="default"/>
      </w:rPr>
    </w:lvl>
    <w:lvl w:ilvl="1" w:tplc="10000019" w:tentative="1">
      <w:start w:val="1"/>
      <w:numFmt w:val="lowerLetter"/>
      <w:lvlText w:val="%2."/>
      <w:lvlJc w:val="left"/>
      <w:pPr>
        <w:ind w:left="2344" w:hanging="360"/>
      </w:pPr>
    </w:lvl>
    <w:lvl w:ilvl="2" w:tplc="1000001B" w:tentative="1">
      <w:start w:val="1"/>
      <w:numFmt w:val="lowerRoman"/>
      <w:lvlText w:val="%3."/>
      <w:lvlJc w:val="right"/>
      <w:pPr>
        <w:ind w:left="3064" w:hanging="180"/>
      </w:pPr>
    </w:lvl>
    <w:lvl w:ilvl="3" w:tplc="1000000F" w:tentative="1">
      <w:start w:val="1"/>
      <w:numFmt w:val="decimal"/>
      <w:lvlText w:val="%4."/>
      <w:lvlJc w:val="left"/>
      <w:pPr>
        <w:ind w:left="3784" w:hanging="360"/>
      </w:pPr>
    </w:lvl>
    <w:lvl w:ilvl="4" w:tplc="10000019" w:tentative="1">
      <w:start w:val="1"/>
      <w:numFmt w:val="lowerLetter"/>
      <w:lvlText w:val="%5."/>
      <w:lvlJc w:val="left"/>
      <w:pPr>
        <w:ind w:left="4504" w:hanging="360"/>
      </w:pPr>
    </w:lvl>
    <w:lvl w:ilvl="5" w:tplc="1000001B" w:tentative="1">
      <w:start w:val="1"/>
      <w:numFmt w:val="lowerRoman"/>
      <w:lvlText w:val="%6."/>
      <w:lvlJc w:val="right"/>
      <w:pPr>
        <w:ind w:left="5224" w:hanging="180"/>
      </w:pPr>
    </w:lvl>
    <w:lvl w:ilvl="6" w:tplc="1000000F" w:tentative="1">
      <w:start w:val="1"/>
      <w:numFmt w:val="decimal"/>
      <w:lvlText w:val="%7."/>
      <w:lvlJc w:val="left"/>
      <w:pPr>
        <w:ind w:left="5944" w:hanging="360"/>
      </w:pPr>
    </w:lvl>
    <w:lvl w:ilvl="7" w:tplc="10000019" w:tentative="1">
      <w:start w:val="1"/>
      <w:numFmt w:val="lowerLetter"/>
      <w:lvlText w:val="%8."/>
      <w:lvlJc w:val="left"/>
      <w:pPr>
        <w:ind w:left="6664" w:hanging="360"/>
      </w:pPr>
    </w:lvl>
    <w:lvl w:ilvl="8" w:tplc="1000001B" w:tentative="1">
      <w:start w:val="1"/>
      <w:numFmt w:val="lowerRoman"/>
      <w:lvlText w:val="%9."/>
      <w:lvlJc w:val="right"/>
      <w:pPr>
        <w:ind w:left="7384" w:hanging="180"/>
      </w:pPr>
    </w:lvl>
  </w:abstractNum>
  <w:abstractNum w:abstractNumId="6" w15:restartNumberingAfterBreak="0">
    <w:nsid w:val="2D776456"/>
    <w:multiLevelType w:val="hybridMultilevel"/>
    <w:tmpl w:val="384E8510"/>
    <w:lvl w:ilvl="0" w:tplc="D41E2E4A">
      <w:start w:val="27"/>
      <w:numFmt w:val="lowerLetter"/>
      <w:lvlText w:val="%1."/>
      <w:lvlJc w:val="left"/>
      <w:pPr>
        <w:ind w:left="2724" w:hanging="360"/>
      </w:pPr>
      <w:rPr>
        <w:rFonts w:hint="default"/>
      </w:rPr>
    </w:lvl>
    <w:lvl w:ilvl="1" w:tplc="08090019">
      <w:start w:val="1"/>
      <w:numFmt w:val="lowerLetter"/>
      <w:lvlText w:val="%2."/>
      <w:lvlJc w:val="left"/>
      <w:pPr>
        <w:ind w:left="3444" w:hanging="360"/>
      </w:pPr>
    </w:lvl>
    <w:lvl w:ilvl="2" w:tplc="0809001B" w:tentative="1">
      <w:start w:val="1"/>
      <w:numFmt w:val="lowerRoman"/>
      <w:lvlText w:val="%3."/>
      <w:lvlJc w:val="right"/>
      <w:pPr>
        <w:ind w:left="4164" w:hanging="180"/>
      </w:pPr>
    </w:lvl>
    <w:lvl w:ilvl="3" w:tplc="0809000F" w:tentative="1">
      <w:start w:val="1"/>
      <w:numFmt w:val="decimal"/>
      <w:lvlText w:val="%4."/>
      <w:lvlJc w:val="left"/>
      <w:pPr>
        <w:ind w:left="4884" w:hanging="360"/>
      </w:pPr>
    </w:lvl>
    <w:lvl w:ilvl="4" w:tplc="08090019" w:tentative="1">
      <w:start w:val="1"/>
      <w:numFmt w:val="lowerLetter"/>
      <w:lvlText w:val="%5."/>
      <w:lvlJc w:val="left"/>
      <w:pPr>
        <w:ind w:left="5604" w:hanging="360"/>
      </w:pPr>
    </w:lvl>
    <w:lvl w:ilvl="5" w:tplc="0809001B" w:tentative="1">
      <w:start w:val="1"/>
      <w:numFmt w:val="lowerRoman"/>
      <w:lvlText w:val="%6."/>
      <w:lvlJc w:val="right"/>
      <w:pPr>
        <w:ind w:left="6324" w:hanging="180"/>
      </w:pPr>
    </w:lvl>
    <w:lvl w:ilvl="6" w:tplc="0809000F" w:tentative="1">
      <w:start w:val="1"/>
      <w:numFmt w:val="decimal"/>
      <w:lvlText w:val="%7."/>
      <w:lvlJc w:val="left"/>
      <w:pPr>
        <w:ind w:left="7044" w:hanging="360"/>
      </w:pPr>
    </w:lvl>
    <w:lvl w:ilvl="7" w:tplc="08090019" w:tentative="1">
      <w:start w:val="1"/>
      <w:numFmt w:val="lowerLetter"/>
      <w:lvlText w:val="%8."/>
      <w:lvlJc w:val="left"/>
      <w:pPr>
        <w:ind w:left="7764" w:hanging="360"/>
      </w:pPr>
    </w:lvl>
    <w:lvl w:ilvl="8" w:tplc="0809001B" w:tentative="1">
      <w:start w:val="1"/>
      <w:numFmt w:val="lowerRoman"/>
      <w:lvlText w:val="%9."/>
      <w:lvlJc w:val="right"/>
      <w:pPr>
        <w:ind w:left="8484" w:hanging="180"/>
      </w:pPr>
    </w:lvl>
  </w:abstractNum>
  <w:abstractNum w:abstractNumId="7" w15:restartNumberingAfterBreak="0">
    <w:nsid w:val="2DE55D5B"/>
    <w:multiLevelType w:val="hybridMultilevel"/>
    <w:tmpl w:val="5A281D24"/>
    <w:name w:val="TOC2"/>
    <w:lvl w:ilvl="0" w:tplc="A942D066">
      <w:start w:val="4"/>
      <w:numFmt w:val="decimal"/>
      <w:lvlText w:val="%1."/>
      <w:lvlJc w:val="left"/>
      <w:pPr>
        <w:ind w:left="162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10B67"/>
    <w:multiLevelType w:val="hybridMultilevel"/>
    <w:tmpl w:val="A8A06E1A"/>
    <w:lvl w:ilvl="0" w:tplc="05E6A766">
      <w:start w:val="6"/>
      <w:numFmt w:val="bullet"/>
      <w:lvlText w:val="-"/>
      <w:lvlJc w:val="left"/>
      <w:pPr>
        <w:ind w:left="1636" w:hanging="360"/>
      </w:pPr>
      <w:rPr>
        <w:rFonts w:ascii="Times New Roman" w:eastAsiaTheme="minorHAnsi" w:hAnsi="Times New Roman" w:cs="Times New Roman" w:hint="default"/>
      </w:rPr>
    </w:lvl>
    <w:lvl w:ilvl="1" w:tplc="10000003" w:tentative="1">
      <w:start w:val="1"/>
      <w:numFmt w:val="bullet"/>
      <w:lvlText w:val="o"/>
      <w:lvlJc w:val="left"/>
      <w:pPr>
        <w:ind w:left="2356" w:hanging="360"/>
      </w:pPr>
      <w:rPr>
        <w:rFonts w:ascii="Courier New" w:hAnsi="Courier New" w:cs="Courier New" w:hint="default"/>
      </w:rPr>
    </w:lvl>
    <w:lvl w:ilvl="2" w:tplc="10000005" w:tentative="1">
      <w:start w:val="1"/>
      <w:numFmt w:val="bullet"/>
      <w:lvlText w:val=""/>
      <w:lvlJc w:val="left"/>
      <w:pPr>
        <w:ind w:left="3076" w:hanging="360"/>
      </w:pPr>
      <w:rPr>
        <w:rFonts w:ascii="Wingdings" w:hAnsi="Wingdings" w:hint="default"/>
      </w:rPr>
    </w:lvl>
    <w:lvl w:ilvl="3" w:tplc="10000001" w:tentative="1">
      <w:start w:val="1"/>
      <w:numFmt w:val="bullet"/>
      <w:lvlText w:val=""/>
      <w:lvlJc w:val="left"/>
      <w:pPr>
        <w:ind w:left="3796" w:hanging="360"/>
      </w:pPr>
      <w:rPr>
        <w:rFonts w:ascii="Symbol" w:hAnsi="Symbol" w:hint="default"/>
      </w:rPr>
    </w:lvl>
    <w:lvl w:ilvl="4" w:tplc="10000003" w:tentative="1">
      <w:start w:val="1"/>
      <w:numFmt w:val="bullet"/>
      <w:lvlText w:val="o"/>
      <w:lvlJc w:val="left"/>
      <w:pPr>
        <w:ind w:left="4516" w:hanging="360"/>
      </w:pPr>
      <w:rPr>
        <w:rFonts w:ascii="Courier New" w:hAnsi="Courier New" w:cs="Courier New" w:hint="default"/>
      </w:rPr>
    </w:lvl>
    <w:lvl w:ilvl="5" w:tplc="10000005" w:tentative="1">
      <w:start w:val="1"/>
      <w:numFmt w:val="bullet"/>
      <w:lvlText w:val=""/>
      <w:lvlJc w:val="left"/>
      <w:pPr>
        <w:ind w:left="5236" w:hanging="360"/>
      </w:pPr>
      <w:rPr>
        <w:rFonts w:ascii="Wingdings" w:hAnsi="Wingdings" w:hint="default"/>
      </w:rPr>
    </w:lvl>
    <w:lvl w:ilvl="6" w:tplc="10000001" w:tentative="1">
      <w:start w:val="1"/>
      <w:numFmt w:val="bullet"/>
      <w:lvlText w:val=""/>
      <w:lvlJc w:val="left"/>
      <w:pPr>
        <w:ind w:left="5956" w:hanging="360"/>
      </w:pPr>
      <w:rPr>
        <w:rFonts w:ascii="Symbol" w:hAnsi="Symbol" w:hint="default"/>
      </w:rPr>
    </w:lvl>
    <w:lvl w:ilvl="7" w:tplc="10000003" w:tentative="1">
      <w:start w:val="1"/>
      <w:numFmt w:val="bullet"/>
      <w:lvlText w:val="o"/>
      <w:lvlJc w:val="left"/>
      <w:pPr>
        <w:ind w:left="6676" w:hanging="360"/>
      </w:pPr>
      <w:rPr>
        <w:rFonts w:ascii="Courier New" w:hAnsi="Courier New" w:cs="Courier New" w:hint="default"/>
      </w:rPr>
    </w:lvl>
    <w:lvl w:ilvl="8" w:tplc="10000005" w:tentative="1">
      <w:start w:val="1"/>
      <w:numFmt w:val="bullet"/>
      <w:lvlText w:val=""/>
      <w:lvlJc w:val="left"/>
      <w:pPr>
        <w:ind w:left="7396" w:hanging="360"/>
      </w:pPr>
      <w:rPr>
        <w:rFonts w:ascii="Wingdings" w:hAnsi="Wingdings" w:hint="default"/>
      </w:rPr>
    </w:lvl>
  </w:abstractNum>
  <w:abstractNum w:abstractNumId="9" w15:restartNumberingAfterBreak="0">
    <w:nsid w:val="3AEA6DE2"/>
    <w:multiLevelType w:val="hybridMultilevel"/>
    <w:tmpl w:val="B3B23E02"/>
    <w:lvl w:ilvl="0" w:tplc="A088EE12">
      <w:start w:val="1"/>
      <w:numFmt w:val="lowerRoman"/>
      <w:lvlText w:val="(%1)"/>
      <w:lvlJc w:val="left"/>
      <w:pPr>
        <w:ind w:left="1996" w:hanging="720"/>
      </w:pPr>
      <w:rPr>
        <w:rFonts w:hint="default"/>
      </w:rPr>
    </w:lvl>
    <w:lvl w:ilvl="1" w:tplc="10000019">
      <w:start w:val="1"/>
      <w:numFmt w:val="lowerLetter"/>
      <w:lvlText w:val="%2."/>
      <w:lvlJc w:val="left"/>
      <w:pPr>
        <w:ind w:left="2356" w:hanging="360"/>
      </w:pPr>
    </w:lvl>
    <w:lvl w:ilvl="2" w:tplc="1000001B" w:tentative="1">
      <w:start w:val="1"/>
      <w:numFmt w:val="lowerRoman"/>
      <w:lvlText w:val="%3."/>
      <w:lvlJc w:val="right"/>
      <w:pPr>
        <w:ind w:left="3076" w:hanging="180"/>
      </w:pPr>
    </w:lvl>
    <w:lvl w:ilvl="3" w:tplc="1000000F" w:tentative="1">
      <w:start w:val="1"/>
      <w:numFmt w:val="decimal"/>
      <w:lvlText w:val="%4."/>
      <w:lvlJc w:val="left"/>
      <w:pPr>
        <w:ind w:left="3796" w:hanging="360"/>
      </w:pPr>
    </w:lvl>
    <w:lvl w:ilvl="4" w:tplc="10000019" w:tentative="1">
      <w:start w:val="1"/>
      <w:numFmt w:val="lowerLetter"/>
      <w:lvlText w:val="%5."/>
      <w:lvlJc w:val="left"/>
      <w:pPr>
        <w:ind w:left="4516" w:hanging="360"/>
      </w:pPr>
    </w:lvl>
    <w:lvl w:ilvl="5" w:tplc="1000001B" w:tentative="1">
      <w:start w:val="1"/>
      <w:numFmt w:val="lowerRoman"/>
      <w:lvlText w:val="%6."/>
      <w:lvlJc w:val="right"/>
      <w:pPr>
        <w:ind w:left="5236" w:hanging="180"/>
      </w:pPr>
    </w:lvl>
    <w:lvl w:ilvl="6" w:tplc="1000000F" w:tentative="1">
      <w:start w:val="1"/>
      <w:numFmt w:val="decimal"/>
      <w:lvlText w:val="%7."/>
      <w:lvlJc w:val="left"/>
      <w:pPr>
        <w:ind w:left="5956" w:hanging="360"/>
      </w:pPr>
    </w:lvl>
    <w:lvl w:ilvl="7" w:tplc="10000019" w:tentative="1">
      <w:start w:val="1"/>
      <w:numFmt w:val="lowerLetter"/>
      <w:lvlText w:val="%8."/>
      <w:lvlJc w:val="left"/>
      <w:pPr>
        <w:ind w:left="6676" w:hanging="360"/>
      </w:pPr>
    </w:lvl>
    <w:lvl w:ilvl="8" w:tplc="1000001B" w:tentative="1">
      <w:start w:val="1"/>
      <w:numFmt w:val="lowerRoman"/>
      <w:lvlText w:val="%9."/>
      <w:lvlJc w:val="right"/>
      <w:pPr>
        <w:ind w:left="7396" w:hanging="180"/>
      </w:pPr>
    </w:lvl>
  </w:abstractNum>
  <w:abstractNum w:abstractNumId="1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1" w15:restartNumberingAfterBreak="0">
    <w:nsid w:val="3E5915C1"/>
    <w:multiLevelType w:val="hybridMultilevel"/>
    <w:tmpl w:val="D1485E90"/>
    <w:lvl w:ilvl="0" w:tplc="D64EF306">
      <w:start w:val="4"/>
      <w:numFmt w:val="bullet"/>
      <w:lvlText w:val="-"/>
      <w:lvlJc w:val="left"/>
      <w:pPr>
        <w:ind w:left="1636" w:hanging="360"/>
      </w:pPr>
      <w:rPr>
        <w:rFonts w:ascii="Times New Roman" w:eastAsiaTheme="minorHAnsi" w:hAnsi="Times New Roman" w:cs="Times New Roman" w:hint="default"/>
      </w:rPr>
    </w:lvl>
    <w:lvl w:ilvl="1" w:tplc="10000003" w:tentative="1">
      <w:start w:val="1"/>
      <w:numFmt w:val="bullet"/>
      <w:lvlText w:val="o"/>
      <w:lvlJc w:val="left"/>
      <w:pPr>
        <w:ind w:left="2356" w:hanging="360"/>
      </w:pPr>
      <w:rPr>
        <w:rFonts w:ascii="Courier New" w:hAnsi="Courier New" w:cs="Courier New" w:hint="default"/>
      </w:rPr>
    </w:lvl>
    <w:lvl w:ilvl="2" w:tplc="10000005" w:tentative="1">
      <w:start w:val="1"/>
      <w:numFmt w:val="bullet"/>
      <w:lvlText w:val=""/>
      <w:lvlJc w:val="left"/>
      <w:pPr>
        <w:ind w:left="3076" w:hanging="360"/>
      </w:pPr>
      <w:rPr>
        <w:rFonts w:ascii="Wingdings" w:hAnsi="Wingdings" w:hint="default"/>
      </w:rPr>
    </w:lvl>
    <w:lvl w:ilvl="3" w:tplc="10000001" w:tentative="1">
      <w:start w:val="1"/>
      <w:numFmt w:val="bullet"/>
      <w:lvlText w:val=""/>
      <w:lvlJc w:val="left"/>
      <w:pPr>
        <w:ind w:left="3796" w:hanging="360"/>
      </w:pPr>
      <w:rPr>
        <w:rFonts w:ascii="Symbol" w:hAnsi="Symbol" w:hint="default"/>
      </w:rPr>
    </w:lvl>
    <w:lvl w:ilvl="4" w:tplc="10000003" w:tentative="1">
      <w:start w:val="1"/>
      <w:numFmt w:val="bullet"/>
      <w:lvlText w:val="o"/>
      <w:lvlJc w:val="left"/>
      <w:pPr>
        <w:ind w:left="4516" w:hanging="360"/>
      </w:pPr>
      <w:rPr>
        <w:rFonts w:ascii="Courier New" w:hAnsi="Courier New" w:cs="Courier New" w:hint="default"/>
      </w:rPr>
    </w:lvl>
    <w:lvl w:ilvl="5" w:tplc="10000005" w:tentative="1">
      <w:start w:val="1"/>
      <w:numFmt w:val="bullet"/>
      <w:lvlText w:val=""/>
      <w:lvlJc w:val="left"/>
      <w:pPr>
        <w:ind w:left="5236" w:hanging="360"/>
      </w:pPr>
      <w:rPr>
        <w:rFonts w:ascii="Wingdings" w:hAnsi="Wingdings" w:hint="default"/>
      </w:rPr>
    </w:lvl>
    <w:lvl w:ilvl="6" w:tplc="10000001" w:tentative="1">
      <w:start w:val="1"/>
      <w:numFmt w:val="bullet"/>
      <w:lvlText w:val=""/>
      <w:lvlJc w:val="left"/>
      <w:pPr>
        <w:ind w:left="5956" w:hanging="360"/>
      </w:pPr>
      <w:rPr>
        <w:rFonts w:ascii="Symbol" w:hAnsi="Symbol" w:hint="default"/>
      </w:rPr>
    </w:lvl>
    <w:lvl w:ilvl="7" w:tplc="10000003" w:tentative="1">
      <w:start w:val="1"/>
      <w:numFmt w:val="bullet"/>
      <w:lvlText w:val="o"/>
      <w:lvlJc w:val="left"/>
      <w:pPr>
        <w:ind w:left="6676" w:hanging="360"/>
      </w:pPr>
      <w:rPr>
        <w:rFonts w:ascii="Courier New" w:hAnsi="Courier New" w:cs="Courier New" w:hint="default"/>
      </w:rPr>
    </w:lvl>
    <w:lvl w:ilvl="8" w:tplc="10000005" w:tentative="1">
      <w:start w:val="1"/>
      <w:numFmt w:val="bullet"/>
      <w:lvlText w:val=""/>
      <w:lvlJc w:val="left"/>
      <w:pPr>
        <w:ind w:left="7396" w:hanging="360"/>
      </w:pPr>
      <w:rPr>
        <w:rFonts w:ascii="Wingdings" w:hAnsi="Wingdings" w:hint="default"/>
      </w:rPr>
    </w:lvl>
  </w:abstractNum>
  <w:abstractNum w:abstractNumId="12" w15:restartNumberingAfterBreak="0">
    <w:nsid w:val="492733B3"/>
    <w:multiLevelType w:val="multilevel"/>
    <w:tmpl w:val="526C4B56"/>
    <w:lvl w:ilvl="0">
      <w:start w:val="1"/>
      <w:numFmt w:val="decimal"/>
      <w:lvlText w:val="%1."/>
      <w:lvlJc w:val="right"/>
      <w:pPr>
        <w:tabs>
          <w:tab w:val="num" w:pos="1296"/>
        </w:tabs>
        <w:ind w:left="1296" w:hanging="216"/>
      </w:pPr>
      <w:rPr>
        <w:rFonts w:ascii="Times New Roman" w:eastAsiaTheme="minorHAnsi" w:hAnsi="Times New Roman" w:cs="Times New Roman"/>
      </w:rPr>
    </w:lvl>
    <w:lvl w:ilvl="1">
      <w:start w:val="1"/>
      <w:numFmt w:val="upperLetter"/>
      <w:lvlText w:val="%2."/>
      <w:lvlJc w:val="left"/>
      <w:pPr>
        <w:tabs>
          <w:tab w:val="num" w:pos="1708"/>
        </w:tabs>
        <w:ind w:left="1708" w:hanging="432"/>
      </w:pPr>
      <w:rPr>
        <w:rFonts w:hint="default"/>
        <w:b w:val="0"/>
        <w:bCs/>
      </w:rPr>
    </w:lvl>
    <w:lvl w:ilvl="2">
      <w:start w:val="1"/>
      <w:numFmt w:val="decimal"/>
      <w:lvlText w:val="%3."/>
      <w:lvlJc w:val="left"/>
      <w:pPr>
        <w:tabs>
          <w:tab w:val="num" w:pos="2843"/>
        </w:tabs>
        <w:ind w:left="2843" w:hanging="432"/>
      </w:pPr>
      <w:rPr>
        <w:rFonts w:hint="default"/>
        <w:i w:val="0"/>
        <w:iCs w:val="0"/>
        <w:color w:val="auto"/>
      </w:rPr>
    </w:lvl>
    <w:lvl w:ilvl="3">
      <w:start w:val="1"/>
      <w:numFmt w:val="lowerLetter"/>
      <w:lvlText w:val="%4)"/>
      <w:lvlJc w:val="left"/>
      <w:pPr>
        <w:tabs>
          <w:tab w:val="num" w:pos="2592"/>
        </w:tabs>
        <w:ind w:left="2592" w:hanging="432"/>
      </w:pPr>
      <w:rPr>
        <w:rFonts w:ascii="Times New Roman" w:eastAsiaTheme="minorHAnsi" w:hAnsi="Times New Roman" w:cs="Times New Roman"/>
      </w:rPr>
    </w:lvl>
    <w:lvl w:ilvl="4">
      <w:start w:val="1"/>
      <w:numFmt w:val="decimal"/>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15:restartNumberingAfterBreak="0">
    <w:nsid w:val="58F15E58"/>
    <w:multiLevelType w:val="multilevel"/>
    <w:tmpl w:val="FCD2C54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08"/>
        </w:tabs>
        <w:ind w:left="1708" w:hanging="432"/>
      </w:pPr>
      <w:rPr>
        <w:rFonts w:hint="default"/>
        <w:b w:val="0"/>
        <w:bCs/>
      </w:rPr>
    </w:lvl>
    <w:lvl w:ilvl="2">
      <w:start w:val="1"/>
      <w:numFmt w:val="decimal"/>
      <w:lvlText w:val="%3."/>
      <w:lvlJc w:val="left"/>
      <w:pPr>
        <w:tabs>
          <w:tab w:val="num" w:pos="2843"/>
        </w:tabs>
        <w:ind w:left="2843" w:hanging="432"/>
      </w:pPr>
      <w:rPr>
        <w:rFonts w:hint="default"/>
        <w:b w:val="0"/>
        <w:bCs w:val="0"/>
        <w:i w:val="0"/>
        <w:iCs w:val="0"/>
        <w:color w:val="auto"/>
      </w:rPr>
    </w:lvl>
    <w:lvl w:ilvl="3">
      <w:start w:val="1"/>
      <w:numFmt w:val="lowerLetter"/>
      <w:lvlText w:val="%4)"/>
      <w:lvlJc w:val="left"/>
      <w:pPr>
        <w:tabs>
          <w:tab w:val="num" w:pos="2592"/>
        </w:tabs>
        <w:ind w:left="2592" w:hanging="432"/>
      </w:pPr>
      <w:rPr>
        <w:rFonts w:ascii="Times New Roman" w:eastAsiaTheme="minorHAnsi" w:hAnsi="Times New Roman" w:cs="Times New Roman"/>
      </w:rPr>
    </w:lvl>
    <w:lvl w:ilvl="4">
      <w:start w:val="1"/>
      <w:numFmt w:val="decimal"/>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6" w15:restartNumberingAfterBreak="0">
    <w:nsid w:val="6575108A"/>
    <w:multiLevelType w:val="hybridMultilevel"/>
    <w:tmpl w:val="4EAC9CC4"/>
    <w:name w:val="TOC3"/>
    <w:lvl w:ilvl="0" w:tplc="284C3D4A">
      <w:start w:val="5"/>
      <w:numFmt w:val="decimal"/>
      <w:lvlText w:val="%1."/>
      <w:lvlJc w:val="left"/>
      <w:pPr>
        <w:ind w:left="162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4003EA"/>
    <w:multiLevelType w:val="hybridMultilevel"/>
    <w:tmpl w:val="BB28A7C8"/>
    <w:name w:val="TOC33"/>
    <w:lvl w:ilvl="0" w:tplc="BC9C5E6C">
      <w:start w:val="3"/>
      <w:numFmt w:val="upperRoman"/>
      <w:lvlText w:val="%1."/>
      <w:lvlJc w:val="right"/>
      <w:pPr>
        <w:ind w:left="162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503111"/>
    <w:multiLevelType w:val="hybridMultilevel"/>
    <w:tmpl w:val="5144EF0E"/>
    <w:lvl w:ilvl="0" w:tplc="2EBE8EAE">
      <w:start w:val="7"/>
      <w:numFmt w:val="bullet"/>
      <w:lvlText w:val="-"/>
      <w:lvlJc w:val="left"/>
      <w:pPr>
        <w:ind w:left="1636" w:hanging="360"/>
      </w:pPr>
      <w:rPr>
        <w:rFonts w:ascii="Times New Roman" w:eastAsiaTheme="minorHAnsi" w:hAnsi="Times New Roman" w:cs="Times New Roman" w:hint="default"/>
      </w:rPr>
    </w:lvl>
    <w:lvl w:ilvl="1" w:tplc="10000003">
      <w:start w:val="1"/>
      <w:numFmt w:val="bullet"/>
      <w:lvlText w:val="o"/>
      <w:lvlJc w:val="left"/>
      <w:pPr>
        <w:ind w:left="2356" w:hanging="360"/>
      </w:pPr>
      <w:rPr>
        <w:rFonts w:ascii="Courier New" w:hAnsi="Courier New" w:cs="Courier New" w:hint="default"/>
      </w:rPr>
    </w:lvl>
    <w:lvl w:ilvl="2" w:tplc="10000005" w:tentative="1">
      <w:start w:val="1"/>
      <w:numFmt w:val="bullet"/>
      <w:lvlText w:val=""/>
      <w:lvlJc w:val="left"/>
      <w:pPr>
        <w:ind w:left="3076" w:hanging="360"/>
      </w:pPr>
      <w:rPr>
        <w:rFonts w:ascii="Wingdings" w:hAnsi="Wingdings" w:hint="default"/>
      </w:rPr>
    </w:lvl>
    <w:lvl w:ilvl="3" w:tplc="10000001" w:tentative="1">
      <w:start w:val="1"/>
      <w:numFmt w:val="bullet"/>
      <w:lvlText w:val=""/>
      <w:lvlJc w:val="left"/>
      <w:pPr>
        <w:ind w:left="3796" w:hanging="360"/>
      </w:pPr>
      <w:rPr>
        <w:rFonts w:ascii="Symbol" w:hAnsi="Symbol" w:hint="default"/>
      </w:rPr>
    </w:lvl>
    <w:lvl w:ilvl="4" w:tplc="10000003" w:tentative="1">
      <w:start w:val="1"/>
      <w:numFmt w:val="bullet"/>
      <w:lvlText w:val="o"/>
      <w:lvlJc w:val="left"/>
      <w:pPr>
        <w:ind w:left="4516" w:hanging="360"/>
      </w:pPr>
      <w:rPr>
        <w:rFonts w:ascii="Courier New" w:hAnsi="Courier New" w:cs="Courier New" w:hint="default"/>
      </w:rPr>
    </w:lvl>
    <w:lvl w:ilvl="5" w:tplc="10000005" w:tentative="1">
      <w:start w:val="1"/>
      <w:numFmt w:val="bullet"/>
      <w:lvlText w:val=""/>
      <w:lvlJc w:val="left"/>
      <w:pPr>
        <w:ind w:left="5236" w:hanging="360"/>
      </w:pPr>
      <w:rPr>
        <w:rFonts w:ascii="Wingdings" w:hAnsi="Wingdings" w:hint="default"/>
      </w:rPr>
    </w:lvl>
    <w:lvl w:ilvl="6" w:tplc="10000001" w:tentative="1">
      <w:start w:val="1"/>
      <w:numFmt w:val="bullet"/>
      <w:lvlText w:val=""/>
      <w:lvlJc w:val="left"/>
      <w:pPr>
        <w:ind w:left="5956" w:hanging="360"/>
      </w:pPr>
      <w:rPr>
        <w:rFonts w:ascii="Symbol" w:hAnsi="Symbol" w:hint="default"/>
      </w:rPr>
    </w:lvl>
    <w:lvl w:ilvl="7" w:tplc="10000003" w:tentative="1">
      <w:start w:val="1"/>
      <w:numFmt w:val="bullet"/>
      <w:lvlText w:val="o"/>
      <w:lvlJc w:val="left"/>
      <w:pPr>
        <w:ind w:left="6676" w:hanging="360"/>
      </w:pPr>
      <w:rPr>
        <w:rFonts w:ascii="Courier New" w:hAnsi="Courier New" w:cs="Courier New" w:hint="default"/>
      </w:rPr>
    </w:lvl>
    <w:lvl w:ilvl="8" w:tplc="10000005" w:tentative="1">
      <w:start w:val="1"/>
      <w:numFmt w:val="bullet"/>
      <w:lvlText w:val=""/>
      <w:lvlJc w:val="left"/>
      <w:pPr>
        <w:ind w:left="7396" w:hanging="360"/>
      </w:pPr>
      <w:rPr>
        <w:rFonts w:ascii="Wingdings" w:hAnsi="Wingdings" w:hint="default"/>
      </w:rPr>
    </w:lvl>
  </w:abstractNum>
  <w:abstractNum w:abstractNumId="19" w15:restartNumberingAfterBreak="0">
    <w:nsid w:val="765E351A"/>
    <w:multiLevelType w:val="multilevel"/>
    <w:tmpl w:val="FCD2C54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08"/>
        </w:tabs>
        <w:ind w:left="1708" w:hanging="432"/>
      </w:pPr>
      <w:rPr>
        <w:rFonts w:hint="default"/>
        <w:b w:val="0"/>
        <w:bCs/>
      </w:rPr>
    </w:lvl>
    <w:lvl w:ilvl="2">
      <w:start w:val="1"/>
      <w:numFmt w:val="decimal"/>
      <w:lvlText w:val="%3."/>
      <w:lvlJc w:val="left"/>
      <w:pPr>
        <w:tabs>
          <w:tab w:val="num" w:pos="2843"/>
        </w:tabs>
        <w:ind w:left="2843" w:hanging="432"/>
      </w:pPr>
      <w:rPr>
        <w:rFonts w:hint="default"/>
        <w:b w:val="0"/>
        <w:bCs w:val="0"/>
        <w:i w:val="0"/>
        <w:iCs w:val="0"/>
        <w:color w:val="auto"/>
      </w:rPr>
    </w:lvl>
    <w:lvl w:ilvl="3">
      <w:start w:val="1"/>
      <w:numFmt w:val="lowerLetter"/>
      <w:lvlText w:val="%4)"/>
      <w:lvlJc w:val="left"/>
      <w:pPr>
        <w:tabs>
          <w:tab w:val="num" w:pos="2592"/>
        </w:tabs>
        <w:ind w:left="2592" w:hanging="432"/>
      </w:pPr>
      <w:rPr>
        <w:rFonts w:ascii="Times New Roman" w:eastAsiaTheme="minorHAnsi" w:hAnsi="Times New Roman" w:cs="Times New Roman"/>
      </w:rPr>
    </w:lvl>
    <w:lvl w:ilvl="4">
      <w:start w:val="1"/>
      <w:numFmt w:val="decimal"/>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9295BBA"/>
    <w:multiLevelType w:val="hybridMultilevel"/>
    <w:tmpl w:val="F34E81F2"/>
    <w:lvl w:ilvl="0" w:tplc="1C80C7A0">
      <w:start w:val="1"/>
      <w:numFmt w:val="lowerLetter"/>
      <w:lvlText w:val="%1."/>
      <w:lvlJc w:val="left"/>
      <w:pPr>
        <w:ind w:left="1996" w:hanging="360"/>
      </w:pPr>
      <w:rPr>
        <w:rFonts w:hint="default"/>
      </w:rPr>
    </w:lvl>
    <w:lvl w:ilvl="1" w:tplc="10000019" w:tentative="1">
      <w:start w:val="1"/>
      <w:numFmt w:val="lowerLetter"/>
      <w:lvlText w:val="%2."/>
      <w:lvlJc w:val="left"/>
      <w:pPr>
        <w:ind w:left="2716" w:hanging="360"/>
      </w:pPr>
    </w:lvl>
    <w:lvl w:ilvl="2" w:tplc="1000001B" w:tentative="1">
      <w:start w:val="1"/>
      <w:numFmt w:val="lowerRoman"/>
      <w:lvlText w:val="%3."/>
      <w:lvlJc w:val="right"/>
      <w:pPr>
        <w:ind w:left="3436" w:hanging="180"/>
      </w:pPr>
    </w:lvl>
    <w:lvl w:ilvl="3" w:tplc="1000000F" w:tentative="1">
      <w:start w:val="1"/>
      <w:numFmt w:val="decimal"/>
      <w:lvlText w:val="%4."/>
      <w:lvlJc w:val="left"/>
      <w:pPr>
        <w:ind w:left="4156" w:hanging="360"/>
      </w:pPr>
    </w:lvl>
    <w:lvl w:ilvl="4" w:tplc="10000019" w:tentative="1">
      <w:start w:val="1"/>
      <w:numFmt w:val="lowerLetter"/>
      <w:lvlText w:val="%5."/>
      <w:lvlJc w:val="left"/>
      <w:pPr>
        <w:ind w:left="4876" w:hanging="360"/>
      </w:pPr>
    </w:lvl>
    <w:lvl w:ilvl="5" w:tplc="1000001B" w:tentative="1">
      <w:start w:val="1"/>
      <w:numFmt w:val="lowerRoman"/>
      <w:lvlText w:val="%6."/>
      <w:lvlJc w:val="right"/>
      <w:pPr>
        <w:ind w:left="5596" w:hanging="180"/>
      </w:pPr>
    </w:lvl>
    <w:lvl w:ilvl="6" w:tplc="1000000F" w:tentative="1">
      <w:start w:val="1"/>
      <w:numFmt w:val="decimal"/>
      <w:lvlText w:val="%7."/>
      <w:lvlJc w:val="left"/>
      <w:pPr>
        <w:ind w:left="6316" w:hanging="360"/>
      </w:pPr>
    </w:lvl>
    <w:lvl w:ilvl="7" w:tplc="10000019" w:tentative="1">
      <w:start w:val="1"/>
      <w:numFmt w:val="lowerLetter"/>
      <w:lvlText w:val="%8."/>
      <w:lvlJc w:val="left"/>
      <w:pPr>
        <w:ind w:left="7036" w:hanging="360"/>
      </w:pPr>
    </w:lvl>
    <w:lvl w:ilvl="8" w:tplc="1000001B" w:tentative="1">
      <w:start w:val="1"/>
      <w:numFmt w:val="lowerRoman"/>
      <w:lvlText w:val="%9."/>
      <w:lvlJc w:val="right"/>
      <w:pPr>
        <w:ind w:left="7756" w:hanging="180"/>
      </w:pPr>
    </w:lvl>
  </w:abstractNum>
  <w:num w:numId="1">
    <w:abstractNumId w:val="4"/>
  </w:num>
  <w:num w:numId="2">
    <w:abstractNumId w:val="13"/>
  </w:num>
  <w:num w:numId="3">
    <w:abstractNumId w:val="15"/>
  </w:num>
  <w:num w:numId="4">
    <w:abstractNumId w:val="10"/>
  </w:num>
  <w:num w:numId="5">
    <w:abstractNumId w:val="14"/>
  </w:num>
  <w:num w:numId="6">
    <w:abstractNumId w:val="14"/>
  </w:num>
  <w:num w:numId="7">
    <w:abstractNumId w:val="1"/>
  </w:num>
  <w:num w:numId="8">
    <w:abstractNumId w:val="3"/>
  </w:num>
  <w:num w:numId="9">
    <w:abstractNumId w:val="12"/>
  </w:num>
  <w:num w:numId="10">
    <w:abstractNumId w:val="9"/>
  </w:num>
  <w:num w:numId="11">
    <w:abstractNumId w:val="18"/>
  </w:num>
  <w:num w:numId="12">
    <w:abstractNumId w:val="19"/>
  </w:num>
  <w:num w:numId="13">
    <w:abstractNumId w:val="0"/>
  </w:num>
  <w:num w:numId="14">
    <w:abstractNumId w:val="11"/>
  </w:num>
  <w:num w:numId="15">
    <w:abstractNumId w:val="20"/>
  </w:num>
  <w:num w:numId="16">
    <w:abstractNumId w:val="8"/>
  </w:num>
  <w:num w:numId="17">
    <w:abstractNumId w:val="5"/>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4100"/>
    <o:shapelayout v:ext="edit">
      <o:idmap v:ext="edit" data="4"/>
    </o:shapelayout>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7888*"/>
    <w:docVar w:name="CreationDt" w:val="26/07/2019 08:00:48"/>
    <w:docVar w:name="DocCategory" w:val="Doc"/>
    <w:docVar w:name="DocType" w:val="Final"/>
    <w:docVar w:name="DutyStation" w:val="Vienna"/>
    <w:docVar w:name="FooterJN" w:val="V.19-07888"/>
    <w:docVar w:name="jobn" w:val="V.19-07888 (E)"/>
    <w:docVar w:name="jobnDT" w:val="V.19-07888 (E)   260719"/>
    <w:docVar w:name="jobnDTDT" w:val="V.19-07888 (E)   260719   260719"/>
    <w:docVar w:name="JobNo" w:val="V.1907888E"/>
    <w:docVar w:name="JobNo2" w:val="1907888E"/>
    <w:docVar w:name="LocalDrive" w:val="0"/>
    <w:docVar w:name="OandT" w:val="TM"/>
    <w:docVar w:name="sss1" w:val="A/CN.9/WG.III/WP.168"/>
    <w:docVar w:name="sss2" w:val="-"/>
    <w:docVar w:name="Symbol1" w:val="A/CN.9/WG.III/WP.168"/>
    <w:docVar w:name="Symbol2" w:val="-"/>
  </w:docVars>
  <w:rsids>
    <w:rsidRoot w:val="00CA6363"/>
    <w:rsid w:val="0000049C"/>
    <w:rsid w:val="00000A65"/>
    <w:rsid w:val="00002529"/>
    <w:rsid w:val="0000347F"/>
    <w:rsid w:val="00006A4D"/>
    <w:rsid w:val="00011CB6"/>
    <w:rsid w:val="000126A6"/>
    <w:rsid w:val="0001325F"/>
    <w:rsid w:val="00013387"/>
    <w:rsid w:val="00013710"/>
    <w:rsid w:val="00017284"/>
    <w:rsid w:val="000173A5"/>
    <w:rsid w:val="0001766F"/>
    <w:rsid w:val="00017FCF"/>
    <w:rsid w:val="00020116"/>
    <w:rsid w:val="0002014A"/>
    <w:rsid w:val="0002161E"/>
    <w:rsid w:val="00023494"/>
    <w:rsid w:val="00024B09"/>
    <w:rsid w:val="00024D1E"/>
    <w:rsid w:val="00027D65"/>
    <w:rsid w:val="000305AF"/>
    <w:rsid w:val="00031E12"/>
    <w:rsid w:val="00032556"/>
    <w:rsid w:val="00032946"/>
    <w:rsid w:val="0003374A"/>
    <w:rsid w:val="000338AF"/>
    <w:rsid w:val="000345A9"/>
    <w:rsid w:val="00034710"/>
    <w:rsid w:val="00036E51"/>
    <w:rsid w:val="0003723A"/>
    <w:rsid w:val="0004029B"/>
    <w:rsid w:val="00041917"/>
    <w:rsid w:val="00041BC7"/>
    <w:rsid w:val="00044B67"/>
    <w:rsid w:val="000457F2"/>
    <w:rsid w:val="0004596A"/>
    <w:rsid w:val="00045CC4"/>
    <w:rsid w:val="00045EC8"/>
    <w:rsid w:val="00045F3C"/>
    <w:rsid w:val="0004710A"/>
    <w:rsid w:val="00047B12"/>
    <w:rsid w:val="000514CF"/>
    <w:rsid w:val="000517F5"/>
    <w:rsid w:val="00053D34"/>
    <w:rsid w:val="00054E9A"/>
    <w:rsid w:val="00055E4C"/>
    <w:rsid w:val="00057370"/>
    <w:rsid w:val="00057763"/>
    <w:rsid w:val="000628B1"/>
    <w:rsid w:val="00064B0E"/>
    <w:rsid w:val="000669DB"/>
    <w:rsid w:val="00070672"/>
    <w:rsid w:val="00072D8E"/>
    <w:rsid w:val="00073AB8"/>
    <w:rsid w:val="00073CA2"/>
    <w:rsid w:val="00073E2D"/>
    <w:rsid w:val="0007454C"/>
    <w:rsid w:val="00075FC0"/>
    <w:rsid w:val="00076686"/>
    <w:rsid w:val="0008109F"/>
    <w:rsid w:val="0008258F"/>
    <w:rsid w:val="00083B95"/>
    <w:rsid w:val="00084AC4"/>
    <w:rsid w:val="00085DDC"/>
    <w:rsid w:val="00087262"/>
    <w:rsid w:val="00087F12"/>
    <w:rsid w:val="00091BC7"/>
    <w:rsid w:val="000935CB"/>
    <w:rsid w:val="00093A1B"/>
    <w:rsid w:val="00096039"/>
    <w:rsid w:val="00097EA7"/>
    <w:rsid w:val="000A0A88"/>
    <w:rsid w:val="000A1D8E"/>
    <w:rsid w:val="000A2EC3"/>
    <w:rsid w:val="000A3F11"/>
    <w:rsid w:val="000A4513"/>
    <w:rsid w:val="000A63BC"/>
    <w:rsid w:val="000A7B05"/>
    <w:rsid w:val="000B0012"/>
    <w:rsid w:val="000B05FF"/>
    <w:rsid w:val="000B0AA5"/>
    <w:rsid w:val="000B2C31"/>
    <w:rsid w:val="000B3288"/>
    <w:rsid w:val="000B383D"/>
    <w:rsid w:val="000B6627"/>
    <w:rsid w:val="000B7F8D"/>
    <w:rsid w:val="000C1B63"/>
    <w:rsid w:val="000C200C"/>
    <w:rsid w:val="000C2E1F"/>
    <w:rsid w:val="000C3E8D"/>
    <w:rsid w:val="000C491A"/>
    <w:rsid w:val="000C4C9C"/>
    <w:rsid w:val="000D0F89"/>
    <w:rsid w:val="000D1D97"/>
    <w:rsid w:val="000D2570"/>
    <w:rsid w:val="000D3D12"/>
    <w:rsid w:val="000D5049"/>
    <w:rsid w:val="000D5B25"/>
    <w:rsid w:val="000D5DCB"/>
    <w:rsid w:val="000D640B"/>
    <w:rsid w:val="000D685D"/>
    <w:rsid w:val="000E0C7C"/>
    <w:rsid w:val="000E5BC8"/>
    <w:rsid w:val="000E7C29"/>
    <w:rsid w:val="000F1A73"/>
    <w:rsid w:val="000F1B90"/>
    <w:rsid w:val="000F270D"/>
    <w:rsid w:val="000F278E"/>
    <w:rsid w:val="000F3878"/>
    <w:rsid w:val="000F483C"/>
    <w:rsid w:val="000F4BA5"/>
    <w:rsid w:val="000F6946"/>
    <w:rsid w:val="000F758A"/>
    <w:rsid w:val="0010009E"/>
    <w:rsid w:val="001011A7"/>
    <w:rsid w:val="00101BAA"/>
    <w:rsid w:val="00102408"/>
    <w:rsid w:val="00102F57"/>
    <w:rsid w:val="00106AEB"/>
    <w:rsid w:val="00107A95"/>
    <w:rsid w:val="0011004E"/>
    <w:rsid w:val="00110158"/>
    <w:rsid w:val="00110CC9"/>
    <w:rsid w:val="001161CF"/>
    <w:rsid w:val="00122B47"/>
    <w:rsid w:val="001230A6"/>
    <w:rsid w:val="00124304"/>
    <w:rsid w:val="00124754"/>
    <w:rsid w:val="00125F39"/>
    <w:rsid w:val="001268B8"/>
    <w:rsid w:val="001269A4"/>
    <w:rsid w:val="0012784D"/>
    <w:rsid w:val="00130A68"/>
    <w:rsid w:val="00130C2D"/>
    <w:rsid w:val="001328F2"/>
    <w:rsid w:val="00132A77"/>
    <w:rsid w:val="00134CF4"/>
    <w:rsid w:val="001352C8"/>
    <w:rsid w:val="00135FC5"/>
    <w:rsid w:val="0014225E"/>
    <w:rsid w:val="00143839"/>
    <w:rsid w:val="00143D18"/>
    <w:rsid w:val="00144700"/>
    <w:rsid w:val="001460FF"/>
    <w:rsid w:val="00146674"/>
    <w:rsid w:val="0014676A"/>
    <w:rsid w:val="00146ADB"/>
    <w:rsid w:val="00150BC6"/>
    <w:rsid w:val="0015101A"/>
    <w:rsid w:val="00152E5D"/>
    <w:rsid w:val="00154473"/>
    <w:rsid w:val="00156607"/>
    <w:rsid w:val="00157EFF"/>
    <w:rsid w:val="0016075A"/>
    <w:rsid w:val="00163B1A"/>
    <w:rsid w:val="0016448D"/>
    <w:rsid w:val="00165D3C"/>
    <w:rsid w:val="00166998"/>
    <w:rsid w:val="00171215"/>
    <w:rsid w:val="00171B94"/>
    <w:rsid w:val="00171C41"/>
    <w:rsid w:val="001720F5"/>
    <w:rsid w:val="00173D45"/>
    <w:rsid w:val="00177579"/>
    <w:rsid w:val="00182603"/>
    <w:rsid w:val="00182D67"/>
    <w:rsid w:val="00184FDB"/>
    <w:rsid w:val="0018522C"/>
    <w:rsid w:val="0018593F"/>
    <w:rsid w:val="00185A35"/>
    <w:rsid w:val="00186DA5"/>
    <w:rsid w:val="00190A3D"/>
    <w:rsid w:val="00190B44"/>
    <w:rsid w:val="00192560"/>
    <w:rsid w:val="001969C2"/>
    <w:rsid w:val="0019715D"/>
    <w:rsid w:val="001A0822"/>
    <w:rsid w:val="001A143C"/>
    <w:rsid w:val="001A207A"/>
    <w:rsid w:val="001A3632"/>
    <w:rsid w:val="001A70EE"/>
    <w:rsid w:val="001A765C"/>
    <w:rsid w:val="001A7E66"/>
    <w:rsid w:val="001B025F"/>
    <w:rsid w:val="001B4D37"/>
    <w:rsid w:val="001B57E2"/>
    <w:rsid w:val="001B5DDB"/>
    <w:rsid w:val="001B6C04"/>
    <w:rsid w:val="001C0976"/>
    <w:rsid w:val="001C2BA7"/>
    <w:rsid w:val="001C35B1"/>
    <w:rsid w:val="001C4AFE"/>
    <w:rsid w:val="001C4ED2"/>
    <w:rsid w:val="001C61F3"/>
    <w:rsid w:val="001C640E"/>
    <w:rsid w:val="001C75EE"/>
    <w:rsid w:val="001D0879"/>
    <w:rsid w:val="001D0EB0"/>
    <w:rsid w:val="001D1B80"/>
    <w:rsid w:val="001D2BDB"/>
    <w:rsid w:val="001D463E"/>
    <w:rsid w:val="001D4F08"/>
    <w:rsid w:val="001D5601"/>
    <w:rsid w:val="001D6B64"/>
    <w:rsid w:val="001D75BC"/>
    <w:rsid w:val="001D78AD"/>
    <w:rsid w:val="001D79B0"/>
    <w:rsid w:val="001E0F17"/>
    <w:rsid w:val="001E11A2"/>
    <w:rsid w:val="001E146C"/>
    <w:rsid w:val="001E1848"/>
    <w:rsid w:val="001E3C9E"/>
    <w:rsid w:val="001E5EC6"/>
    <w:rsid w:val="001E60E7"/>
    <w:rsid w:val="001E6FDF"/>
    <w:rsid w:val="001F02D8"/>
    <w:rsid w:val="001F1D6D"/>
    <w:rsid w:val="001F25D0"/>
    <w:rsid w:val="001F3404"/>
    <w:rsid w:val="001F4F0D"/>
    <w:rsid w:val="001F5834"/>
    <w:rsid w:val="001F5CBD"/>
    <w:rsid w:val="001F72E8"/>
    <w:rsid w:val="001F7F12"/>
    <w:rsid w:val="0020031A"/>
    <w:rsid w:val="002007C7"/>
    <w:rsid w:val="00200F9C"/>
    <w:rsid w:val="00201D3B"/>
    <w:rsid w:val="00201FAB"/>
    <w:rsid w:val="00202D1B"/>
    <w:rsid w:val="00203136"/>
    <w:rsid w:val="00204A11"/>
    <w:rsid w:val="00206166"/>
    <w:rsid w:val="0020640A"/>
    <w:rsid w:val="002077B7"/>
    <w:rsid w:val="00207C70"/>
    <w:rsid w:val="0021054A"/>
    <w:rsid w:val="00210BE1"/>
    <w:rsid w:val="00210C87"/>
    <w:rsid w:val="00211AC6"/>
    <w:rsid w:val="00211C80"/>
    <w:rsid w:val="00211F9A"/>
    <w:rsid w:val="00214645"/>
    <w:rsid w:val="00215C68"/>
    <w:rsid w:val="00215C73"/>
    <w:rsid w:val="002160BE"/>
    <w:rsid w:val="002203F4"/>
    <w:rsid w:val="002215BE"/>
    <w:rsid w:val="00221E31"/>
    <w:rsid w:val="00222CA1"/>
    <w:rsid w:val="00227358"/>
    <w:rsid w:val="0022735C"/>
    <w:rsid w:val="002316D2"/>
    <w:rsid w:val="00234014"/>
    <w:rsid w:val="00241BD0"/>
    <w:rsid w:val="00245D7C"/>
    <w:rsid w:val="00250A6B"/>
    <w:rsid w:val="00250D79"/>
    <w:rsid w:val="00252129"/>
    <w:rsid w:val="0025248E"/>
    <w:rsid w:val="00252F53"/>
    <w:rsid w:val="00254882"/>
    <w:rsid w:val="00256E8C"/>
    <w:rsid w:val="00256F05"/>
    <w:rsid w:val="00265E16"/>
    <w:rsid w:val="002706A2"/>
    <w:rsid w:val="00271666"/>
    <w:rsid w:val="002724D8"/>
    <w:rsid w:val="00273118"/>
    <w:rsid w:val="002742FA"/>
    <w:rsid w:val="002748D5"/>
    <w:rsid w:val="00275361"/>
    <w:rsid w:val="00276EE5"/>
    <w:rsid w:val="00277014"/>
    <w:rsid w:val="00281605"/>
    <w:rsid w:val="00281EA9"/>
    <w:rsid w:val="002827FA"/>
    <w:rsid w:val="00284218"/>
    <w:rsid w:val="002863C9"/>
    <w:rsid w:val="00290C9C"/>
    <w:rsid w:val="00291C7D"/>
    <w:rsid w:val="00292DEC"/>
    <w:rsid w:val="00293576"/>
    <w:rsid w:val="00296482"/>
    <w:rsid w:val="002A07B2"/>
    <w:rsid w:val="002A1BA0"/>
    <w:rsid w:val="002A1CA8"/>
    <w:rsid w:val="002A242F"/>
    <w:rsid w:val="002A31F9"/>
    <w:rsid w:val="002A3413"/>
    <w:rsid w:val="002A64AF"/>
    <w:rsid w:val="002B124C"/>
    <w:rsid w:val="002B1B5E"/>
    <w:rsid w:val="002B2E75"/>
    <w:rsid w:val="002B3115"/>
    <w:rsid w:val="002B44AF"/>
    <w:rsid w:val="002B4C62"/>
    <w:rsid w:val="002B5385"/>
    <w:rsid w:val="002B758B"/>
    <w:rsid w:val="002C0CEE"/>
    <w:rsid w:val="002C130D"/>
    <w:rsid w:val="002C1915"/>
    <w:rsid w:val="002C1C5C"/>
    <w:rsid w:val="002C24B3"/>
    <w:rsid w:val="002C3C58"/>
    <w:rsid w:val="002C4D0C"/>
    <w:rsid w:val="002C7197"/>
    <w:rsid w:val="002C7281"/>
    <w:rsid w:val="002D1E69"/>
    <w:rsid w:val="002D272D"/>
    <w:rsid w:val="002D6EB4"/>
    <w:rsid w:val="002E09A8"/>
    <w:rsid w:val="002E0A38"/>
    <w:rsid w:val="002E238C"/>
    <w:rsid w:val="002E33B5"/>
    <w:rsid w:val="002E379D"/>
    <w:rsid w:val="002E3DA0"/>
    <w:rsid w:val="002E4791"/>
    <w:rsid w:val="002E4F29"/>
    <w:rsid w:val="002E7303"/>
    <w:rsid w:val="002E77D2"/>
    <w:rsid w:val="002E7E5D"/>
    <w:rsid w:val="002F1155"/>
    <w:rsid w:val="002F43E9"/>
    <w:rsid w:val="002F4E86"/>
    <w:rsid w:val="0030074F"/>
    <w:rsid w:val="00300AED"/>
    <w:rsid w:val="00301D5A"/>
    <w:rsid w:val="00302747"/>
    <w:rsid w:val="003032B6"/>
    <w:rsid w:val="00303CAC"/>
    <w:rsid w:val="0030692B"/>
    <w:rsid w:val="00306C21"/>
    <w:rsid w:val="00306EA4"/>
    <w:rsid w:val="003072CD"/>
    <w:rsid w:val="00307452"/>
    <w:rsid w:val="003109BC"/>
    <w:rsid w:val="00314796"/>
    <w:rsid w:val="00315072"/>
    <w:rsid w:val="00316A8D"/>
    <w:rsid w:val="00320796"/>
    <w:rsid w:val="003210FF"/>
    <w:rsid w:val="003224E1"/>
    <w:rsid w:val="00325838"/>
    <w:rsid w:val="003265C2"/>
    <w:rsid w:val="00326911"/>
    <w:rsid w:val="00326B3F"/>
    <w:rsid w:val="003273A6"/>
    <w:rsid w:val="003301A0"/>
    <w:rsid w:val="0033286E"/>
    <w:rsid w:val="00332AC7"/>
    <w:rsid w:val="00333FAE"/>
    <w:rsid w:val="00334D4D"/>
    <w:rsid w:val="00334EA3"/>
    <w:rsid w:val="00336B60"/>
    <w:rsid w:val="00340C5F"/>
    <w:rsid w:val="00341DD6"/>
    <w:rsid w:val="0034203C"/>
    <w:rsid w:val="00342214"/>
    <w:rsid w:val="00342D7C"/>
    <w:rsid w:val="00345C55"/>
    <w:rsid w:val="00346E64"/>
    <w:rsid w:val="003544DE"/>
    <w:rsid w:val="003557CB"/>
    <w:rsid w:val="00355826"/>
    <w:rsid w:val="00355F6F"/>
    <w:rsid w:val="00356B37"/>
    <w:rsid w:val="003572A9"/>
    <w:rsid w:val="00360B9B"/>
    <w:rsid w:val="00362DAC"/>
    <w:rsid w:val="00363AD1"/>
    <w:rsid w:val="00371A3B"/>
    <w:rsid w:val="00371CC6"/>
    <w:rsid w:val="00376F20"/>
    <w:rsid w:val="00380881"/>
    <w:rsid w:val="00382201"/>
    <w:rsid w:val="00382CE4"/>
    <w:rsid w:val="003843C9"/>
    <w:rsid w:val="00384AF0"/>
    <w:rsid w:val="003865E3"/>
    <w:rsid w:val="003879C3"/>
    <w:rsid w:val="00392EB1"/>
    <w:rsid w:val="00393A73"/>
    <w:rsid w:val="00394980"/>
    <w:rsid w:val="00395203"/>
    <w:rsid w:val="00397307"/>
    <w:rsid w:val="003A02C6"/>
    <w:rsid w:val="003A03D8"/>
    <w:rsid w:val="003A1599"/>
    <w:rsid w:val="003A164A"/>
    <w:rsid w:val="003A1C32"/>
    <w:rsid w:val="003A2932"/>
    <w:rsid w:val="003A37C6"/>
    <w:rsid w:val="003A4049"/>
    <w:rsid w:val="003A6E19"/>
    <w:rsid w:val="003B060B"/>
    <w:rsid w:val="003B24C3"/>
    <w:rsid w:val="003B2C4B"/>
    <w:rsid w:val="003B3654"/>
    <w:rsid w:val="003B467C"/>
    <w:rsid w:val="003B627E"/>
    <w:rsid w:val="003B6D17"/>
    <w:rsid w:val="003B6D1C"/>
    <w:rsid w:val="003C18DE"/>
    <w:rsid w:val="003C3254"/>
    <w:rsid w:val="003C3BDD"/>
    <w:rsid w:val="003C3DDD"/>
    <w:rsid w:val="003C59A1"/>
    <w:rsid w:val="003C64FE"/>
    <w:rsid w:val="003D0FA4"/>
    <w:rsid w:val="003D159A"/>
    <w:rsid w:val="003D1840"/>
    <w:rsid w:val="003D57A9"/>
    <w:rsid w:val="003D5D93"/>
    <w:rsid w:val="003D5F1A"/>
    <w:rsid w:val="003D6D8D"/>
    <w:rsid w:val="003D73B3"/>
    <w:rsid w:val="003E0B91"/>
    <w:rsid w:val="003E140B"/>
    <w:rsid w:val="003E24FB"/>
    <w:rsid w:val="003E259C"/>
    <w:rsid w:val="003E3945"/>
    <w:rsid w:val="003E3B08"/>
    <w:rsid w:val="003E4798"/>
    <w:rsid w:val="003E4B61"/>
    <w:rsid w:val="003E57B1"/>
    <w:rsid w:val="003E6411"/>
    <w:rsid w:val="003E6977"/>
    <w:rsid w:val="003E723B"/>
    <w:rsid w:val="003F0975"/>
    <w:rsid w:val="003F1C23"/>
    <w:rsid w:val="003F2752"/>
    <w:rsid w:val="003F34BF"/>
    <w:rsid w:val="003F3970"/>
    <w:rsid w:val="003F5D8A"/>
    <w:rsid w:val="003F656C"/>
    <w:rsid w:val="003F714F"/>
    <w:rsid w:val="003F7799"/>
    <w:rsid w:val="0040199E"/>
    <w:rsid w:val="00403C85"/>
    <w:rsid w:val="00405DA0"/>
    <w:rsid w:val="00410328"/>
    <w:rsid w:val="00410B04"/>
    <w:rsid w:val="004115AF"/>
    <w:rsid w:val="00411C55"/>
    <w:rsid w:val="00411F71"/>
    <w:rsid w:val="00414E5C"/>
    <w:rsid w:val="004154C7"/>
    <w:rsid w:val="00421015"/>
    <w:rsid w:val="00422386"/>
    <w:rsid w:val="00423947"/>
    <w:rsid w:val="00424196"/>
    <w:rsid w:val="00425A5C"/>
    <w:rsid w:val="00427226"/>
    <w:rsid w:val="00435A6C"/>
    <w:rsid w:val="00435A6D"/>
    <w:rsid w:val="00435ECF"/>
    <w:rsid w:val="00436535"/>
    <w:rsid w:val="00436DA9"/>
    <w:rsid w:val="004414F5"/>
    <w:rsid w:val="0044179B"/>
    <w:rsid w:val="004435B1"/>
    <w:rsid w:val="004439F5"/>
    <w:rsid w:val="00444424"/>
    <w:rsid w:val="0044467B"/>
    <w:rsid w:val="00444A9B"/>
    <w:rsid w:val="0044575F"/>
    <w:rsid w:val="00445799"/>
    <w:rsid w:val="00445D91"/>
    <w:rsid w:val="00446402"/>
    <w:rsid w:val="00446BB3"/>
    <w:rsid w:val="00450116"/>
    <w:rsid w:val="0045092B"/>
    <w:rsid w:val="004510DA"/>
    <w:rsid w:val="0045247F"/>
    <w:rsid w:val="00452EE9"/>
    <w:rsid w:val="0045568C"/>
    <w:rsid w:val="004557B5"/>
    <w:rsid w:val="00456C68"/>
    <w:rsid w:val="00457CDD"/>
    <w:rsid w:val="0046118D"/>
    <w:rsid w:val="00462239"/>
    <w:rsid w:val="00462F0E"/>
    <w:rsid w:val="00463F0F"/>
    <w:rsid w:val="00464139"/>
    <w:rsid w:val="004645E9"/>
    <w:rsid w:val="0046495F"/>
    <w:rsid w:val="004654FB"/>
    <w:rsid w:val="00465540"/>
    <w:rsid w:val="004713F7"/>
    <w:rsid w:val="00471D28"/>
    <w:rsid w:val="00471D62"/>
    <w:rsid w:val="004725AC"/>
    <w:rsid w:val="004726A0"/>
    <w:rsid w:val="00472741"/>
    <w:rsid w:val="004739B7"/>
    <w:rsid w:val="00473E1A"/>
    <w:rsid w:val="00474EC7"/>
    <w:rsid w:val="00476891"/>
    <w:rsid w:val="00476DF4"/>
    <w:rsid w:val="00476FF7"/>
    <w:rsid w:val="004804AB"/>
    <w:rsid w:val="00480560"/>
    <w:rsid w:val="004810BA"/>
    <w:rsid w:val="004821F2"/>
    <w:rsid w:val="004825C2"/>
    <w:rsid w:val="004851E2"/>
    <w:rsid w:val="004856CD"/>
    <w:rsid w:val="00486A0F"/>
    <w:rsid w:val="00486E12"/>
    <w:rsid w:val="0048774F"/>
    <w:rsid w:val="004900E9"/>
    <w:rsid w:val="00490407"/>
    <w:rsid w:val="00492C1F"/>
    <w:rsid w:val="00496AAC"/>
    <w:rsid w:val="004975ED"/>
    <w:rsid w:val="004A16B3"/>
    <w:rsid w:val="004A19F5"/>
    <w:rsid w:val="004A38B7"/>
    <w:rsid w:val="004A44A7"/>
    <w:rsid w:val="004A4CD8"/>
    <w:rsid w:val="004A5B39"/>
    <w:rsid w:val="004A663D"/>
    <w:rsid w:val="004B0B18"/>
    <w:rsid w:val="004B21D8"/>
    <w:rsid w:val="004B439B"/>
    <w:rsid w:val="004B4C46"/>
    <w:rsid w:val="004B6144"/>
    <w:rsid w:val="004B79B8"/>
    <w:rsid w:val="004C1EC7"/>
    <w:rsid w:val="004C76BD"/>
    <w:rsid w:val="004C76C0"/>
    <w:rsid w:val="004D0030"/>
    <w:rsid w:val="004D17DB"/>
    <w:rsid w:val="004D2A37"/>
    <w:rsid w:val="004D3A94"/>
    <w:rsid w:val="004D584D"/>
    <w:rsid w:val="004D5F80"/>
    <w:rsid w:val="004D72A1"/>
    <w:rsid w:val="004E02ED"/>
    <w:rsid w:val="004E0CA0"/>
    <w:rsid w:val="004E0F91"/>
    <w:rsid w:val="004E25DA"/>
    <w:rsid w:val="004E2AE3"/>
    <w:rsid w:val="004E544A"/>
    <w:rsid w:val="004E56D8"/>
    <w:rsid w:val="004E66B8"/>
    <w:rsid w:val="004E6B40"/>
    <w:rsid w:val="004F0550"/>
    <w:rsid w:val="004F0DFB"/>
    <w:rsid w:val="004F15F8"/>
    <w:rsid w:val="004F660F"/>
    <w:rsid w:val="005020EE"/>
    <w:rsid w:val="00505251"/>
    <w:rsid w:val="0050630A"/>
    <w:rsid w:val="005065C8"/>
    <w:rsid w:val="0050699F"/>
    <w:rsid w:val="005101A9"/>
    <w:rsid w:val="005108F3"/>
    <w:rsid w:val="00511D5B"/>
    <w:rsid w:val="0051262E"/>
    <w:rsid w:val="005140A5"/>
    <w:rsid w:val="00514637"/>
    <w:rsid w:val="00514C92"/>
    <w:rsid w:val="00516B23"/>
    <w:rsid w:val="00521BC6"/>
    <w:rsid w:val="00521C60"/>
    <w:rsid w:val="005225CB"/>
    <w:rsid w:val="005233D5"/>
    <w:rsid w:val="00523A08"/>
    <w:rsid w:val="00525648"/>
    <w:rsid w:val="00530396"/>
    <w:rsid w:val="00530D9E"/>
    <w:rsid w:val="0053114E"/>
    <w:rsid w:val="00532982"/>
    <w:rsid w:val="005331B4"/>
    <w:rsid w:val="005334CF"/>
    <w:rsid w:val="0053369D"/>
    <w:rsid w:val="00533BBC"/>
    <w:rsid w:val="0053567A"/>
    <w:rsid w:val="00535B1C"/>
    <w:rsid w:val="00536EC9"/>
    <w:rsid w:val="005373EC"/>
    <w:rsid w:val="00537408"/>
    <w:rsid w:val="00541451"/>
    <w:rsid w:val="005416E3"/>
    <w:rsid w:val="00541E06"/>
    <w:rsid w:val="00542D85"/>
    <w:rsid w:val="00543336"/>
    <w:rsid w:val="00546EAB"/>
    <w:rsid w:val="00552503"/>
    <w:rsid w:val="005547E8"/>
    <w:rsid w:val="0055553C"/>
    <w:rsid w:val="00556720"/>
    <w:rsid w:val="0055792D"/>
    <w:rsid w:val="005610B7"/>
    <w:rsid w:val="00562E60"/>
    <w:rsid w:val="00563250"/>
    <w:rsid w:val="00563563"/>
    <w:rsid w:val="005639C0"/>
    <w:rsid w:val="00563F78"/>
    <w:rsid w:val="005664D2"/>
    <w:rsid w:val="005673B4"/>
    <w:rsid w:val="005705EB"/>
    <w:rsid w:val="005709A6"/>
    <w:rsid w:val="00571965"/>
    <w:rsid w:val="00571AFB"/>
    <w:rsid w:val="0057307B"/>
    <w:rsid w:val="00573919"/>
    <w:rsid w:val="005778C1"/>
    <w:rsid w:val="00581CD6"/>
    <w:rsid w:val="005821D6"/>
    <w:rsid w:val="005829BE"/>
    <w:rsid w:val="00584854"/>
    <w:rsid w:val="005866E3"/>
    <w:rsid w:val="00591241"/>
    <w:rsid w:val="0059230B"/>
    <w:rsid w:val="005940DC"/>
    <w:rsid w:val="005948C8"/>
    <w:rsid w:val="00595F16"/>
    <w:rsid w:val="00596C6E"/>
    <w:rsid w:val="005A01A8"/>
    <w:rsid w:val="005A1597"/>
    <w:rsid w:val="005A1DAF"/>
    <w:rsid w:val="005A4D8E"/>
    <w:rsid w:val="005A5394"/>
    <w:rsid w:val="005A60E1"/>
    <w:rsid w:val="005A69BA"/>
    <w:rsid w:val="005A7272"/>
    <w:rsid w:val="005B2DCC"/>
    <w:rsid w:val="005B4AB6"/>
    <w:rsid w:val="005C09EF"/>
    <w:rsid w:val="005C13AB"/>
    <w:rsid w:val="005C2C64"/>
    <w:rsid w:val="005C43A2"/>
    <w:rsid w:val="005C49C8"/>
    <w:rsid w:val="005C7D1E"/>
    <w:rsid w:val="005D099D"/>
    <w:rsid w:val="005D0A0D"/>
    <w:rsid w:val="005D266D"/>
    <w:rsid w:val="005D32A9"/>
    <w:rsid w:val="005D343B"/>
    <w:rsid w:val="005D5A46"/>
    <w:rsid w:val="005D73EC"/>
    <w:rsid w:val="005E0915"/>
    <w:rsid w:val="005E146E"/>
    <w:rsid w:val="005E3E31"/>
    <w:rsid w:val="005E5C3C"/>
    <w:rsid w:val="005F1D6B"/>
    <w:rsid w:val="005F2F1C"/>
    <w:rsid w:val="005F3016"/>
    <w:rsid w:val="005F3243"/>
    <w:rsid w:val="006009F2"/>
    <w:rsid w:val="00600D93"/>
    <w:rsid w:val="006018AD"/>
    <w:rsid w:val="00602C20"/>
    <w:rsid w:val="00612565"/>
    <w:rsid w:val="00613426"/>
    <w:rsid w:val="006137E4"/>
    <w:rsid w:val="00613CB8"/>
    <w:rsid w:val="0061470E"/>
    <w:rsid w:val="006148CB"/>
    <w:rsid w:val="00616DF5"/>
    <w:rsid w:val="0061722F"/>
    <w:rsid w:val="006201B6"/>
    <w:rsid w:val="00622673"/>
    <w:rsid w:val="00622DF4"/>
    <w:rsid w:val="00625A44"/>
    <w:rsid w:val="00630BA2"/>
    <w:rsid w:val="0063642E"/>
    <w:rsid w:val="00636605"/>
    <w:rsid w:val="00637E14"/>
    <w:rsid w:val="006446CF"/>
    <w:rsid w:val="00644E89"/>
    <w:rsid w:val="00644FC9"/>
    <w:rsid w:val="00645F20"/>
    <w:rsid w:val="00646DA4"/>
    <w:rsid w:val="00647760"/>
    <w:rsid w:val="0064794F"/>
    <w:rsid w:val="00647A0C"/>
    <w:rsid w:val="00650FC6"/>
    <w:rsid w:val="00651110"/>
    <w:rsid w:val="0065201F"/>
    <w:rsid w:val="006520DB"/>
    <w:rsid w:val="00652123"/>
    <w:rsid w:val="00654C28"/>
    <w:rsid w:val="00656264"/>
    <w:rsid w:val="00656F13"/>
    <w:rsid w:val="006574C1"/>
    <w:rsid w:val="0065784C"/>
    <w:rsid w:val="0066035C"/>
    <w:rsid w:val="006622B1"/>
    <w:rsid w:val="006625A5"/>
    <w:rsid w:val="0066332F"/>
    <w:rsid w:val="006712A6"/>
    <w:rsid w:val="00673F60"/>
    <w:rsid w:val="00674235"/>
    <w:rsid w:val="00674273"/>
    <w:rsid w:val="006774D4"/>
    <w:rsid w:val="00677B3A"/>
    <w:rsid w:val="0068020C"/>
    <w:rsid w:val="00680240"/>
    <w:rsid w:val="00680635"/>
    <w:rsid w:val="00681523"/>
    <w:rsid w:val="00683FAA"/>
    <w:rsid w:val="00684A40"/>
    <w:rsid w:val="00686F4E"/>
    <w:rsid w:val="00687B60"/>
    <w:rsid w:val="00687F41"/>
    <w:rsid w:val="00694030"/>
    <w:rsid w:val="00694244"/>
    <w:rsid w:val="00695910"/>
    <w:rsid w:val="006A04F5"/>
    <w:rsid w:val="006A0E46"/>
    <w:rsid w:val="006A1164"/>
    <w:rsid w:val="006A31FC"/>
    <w:rsid w:val="006A5956"/>
    <w:rsid w:val="006A68B9"/>
    <w:rsid w:val="006B2588"/>
    <w:rsid w:val="006B390E"/>
    <w:rsid w:val="006B62DA"/>
    <w:rsid w:val="006B6319"/>
    <w:rsid w:val="006B65B2"/>
    <w:rsid w:val="006B6AC0"/>
    <w:rsid w:val="006B7452"/>
    <w:rsid w:val="006C16B4"/>
    <w:rsid w:val="006C70A2"/>
    <w:rsid w:val="006C7234"/>
    <w:rsid w:val="006C7514"/>
    <w:rsid w:val="006D00C6"/>
    <w:rsid w:val="006D1A2B"/>
    <w:rsid w:val="006D2D58"/>
    <w:rsid w:val="006D3B9B"/>
    <w:rsid w:val="006E02D3"/>
    <w:rsid w:val="006E11D6"/>
    <w:rsid w:val="006E1DA5"/>
    <w:rsid w:val="006E22CC"/>
    <w:rsid w:val="006E28A2"/>
    <w:rsid w:val="006E3F17"/>
    <w:rsid w:val="006E4B70"/>
    <w:rsid w:val="006E4FFB"/>
    <w:rsid w:val="006E6690"/>
    <w:rsid w:val="006F008B"/>
    <w:rsid w:val="006F0A22"/>
    <w:rsid w:val="006F1506"/>
    <w:rsid w:val="006F4548"/>
    <w:rsid w:val="006F61A2"/>
    <w:rsid w:val="007000EC"/>
    <w:rsid w:val="00701579"/>
    <w:rsid w:val="0070164B"/>
    <w:rsid w:val="00701B23"/>
    <w:rsid w:val="0070255A"/>
    <w:rsid w:val="007033CE"/>
    <w:rsid w:val="007043A0"/>
    <w:rsid w:val="0070595C"/>
    <w:rsid w:val="00707CA7"/>
    <w:rsid w:val="00707CAD"/>
    <w:rsid w:val="00707CB2"/>
    <w:rsid w:val="0071040C"/>
    <w:rsid w:val="00711821"/>
    <w:rsid w:val="0071272E"/>
    <w:rsid w:val="007161DA"/>
    <w:rsid w:val="00717D19"/>
    <w:rsid w:val="00721987"/>
    <w:rsid w:val="007235FA"/>
    <w:rsid w:val="007236E3"/>
    <w:rsid w:val="00723D15"/>
    <w:rsid w:val="00723DBA"/>
    <w:rsid w:val="007250CD"/>
    <w:rsid w:val="007277AA"/>
    <w:rsid w:val="00727DD2"/>
    <w:rsid w:val="00730D12"/>
    <w:rsid w:val="0073165A"/>
    <w:rsid w:val="00734A2C"/>
    <w:rsid w:val="00736085"/>
    <w:rsid w:val="0074058C"/>
    <w:rsid w:val="007430EC"/>
    <w:rsid w:val="00743D0D"/>
    <w:rsid w:val="00745C93"/>
    <w:rsid w:val="00746921"/>
    <w:rsid w:val="0074740D"/>
    <w:rsid w:val="007532D2"/>
    <w:rsid w:val="00754A99"/>
    <w:rsid w:val="0075702D"/>
    <w:rsid w:val="00757E89"/>
    <w:rsid w:val="00764DD9"/>
    <w:rsid w:val="00765115"/>
    <w:rsid w:val="00767404"/>
    <w:rsid w:val="00767831"/>
    <w:rsid w:val="00767ABC"/>
    <w:rsid w:val="00770132"/>
    <w:rsid w:val="00770358"/>
    <w:rsid w:val="00770CB1"/>
    <w:rsid w:val="00771635"/>
    <w:rsid w:val="00771894"/>
    <w:rsid w:val="0077264D"/>
    <w:rsid w:val="00775F61"/>
    <w:rsid w:val="00776582"/>
    <w:rsid w:val="00777887"/>
    <w:rsid w:val="00781C3A"/>
    <w:rsid w:val="00782173"/>
    <w:rsid w:val="007849CA"/>
    <w:rsid w:val="00786E02"/>
    <w:rsid w:val="007917B7"/>
    <w:rsid w:val="007918BB"/>
    <w:rsid w:val="007920C2"/>
    <w:rsid w:val="00794638"/>
    <w:rsid w:val="00794A8F"/>
    <w:rsid w:val="007A0116"/>
    <w:rsid w:val="007A1D0C"/>
    <w:rsid w:val="007A3421"/>
    <w:rsid w:val="007A4FE6"/>
    <w:rsid w:val="007A5168"/>
    <w:rsid w:val="007A620C"/>
    <w:rsid w:val="007A6916"/>
    <w:rsid w:val="007B0667"/>
    <w:rsid w:val="007B06FF"/>
    <w:rsid w:val="007B09DD"/>
    <w:rsid w:val="007B2556"/>
    <w:rsid w:val="007B2900"/>
    <w:rsid w:val="007B53A1"/>
    <w:rsid w:val="007B7032"/>
    <w:rsid w:val="007C0FCF"/>
    <w:rsid w:val="007C34AB"/>
    <w:rsid w:val="007C3FDC"/>
    <w:rsid w:val="007C52BD"/>
    <w:rsid w:val="007D0A3D"/>
    <w:rsid w:val="007D0C07"/>
    <w:rsid w:val="007D4812"/>
    <w:rsid w:val="007D4EC9"/>
    <w:rsid w:val="007D5CD3"/>
    <w:rsid w:val="007E0429"/>
    <w:rsid w:val="007E1D3D"/>
    <w:rsid w:val="007E2555"/>
    <w:rsid w:val="007E3D4C"/>
    <w:rsid w:val="007E3D82"/>
    <w:rsid w:val="007E40E2"/>
    <w:rsid w:val="007E434A"/>
    <w:rsid w:val="007E4D2B"/>
    <w:rsid w:val="007E5E87"/>
    <w:rsid w:val="007E70C7"/>
    <w:rsid w:val="007F016A"/>
    <w:rsid w:val="007F067B"/>
    <w:rsid w:val="007F1EE6"/>
    <w:rsid w:val="007F26EE"/>
    <w:rsid w:val="007F3845"/>
    <w:rsid w:val="007F41BE"/>
    <w:rsid w:val="007F47BA"/>
    <w:rsid w:val="007F6ED8"/>
    <w:rsid w:val="007F74CA"/>
    <w:rsid w:val="00802C4B"/>
    <w:rsid w:val="00805C91"/>
    <w:rsid w:val="00806C04"/>
    <w:rsid w:val="00806C12"/>
    <w:rsid w:val="00806F40"/>
    <w:rsid w:val="00806FDD"/>
    <w:rsid w:val="0080721F"/>
    <w:rsid w:val="00807A75"/>
    <w:rsid w:val="00807C40"/>
    <w:rsid w:val="00810A0E"/>
    <w:rsid w:val="0081273B"/>
    <w:rsid w:val="0081397E"/>
    <w:rsid w:val="00816203"/>
    <w:rsid w:val="00816609"/>
    <w:rsid w:val="00817644"/>
    <w:rsid w:val="00820843"/>
    <w:rsid w:val="00820A9E"/>
    <w:rsid w:val="008214AE"/>
    <w:rsid w:val="00823C51"/>
    <w:rsid w:val="00824746"/>
    <w:rsid w:val="008247DF"/>
    <w:rsid w:val="00824D9F"/>
    <w:rsid w:val="00825DF7"/>
    <w:rsid w:val="00826834"/>
    <w:rsid w:val="00827099"/>
    <w:rsid w:val="008300D6"/>
    <w:rsid w:val="008302A7"/>
    <w:rsid w:val="00832F12"/>
    <w:rsid w:val="00836886"/>
    <w:rsid w:val="00836A8E"/>
    <w:rsid w:val="00840538"/>
    <w:rsid w:val="00840C5B"/>
    <w:rsid w:val="00842F80"/>
    <w:rsid w:val="008432C2"/>
    <w:rsid w:val="008449B0"/>
    <w:rsid w:val="00846D29"/>
    <w:rsid w:val="008512E1"/>
    <w:rsid w:val="00855FFA"/>
    <w:rsid w:val="00856E1E"/>
    <w:rsid w:val="00860D6B"/>
    <w:rsid w:val="00860F26"/>
    <w:rsid w:val="00864D63"/>
    <w:rsid w:val="00870828"/>
    <w:rsid w:val="008723C3"/>
    <w:rsid w:val="00872844"/>
    <w:rsid w:val="00874C80"/>
    <w:rsid w:val="008816D5"/>
    <w:rsid w:val="008824FD"/>
    <w:rsid w:val="00883C94"/>
    <w:rsid w:val="0088402C"/>
    <w:rsid w:val="0088665A"/>
    <w:rsid w:val="00886B8C"/>
    <w:rsid w:val="00890791"/>
    <w:rsid w:val="00890B1A"/>
    <w:rsid w:val="00891F37"/>
    <w:rsid w:val="00892D3E"/>
    <w:rsid w:val="00894B4E"/>
    <w:rsid w:val="0089512F"/>
    <w:rsid w:val="0089645C"/>
    <w:rsid w:val="008A13D6"/>
    <w:rsid w:val="008A156F"/>
    <w:rsid w:val="008A1D2C"/>
    <w:rsid w:val="008A71F4"/>
    <w:rsid w:val="008B03E8"/>
    <w:rsid w:val="008B0C9B"/>
    <w:rsid w:val="008B27FE"/>
    <w:rsid w:val="008B39ED"/>
    <w:rsid w:val="008B3A27"/>
    <w:rsid w:val="008B40EA"/>
    <w:rsid w:val="008B43AF"/>
    <w:rsid w:val="008B6228"/>
    <w:rsid w:val="008B6416"/>
    <w:rsid w:val="008B6518"/>
    <w:rsid w:val="008B6EA4"/>
    <w:rsid w:val="008B7F32"/>
    <w:rsid w:val="008C00D1"/>
    <w:rsid w:val="008C09EA"/>
    <w:rsid w:val="008C1D7A"/>
    <w:rsid w:val="008C241C"/>
    <w:rsid w:val="008C3594"/>
    <w:rsid w:val="008C3F54"/>
    <w:rsid w:val="008C6F27"/>
    <w:rsid w:val="008D0A8C"/>
    <w:rsid w:val="008D1AD4"/>
    <w:rsid w:val="008D2FD2"/>
    <w:rsid w:val="008D3F24"/>
    <w:rsid w:val="008D3FE3"/>
    <w:rsid w:val="008D4655"/>
    <w:rsid w:val="008D55A3"/>
    <w:rsid w:val="008D6EF2"/>
    <w:rsid w:val="008D70B3"/>
    <w:rsid w:val="008E084E"/>
    <w:rsid w:val="008E35AA"/>
    <w:rsid w:val="008E3CCC"/>
    <w:rsid w:val="008E5634"/>
    <w:rsid w:val="008F0A95"/>
    <w:rsid w:val="008F1C5D"/>
    <w:rsid w:val="008F210A"/>
    <w:rsid w:val="008F2260"/>
    <w:rsid w:val="008F2AFA"/>
    <w:rsid w:val="008F389B"/>
    <w:rsid w:val="008F44FA"/>
    <w:rsid w:val="008F65D6"/>
    <w:rsid w:val="008F6745"/>
    <w:rsid w:val="00900757"/>
    <w:rsid w:val="009032E0"/>
    <w:rsid w:val="00903A9D"/>
    <w:rsid w:val="00904157"/>
    <w:rsid w:val="00904BEB"/>
    <w:rsid w:val="00905123"/>
    <w:rsid w:val="00905440"/>
    <w:rsid w:val="00905838"/>
    <w:rsid w:val="00905D41"/>
    <w:rsid w:val="00906541"/>
    <w:rsid w:val="0090735C"/>
    <w:rsid w:val="00915C62"/>
    <w:rsid w:val="009211C0"/>
    <w:rsid w:val="00927624"/>
    <w:rsid w:val="00927F0F"/>
    <w:rsid w:val="009324E9"/>
    <w:rsid w:val="00935B66"/>
    <w:rsid w:val="00935E4C"/>
    <w:rsid w:val="00935FEE"/>
    <w:rsid w:val="0093634A"/>
    <w:rsid w:val="009418E2"/>
    <w:rsid w:val="00941CC5"/>
    <w:rsid w:val="00941DCF"/>
    <w:rsid w:val="00942436"/>
    <w:rsid w:val="0094343E"/>
    <w:rsid w:val="009434F4"/>
    <w:rsid w:val="00944427"/>
    <w:rsid w:val="009448F4"/>
    <w:rsid w:val="0094728A"/>
    <w:rsid w:val="00952BA6"/>
    <w:rsid w:val="009541B7"/>
    <w:rsid w:val="00955FD5"/>
    <w:rsid w:val="00956A1D"/>
    <w:rsid w:val="00964176"/>
    <w:rsid w:val="00965FD5"/>
    <w:rsid w:val="00967A20"/>
    <w:rsid w:val="0097022B"/>
    <w:rsid w:val="0097210A"/>
    <w:rsid w:val="0097235D"/>
    <w:rsid w:val="00976331"/>
    <w:rsid w:val="00982085"/>
    <w:rsid w:val="009827F7"/>
    <w:rsid w:val="009853FC"/>
    <w:rsid w:val="00985509"/>
    <w:rsid w:val="009859DC"/>
    <w:rsid w:val="009926B1"/>
    <w:rsid w:val="00992F71"/>
    <w:rsid w:val="00992FD0"/>
    <w:rsid w:val="00993224"/>
    <w:rsid w:val="00993778"/>
    <w:rsid w:val="00993816"/>
    <w:rsid w:val="00994D8A"/>
    <w:rsid w:val="009953FB"/>
    <w:rsid w:val="00995A77"/>
    <w:rsid w:val="009979B6"/>
    <w:rsid w:val="009A037F"/>
    <w:rsid w:val="009A051F"/>
    <w:rsid w:val="009A1CF9"/>
    <w:rsid w:val="009A2574"/>
    <w:rsid w:val="009A3192"/>
    <w:rsid w:val="009A3BBB"/>
    <w:rsid w:val="009A5B0A"/>
    <w:rsid w:val="009A5BA4"/>
    <w:rsid w:val="009B2B39"/>
    <w:rsid w:val="009B736D"/>
    <w:rsid w:val="009C300E"/>
    <w:rsid w:val="009C320C"/>
    <w:rsid w:val="009C3742"/>
    <w:rsid w:val="009C4396"/>
    <w:rsid w:val="009D1BEE"/>
    <w:rsid w:val="009D294D"/>
    <w:rsid w:val="009D49B6"/>
    <w:rsid w:val="009D6A0F"/>
    <w:rsid w:val="009D6AAE"/>
    <w:rsid w:val="009E129E"/>
    <w:rsid w:val="009E12B6"/>
    <w:rsid w:val="009E1969"/>
    <w:rsid w:val="009E27DE"/>
    <w:rsid w:val="009E2E26"/>
    <w:rsid w:val="009E3142"/>
    <w:rsid w:val="009E32FD"/>
    <w:rsid w:val="009E373A"/>
    <w:rsid w:val="009E3B42"/>
    <w:rsid w:val="009E3D20"/>
    <w:rsid w:val="009E47C0"/>
    <w:rsid w:val="009E495F"/>
    <w:rsid w:val="009E5024"/>
    <w:rsid w:val="009E6061"/>
    <w:rsid w:val="009E66F9"/>
    <w:rsid w:val="009E7993"/>
    <w:rsid w:val="009F1CC1"/>
    <w:rsid w:val="009F2F10"/>
    <w:rsid w:val="009F33EC"/>
    <w:rsid w:val="009F4FD7"/>
    <w:rsid w:val="009F7075"/>
    <w:rsid w:val="00A004BF"/>
    <w:rsid w:val="00A0276C"/>
    <w:rsid w:val="00A030DF"/>
    <w:rsid w:val="00A1237F"/>
    <w:rsid w:val="00A12FF4"/>
    <w:rsid w:val="00A1479E"/>
    <w:rsid w:val="00A16EED"/>
    <w:rsid w:val="00A20128"/>
    <w:rsid w:val="00A20AC0"/>
    <w:rsid w:val="00A216A8"/>
    <w:rsid w:val="00A238C8"/>
    <w:rsid w:val="00A26F72"/>
    <w:rsid w:val="00A30C27"/>
    <w:rsid w:val="00A30F78"/>
    <w:rsid w:val="00A3308C"/>
    <w:rsid w:val="00A3367A"/>
    <w:rsid w:val="00A35C37"/>
    <w:rsid w:val="00A43FCA"/>
    <w:rsid w:val="00A45A96"/>
    <w:rsid w:val="00A46F51"/>
    <w:rsid w:val="00A472C1"/>
    <w:rsid w:val="00A535A6"/>
    <w:rsid w:val="00A54C2B"/>
    <w:rsid w:val="00A558E7"/>
    <w:rsid w:val="00A56F2F"/>
    <w:rsid w:val="00A6000D"/>
    <w:rsid w:val="00A6017C"/>
    <w:rsid w:val="00A60C2A"/>
    <w:rsid w:val="00A62429"/>
    <w:rsid w:val="00A632E4"/>
    <w:rsid w:val="00A63988"/>
    <w:rsid w:val="00A640A1"/>
    <w:rsid w:val="00A645A0"/>
    <w:rsid w:val="00A72D48"/>
    <w:rsid w:val="00A73E51"/>
    <w:rsid w:val="00A75E02"/>
    <w:rsid w:val="00A76511"/>
    <w:rsid w:val="00A8114A"/>
    <w:rsid w:val="00A8263F"/>
    <w:rsid w:val="00A8307A"/>
    <w:rsid w:val="00A85FF3"/>
    <w:rsid w:val="00A9166E"/>
    <w:rsid w:val="00A92696"/>
    <w:rsid w:val="00A93A73"/>
    <w:rsid w:val="00A94F55"/>
    <w:rsid w:val="00A963C4"/>
    <w:rsid w:val="00A9661C"/>
    <w:rsid w:val="00AA0E52"/>
    <w:rsid w:val="00AA1099"/>
    <w:rsid w:val="00AA1E3B"/>
    <w:rsid w:val="00AA25A2"/>
    <w:rsid w:val="00AA2E74"/>
    <w:rsid w:val="00AA4DE4"/>
    <w:rsid w:val="00AA5135"/>
    <w:rsid w:val="00AA616B"/>
    <w:rsid w:val="00AB22E2"/>
    <w:rsid w:val="00AB2906"/>
    <w:rsid w:val="00AB3510"/>
    <w:rsid w:val="00AB440F"/>
    <w:rsid w:val="00AB4518"/>
    <w:rsid w:val="00AB4D04"/>
    <w:rsid w:val="00AB54E5"/>
    <w:rsid w:val="00AB5796"/>
    <w:rsid w:val="00AC04D8"/>
    <w:rsid w:val="00AC1DD1"/>
    <w:rsid w:val="00AC38CA"/>
    <w:rsid w:val="00AC3BF9"/>
    <w:rsid w:val="00AC4F46"/>
    <w:rsid w:val="00AC5E00"/>
    <w:rsid w:val="00AC5EED"/>
    <w:rsid w:val="00AC617F"/>
    <w:rsid w:val="00AD0D4F"/>
    <w:rsid w:val="00AD12B0"/>
    <w:rsid w:val="00AD2F52"/>
    <w:rsid w:val="00AD3ADF"/>
    <w:rsid w:val="00AD530B"/>
    <w:rsid w:val="00AD77DA"/>
    <w:rsid w:val="00AD7D88"/>
    <w:rsid w:val="00AD7F71"/>
    <w:rsid w:val="00AE1FFD"/>
    <w:rsid w:val="00AE40AC"/>
    <w:rsid w:val="00AE56B9"/>
    <w:rsid w:val="00AE6C87"/>
    <w:rsid w:val="00AE6FC2"/>
    <w:rsid w:val="00AE714D"/>
    <w:rsid w:val="00AF024B"/>
    <w:rsid w:val="00AF109F"/>
    <w:rsid w:val="00AF1C10"/>
    <w:rsid w:val="00AF20A1"/>
    <w:rsid w:val="00AF3AC3"/>
    <w:rsid w:val="00AF3CE5"/>
    <w:rsid w:val="00AF6D30"/>
    <w:rsid w:val="00AF77B0"/>
    <w:rsid w:val="00B01422"/>
    <w:rsid w:val="00B035E1"/>
    <w:rsid w:val="00B03D32"/>
    <w:rsid w:val="00B058FF"/>
    <w:rsid w:val="00B079AD"/>
    <w:rsid w:val="00B07B51"/>
    <w:rsid w:val="00B10B6E"/>
    <w:rsid w:val="00B13781"/>
    <w:rsid w:val="00B1387B"/>
    <w:rsid w:val="00B15CCF"/>
    <w:rsid w:val="00B16A28"/>
    <w:rsid w:val="00B212F7"/>
    <w:rsid w:val="00B25D74"/>
    <w:rsid w:val="00B2687E"/>
    <w:rsid w:val="00B27E2C"/>
    <w:rsid w:val="00B307D7"/>
    <w:rsid w:val="00B30E88"/>
    <w:rsid w:val="00B321E7"/>
    <w:rsid w:val="00B329E4"/>
    <w:rsid w:val="00B336A1"/>
    <w:rsid w:val="00B33A90"/>
    <w:rsid w:val="00B35701"/>
    <w:rsid w:val="00B35F9B"/>
    <w:rsid w:val="00B364ED"/>
    <w:rsid w:val="00B4011C"/>
    <w:rsid w:val="00B40842"/>
    <w:rsid w:val="00B424C9"/>
    <w:rsid w:val="00B445B1"/>
    <w:rsid w:val="00B47214"/>
    <w:rsid w:val="00B5083A"/>
    <w:rsid w:val="00B51783"/>
    <w:rsid w:val="00B52CAA"/>
    <w:rsid w:val="00B55124"/>
    <w:rsid w:val="00B56C03"/>
    <w:rsid w:val="00B573A3"/>
    <w:rsid w:val="00B57779"/>
    <w:rsid w:val="00B57B9E"/>
    <w:rsid w:val="00B60C95"/>
    <w:rsid w:val="00B61E46"/>
    <w:rsid w:val="00B61FA0"/>
    <w:rsid w:val="00B62F5C"/>
    <w:rsid w:val="00B63ED7"/>
    <w:rsid w:val="00B654F2"/>
    <w:rsid w:val="00B65879"/>
    <w:rsid w:val="00B7053D"/>
    <w:rsid w:val="00B70BCB"/>
    <w:rsid w:val="00B72550"/>
    <w:rsid w:val="00B75D16"/>
    <w:rsid w:val="00B80FBD"/>
    <w:rsid w:val="00B81195"/>
    <w:rsid w:val="00B81376"/>
    <w:rsid w:val="00B8394B"/>
    <w:rsid w:val="00B8649F"/>
    <w:rsid w:val="00B868BB"/>
    <w:rsid w:val="00B90E3C"/>
    <w:rsid w:val="00B914B2"/>
    <w:rsid w:val="00B922D2"/>
    <w:rsid w:val="00B926AF"/>
    <w:rsid w:val="00B93531"/>
    <w:rsid w:val="00B9580B"/>
    <w:rsid w:val="00B95C60"/>
    <w:rsid w:val="00B95EBB"/>
    <w:rsid w:val="00B968BD"/>
    <w:rsid w:val="00B96B48"/>
    <w:rsid w:val="00B96F65"/>
    <w:rsid w:val="00B97C92"/>
    <w:rsid w:val="00BA3510"/>
    <w:rsid w:val="00BA39D6"/>
    <w:rsid w:val="00BA4869"/>
    <w:rsid w:val="00BA663D"/>
    <w:rsid w:val="00BA7596"/>
    <w:rsid w:val="00BB25A8"/>
    <w:rsid w:val="00BB28D3"/>
    <w:rsid w:val="00BB3B3A"/>
    <w:rsid w:val="00BB526F"/>
    <w:rsid w:val="00BB5C7D"/>
    <w:rsid w:val="00BC2E1B"/>
    <w:rsid w:val="00BC3D4E"/>
    <w:rsid w:val="00BC427D"/>
    <w:rsid w:val="00BC487A"/>
    <w:rsid w:val="00BC5CC9"/>
    <w:rsid w:val="00BD0146"/>
    <w:rsid w:val="00BD1060"/>
    <w:rsid w:val="00BD2885"/>
    <w:rsid w:val="00BD4BBD"/>
    <w:rsid w:val="00BD4D43"/>
    <w:rsid w:val="00BD69C0"/>
    <w:rsid w:val="00BE001E"/>
    <w:rsid w:val="00BE0AFF"/>
    <w:rsid w:val="00BE0BA4"/>
    <w:rsid w:val="00BE0D9C"/>
    <w:rsid w:val="00BE13A1"/>
    <w:rsid w:val="00BE2BF1"/>
    <w:rsid w:val="00BE3B17"/>
    <w:rsid w:val="00BE4FFE"/>
    <w:rsid w:val="00BE6C9C"/>
    <w:rsid w:val="00BE73C8"/>
    <w:rsid w:val="00BF2816"/>
    <w:rsid w:val="00BF2C42"/>
    <w:rsid w:val="00BF2D4D"/>
    <w:rsid w:val="00BF5B27"/>
    <w:rsid w:val="00BF6BE0"/>
    <w:rsid w:val="00C0002A"/>
    <w:rsid w:val="00C00590"/>
    <w:rsid w:val="00C028F9"/>
    <w:rsid w:val="00C055D6"/>
    <w:rsid w:val="00C06C7B"/>
    <w:rsid w:val="00C06DE5"/>
    <w:rsid w:val="00C07601"/>
    <w:rsid w:val="00C07A7C"/>
    <w:rsid w:val="00C1221B"/>
    <w:rsid w:val="00C1225E"/>
    <w:rsid w:val="00C15088"/>
    <w:rsid w:val="00C155A5"/>
    <w:rsid w:val="00C16414"/>
    <w:rsid w:val="00C16B33"/>
    <w:rsid w:val="00C17AF6"/>
    <w:rsid w:val="00C2207E"/>
    <w:rsid w:val="00C2214F"/>
    <w:rsid w:val="00C23307"/>
    <w:rsid w:val="00C24553"/>
    <w:rsid w:val="00C249DD"/>
    <w:rsid w:val="00C253D5"/>
    <w:rsid w:val="00C254C8"/>
    <w:rsid w:val="00C26B25"/>
    <w:rsid w:val="00C308EE"/>
    <w:rsid w:val="00C3328B"/>
    <w:rsid w:val="00C364EA"/>
    <w:rsid w:val="00C3729C"/>
    <w:rsid w:val="00C3760E"/>
    <w:rsid w:val="00C4018E"/>
    <w:rsid w:val="00C408F0"/>
    <w:rsid w:val="00C40A21"/>
    <w:rsid w:val="00C40A6B"/>
    <w:rsid w:val="00C40FAF"/>
    <w:rsid w:val="00C41057"/>
    <w:rsid w:val="00C42F4F"/>
    <w:rsid w:val="00C46A8F"/>
    <w:rsid w:val="00C51CBD"/>
    <w:rsid w:val="00C5272F"/>
    <w:rsid w:val="00C54549"/>
    <w:rsid w:val="00C54C48"/>
    <w:rsid w:val="00C56934"/>
    <w:rsid w:val="00C57D5A"/>
    <w:rsid w:val="00C60323"/>
    <w:rsid w:val="00C60C18"/>
    <w:rsid w:val="00C63846"/>
    <w:rsid w:val="00C646CB"/>
    <w:rsid w:val="00C64D2F"/>
    <w:rsid w:val="00C65A5A"/>
    <w:rsid w:val="00C72709"/>
    <w:rsid w:val="00C74CB1"/>
    <w:rsid w:val="00C7527D"/>
    <w:rsid w:val="00C76610"/>
    <w:rsid w:val="00C770FE"/>
    <w:rsid w:val="00C779E4"/>
    <w:rsid w:val="00C810AA"/>
    <w:rsid w:val="00C8143B"/>
    <w:rsid w:val="00C8222C"/>
    <w:rsid w:val="00C824DD"/>
    <w:rsid w:val="00C83727"/>
    <w:rsid w:val="00C83C4C"/>
    <w:rsid w:val="00C83E54"/>
    <w:rsid w:val="00C84D51"/>
    <w:rsid w:val="00C85FA1"/>
    <w:rsid w:val="00C86565"/>
    <w:rsid w:val="00C86F26"/>
    <w:rsid w:val="00C876D1"/>
    <w:rsid w:val="00C918D6"/>
    <w:rsid w:val="00C92A33"/>
    <w:rsid w:val="00C9341A"/>
    <w:rsid w:val="00C94E4C"/>
    <w:rsid w:val="00C95BBC"/>
    <w:rsid w:val="00C9667A"/>
    <w:rsid w:val="00C96AA8"/>
    <w:rsid w:val="00C96EEA"/>
    <w:rsid w:val="00CA187D"/>
    <w:rsid w:val="00CA411E"/>
    <w:rsid w:val="00CA6363"/>
    <w:rsid w:val="00CA6934"/>
    <w:rsid w:val="00CB1197"/>
    <w:rsid w:val="00CB3E24"/>
    <w:rsid w:val="00CB7036"/>
    <w:rsid w:val="00CC0DCC"/>
    <w:rsid w:val="00CC1D7E"/>
    <w:rsid w:val="00CC1DBC"/>
    <w:rsid w:val="00CC78D9"/>
    <w:rsid w:val="00CC7B4B"/>
    <w:rsid w:val="00CD005D"/>
    <w:rsid w:val="00CD060A"/>
    <w:rsid w:val="00CD2557"/>
    <w:rsid w:val="00CD3E92"/>
    <w:rsid w:val="00CD4AC4"/>
    <w:rsid w:val="00CD5433"/>
    <w:rsid w:val="00CD73EA"/>
    <w:rsid w:val="00CE11BC"/>
    <w:rsid w:val="00CE3721"/>
    <w:rsid w:val="00CE51C2"/>
    <w:rsid w:val="00CE5B30"/>
    <w:rsid w:val="00CE5C07"/>
    <w:rsid w:val="00CE6B72"/>
    <w:rsid w:val="00CE7400"/>
    <w:rsid w:val="00CE7926"/>
    <w:rsid w:val="00CF0BC6"/>
    <w:rsid w:val="00CF1924"/>
    <w:rsid w:val="00CF206B"/>
    <w:rsid w:val="00CF37D5"/>
    <w:rsid w:val="00CF46C8"/>
    <w:rsid w:val="00CF7C47"/>
    <w:rsid w:val="00D00965"/>
    <w:rsid w:val="00D030D0"/>
    <w:rsid w:val="00D06076"/>
    <w:rsid w:val="00D07367"/>
    <w:rsid w:val="00D10EAE"/>
    <w:rsid w:val="00D12A53"/>
    <w:rsid w:val="00D14533"/>
    <w:rsid w:val="00D1469D"/>
    <w:rsid w:val="00D1497C"/>
    <w:rsid w:val="00D239DB"/>
    <w:rsid w:val="00D24EFA"/>
    <w:rsid w:val="00D25564"/>
    <w:rsid w:val="00D267A7"/>
    <w:rsid w:val="00D277B0"/>
    <w:rsid w:val="00D30E85"/>
    <w:rsid w:val="00D320AD"/>
    <w:rsid w:val="00D32B76"/>
    <w:rsid w:val="00D36153"/>
    <w:rsid w:val="00D460F3"/>
    <w:rsid w:val="00D5062F"/>
    <w:rsid w:val="00D507E2"/>
    <w:rsid w:val="00D50AA1"/>
    <w:rsid w:val="00D51BB5"/>
    <w:rsid w:val="00D526E8"/>
    <w:rsid w:val="00D53CE4"/>
    <w:rsid w:val="00D55B20"/>
    <w:rsid w:val="00D56FE0"/>
    <w:rsid w:val="00D606CC"/>
    <w:rsid w:val="00D61D1B"/>
    <w:rsid w:val="00D61E37"/>
    <w:rsid w:val="00D625F3"/>
    <w:rsid w:val="00D63646"/>
    <w:rsid w:val="00D651EE"/>
    <w:rsid w:val="00D67E50"/>
    <w:rsid w:val="00D70199"/>
    <w:rsid w:val="00D7572A"/>
    <w:rsid w:val="00D76BF6"/>
    <w:rsid w:val="00D77000"/>
    <w:rsid w:val="00D81898"/>
    <w:rsid w:val="00D8657B"/>
    <w:rsid w:val="00D877D9"/>
    <w:rsid w:val="00D9151F"/>
    <w:rsid w:val="00DA04D1"/>
    <w:rsid w:val="00DA1B87"/>
    <w:rsid w:val="00DA6919"/>
    <w:rsid w:val="00DA7958"/>
    <w:rsid w:val="00DA7E2E"/>
    <w:rsid w:val="00DB0683"/>
    <w:rsid w:val="00DB3DFE"/>
    <w:rsid w:val="00DB54C2"/>
    <w:rsid w:val="00DB6522"/>
    <w:rsid w:val="00DC1120"/>
    <w:rsid w:val="00DC11B6"/>
    <w:rsid w:val="00DC2EE6"/>
    <w:rsid w:val="00DC3B06"/>
    <w:rsid w:val="00DC4FB5"/>
    <w:rsid w:val="00DC52DD"/>
    <w:rsid w:val="00DC69D7"/>
    <w:rsid w:val="00DC724F"/>
    <w:rsid w:val="00DC7725"/>
    <w:rsid w:val="00DC7B16"/>
    <w:rsid w:val="00DD1107"/>
    <w:rsid w:val="00DD344C"/>
    <w:rsid w:val="00DD5B20"/>
    <w:rsid w:val="00DD620C"/>
    <w:rsid w:val="00DD71EC"/>
    <w:rsid w:val="00DE0235"/>
    <w:rsid w:val="00DE0497"/>
    <w:rsid w:val="00DE15F4"/>
    <w:rsid w:val="00DF0902"/>
    <w:rsid w:val="00DF0CD4"/>
    <w:rsid w:val="00DF105C"/>
    <w:rsid w:val="00DF123A"/>
    <w:rsid w:val="00DF27A8"/>
    <w:rsid w:val="00DF2D99"/>
    <w:rsid w:val="00DF364A"/>
    <w:rsid w:val="00DF4D17"/>
    <w:rsid w:val="00DF669B"/>
    <w:rsid w:val="00DF676B"/>
    <w:rsid w:val="00DF6E57"/>
    <w:rsid w:val="00DF702B"/>
    <w:rsid w:val="00DF7C00"/>
    <w:rsid w:val="00E0131F"/>
    <w:rsid w:val="00E05995"/>
    <w:rsid w:val="00E06169"/>
    <w:rsid w:val="00E06B08"/>
    <w:rsid w:val="00E11662"/>
    <w:rsid w:val="00E12A21"/>
    <w:rsid w:val="00E12A22"/>
    <w:rsid w:val="00E154E6"/>
    <w:rsid w:val="00E214F2"/>
    <w:rsid w:val="00E230E0"/>
    <w:rsid w:val="00E2372C"/>
    <w:rsid w:val="00E23D99"/>
    <w:rsid w:val="00E25903"/>
    <w:rsid w:val="00E25C1C"/>
    <w:rsid w:val="00E277F6"/>
    <w:rsid w:val="00E31175"/>
    <w:rsid w:val="00E33A4A"/>
    <w:rsid w:val="00E36F27"/>
    <w:rsid w:val="00E36F80"/>
    <w:rsid w:val="00E3734A"/>
    <w:rsid w:val="00E37D17"/>
    <w:rsid w:val="00E411DC"/>
    <w:rsid w:val="00E42721"/>
    <w:rsid w:val="00E430D5"/>
    <w:rsid w:val="00E4498F"/>
    <w:rsid w:val="00E46A85"/>
    <w:rsid w:val="00E478F3"/>
    <w:rsid w:val="00E50335"/>
    <w:rsid w:val="00E50767"/>
    <w:rsid w:val="00E51939"/>
    <w:rsid w:val="00E52040"/>
    <w:rsid w:val="00E53514"/>
    <w:rsid w:val="00E53924"/>
    <w:rsid w:val="00E55B49"/>
    <w:rsid w:val="00E55B8A"/>
    <w:rsid w:val="00E6013A"/>
    <w:rsid w:val="00E606C8"/>
    <w:rsid w:val="00E608AB"/>
    <w:rsid w:val="00E61E8D"/>
    <w:rsid w:val="00E63124"/>
    <w:rsid w:val="00E635BB"/>
    <w:rsid w:val="00E653C4"/>
    <w:rsid w:val="00E65529"/>
    <w:rsid w:val="00E66FF2"/>
    <w:rsid w:val="00E673C0"/>
    <w:rsid w:val="00E67DBB"/>
    <w:rsid w:val="00E73B3D"/>
    <w:rsid w:val="00E73D4F"/>
    <w:rsid w:val="00E75742"/>
    <w:rsid w:val="00E76691"/>
    <w:rsid w:val="00E77806"/>
    <w:rsid w:val="00E804B7"/>
    <w:rsid w:val="00E80894"/>
    <w:rsid w:val="00E81ACB"/>
    <w:rsid w:val="00E83AD4"/>
    <w:rsid w:val="00E870C2"/>
    <w:rsid w:val="00E87BCB"/>
    <w:rsid w:val="00E929AE"/>
    <w:rsid w:val="00E946BA"/>
    <w:rsid w:val="00E962CA"/>
    <w:rsid w:val="00E97566"/>
    <w:rsid w:val="00EA19BC"/>
    <w:rsid w:val="00EA1A5C"/>
    <w:rsid w:val="00EA2BAC"/>
    <w:rsid w:val="00EA370B"/>
    <w:rsid w:val="00EA43AB"/>
    <w:rsid w:val="00EA481C"/>
    <w:rsid w:val="00EA4B9A"/>
    <w:rsid w:val="00EA7B2C"/>
    <w:rsid w:val="00EB2307"/>
    <w:rsid w:val="00EB41BB"/>
    <w:rsid w:val="00EC1E11"/>
    <w:rsid w:val="00EC1E6D"/>
    <w:rsid w:val="00EC2C0C"/>
    <w:rsid w:val="00EC366F"/>
    <w:rsid w:val="00EC39FB"/>
    <w:rsid w:val="00EC47C2"/>
    <w:rsid w:val="00EC4875"/>
    <w:rsid w:val="00EC4DE6"/>
    <w:rsid w:val="00EC7143"/>
    <w:rsid w:val="00ED078A"/>
    <w:rsid w:val="00ED2101"/>
    <w:rsid w:val="00ED217C"/>
    <w:rsid w:val="00ED2484"/>
    <w:rsid w:val="00ED42F5"/>
    <w:rsid w:val="00ED43DD"/>
    <w:rsid w:val="00ED6740"/>
    <w:rsid w:val="00EE01F1"/>
    <w:rsid w:val="00EE084B"/>
    <w:rsid w:val="00EE2F91"/>
    <w:rsid w:val="00EE4AB5"/>
    <w:rsid w:val="00EE4D6D"/>
    <w:rsid w:val="00EE555F"/>
    <w:rsid w:val="00EF07AE"/>
    <w:rsid w:val="00EF0D18"/>
    <w:rsid w:val="00EF143D"/>
    <w:rsid w:val="00EF4373"/>
    <w:rsid w:val="00EF6696"/>
    <w:rsid w:val="00EF6C46"/>
    <w:rsid w:val="00EF7A17"/>
    <w:rsid w:val="00F00156"/>
    <w:rsid w:val="00F016E5"/>
    <w:rsid w:val="00F01CD0"/>
    <w:rsid w:val="00F03A85"/>
    <w:rsid w:val="00F04208"/>
    <w:rsid w:val="00F043CF"/>
    <w:rsid w:val="00F0496F"/>
    <w:rsid w:val="00F07A98"/>
    <w:rsid w:val="00F07E34"/>
    <w:rsid w:val="00F11078"/>
    <w:rsid w:val="00F117D9"/>
    <w:rsid w:val="00F135B5"/>
    <w:rsid w:val="00F14AC5"/>
    <w:rsid w:val="00F14EF4"/>
    <w:rsid w:val="00F15004"/>
    <w:rsid w:val="00F17832"/>
    <w:rsid w:val="00F17B9F"/>
    <w:rsid w:val="00F20E8A"/>
    <w:rsid w:val="00F22910"/>
    <w:rsid w:val="00F25AC1"/>
    <w:rsid w:val="00F26003"/>
    <w:rsid w:val="00F278CA"/>
    <w:rsid w:val="00F27BF6"/>
    <w:rsid w:val="00F30184"/>
    <w:rsid w:val="00F30CE1"/>
    <w:rsid w:val="00F31F0A"/>
    <w:rsid w:val="00F32920"/>
    <w:rsid w:val="00F32D57"/>
    <w:rsid w:val="00F333FD"/>
    <w:rsid w:val="00F337CD"/>
    <w:rsid w:val="00F33B89"/>
    <w:rsid w:val="00F34018"/>
    <w:rsid w:val="00F34268"/>
    <w:rsid w:val="00F34B66"/>
    <w:rsid w:val="00F34BE1"/>
    <w:rsid w:val="00F34DA1"/>
    <w:rsid w:val="00F365C3"/>
    <w:rsid w:val="00F3686A"/>
    <w:rsid w:val="00F37033"/>
    <w:rsid w:val="00F37AFC"/>
    <w:rsid w:val="00F408BD"/>
    <w:rsid w:val="00F44D8C"/>
    <w:rsid w:val="00F450D6"/>
    <w:rsid w:val="00F463A2"/>
    <w:rsid w:val="00F46E49"/>
    <w:rsid w:val="00F52DEB"/>
    <w:rsid w:val="00F538BC"/>
    <w:rsid w:val="00F5593E"/>
    <w:rsid w:val="00F57058"/>
    <w:rsid w:val="00F579E1"/>
    <w:rsid w:val="00F57F2B"/>
    <w:rsid w:val="00F613F0"/>
    <w:rsid w:val="00F64818"/>
    <w:rsid w:val="00F70182"/>
    <w:rsid w:val="00F70CF7"/>
    <w:rsid w:val="00F70D26"/>
    <w:rsid w:val="00F72011"/>
    <w:rsid w:val="00F72CF2"/>
    <w:rsid w:val="00F7531A"/>
    <w:rsid w:val="00F77006"/>
    <w:rsid w:val="00F7743A"/>
    <w:rsid w:val="00F82761"/>
    <w:rsid w:val="00F83190"/>
    <w:rsid w:val="00F83464"/>
    <w:rsid w:val="00F854CC"/>
    <w:rsid w:val="00F8600E"/>
    <w:rsid w:val="00F86106"/>
    <w:rsid w:val="00F8645C"/>
    <w:rsid w:val="00F87202"/>
    <w:rsid w:val="00F877C1"/>
    <w:rsid w:val="00F90709"/>
    <w:rsid w:val="00F94194"/>
    <w:rsid w:val="00F943DD"/>
    <w:rsid w:val="00F94BC6"/>
    <w:rsid w:val="00F953D6"/>
    <w:rsid w:val="00FA1E71"/>
    <w:rsid w:val="00FA2128"/>
    <w:rsid w:val="00FA3885"/>
    <w:rsid w:val="00FA39F5"/>
    <w:rsid w:val="00FA3A75"/>
    <w:rsid w:val="00FA766F"/>
    <w:rsid w:val="00FB06D6"/>
    <w:rsid w:val="00FB156B"/>
    <w:rsid w:val="00FB1BF2"/>
    <w:rsid w:val="00FB31E1"/>
    <w:rsid w:val="00FB4998"/>
    <w:rsid w:val="00FB58BC"/>
    <w:rsid w:val="00FB61C8"/>
    <w:rsid w:val="00FC062E"/>
    <w:rsid w:val="00FC3C80"/>
    <w:rsid w:val="00FC40FF"/>
    <w:rsid w:val="00FC44CA"/>
    <w:rsid w:val="00FC49F5"/>
    <w:rsid w:val="00FC4BD2"/>
    <w:rsid w:val="00FC51AA"/>
    <w:rsid w:val="00FC5905"/>
    <w:rsid w:val="00FC5A80"/>
    <w:rsid w:val="00FC670F"/>
    <w:rsid w:val="00FC7109"/>
    <w:rsid w:val="00FC7200"/>
    <w:rsid w:val="00FC79C5"/>
    <w:rsid w:val="00FD0FF3"/>
    <w:rsid w:val="00FD1A15"/>
    <w:rsid w:val="00FD2C6B"/>
    <w:rsid w:val="00FD2D1A"/>
    <w:rsid w:val="00FD4225"/>
    <w:rsid w:val="00FE1CAE"/>
    <w:rsid w:val="00FE3599"/>
    <w:rsid w:val="00FE35FD"/>
    <w:rsid w:val="00FE3C40"/>
    <w:rsid w:val="00FE5DB8"/>
    <w:rsid w:val="00FE679A"/>
    <w:rsid w:val="00FE6BDD"/>
    <w:rsid w:val="00FF1157"/>
    <w:rsid w:val="00FF45F9"/>
    <w:rsid w:val="00FF52A5"/>
    <w:rsid w:val="00FF52B2"/>
    <w:rsid w:val="00FF60C8"/>
    <w:rsid w:val="00FF66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36C0DAB4"/>
  <w15:chartTrackingRefBased/>
  <w15:docId w15:val="{8C62120B-070C-41C4-84B2-37DAB0E0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169"/>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61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SingleTxt">
    <w:name w:val="__Single Txt"/>
    <w:basedOn w:val="Normal"/>
    <w:link w:val="SingleTxtChar"/>
    <w:qFormat/>
    <w:rsid w:val="00E061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qFormat/>
    <w:rsid w:val="00727DD2"/>
    <w:rPr>
      <w:rFonts w:ascii="Times New Roman" w:eastAsiaTheme="minorHAnsi" w:hAnsi="Times New Roman" w:cs="Times New Roman"/>
      <w:spacing w:val="4"/>
      <w:w w:val="103"/>
      <w:kern w:val="14"/>
      <w:sz w:val="20"/>
      <w:szCs w:val="20"/>
      <w:lang w:eastAsia="en-US"/>
    </w:rPr>
  </w:style>
  <w:style w:type="paragraph" w:customStyle="1" w:styleId="HCh">
    <w:name w:val="_ H _Ch"/>
    <w:basedOn w:val="H1"/>
    <w:next w:val="SingleTxt"/>
    <w:rsid w:val="00E06169"/>
    <w:pPr>
      <w:spacing w:line="300" w:lineRule="exact"/>
      <w:ind w:left="0" w:right="0" w:firstLine="0"/>
    </w:pPr>
    <w:rPr>
      <w:spacing w:val="-2"/>
      <w:sz w:val="28"/>
    </w:rPr>
  </w:style>
  <w:style w:type="paragraph" w:customStyle="1" w:styleId="HM">
    <w:name w:val="_ H __M"/>
    <w:basedOn w:val="HCh"/>
    <w:next w:val="Normal"/>
    <w:rsid w:val="00E06169"/>
    <w:pPr>
      <w:spacing w:line="360" w:lineRule="exact"/>
    </w:pPr>
    <w:rPr>
      <w:spacing w:val="-3"/>
      <w:w w:val="99"/>
      <w:sz w:val="34"/>
    </w:rPr>
  </w:style>
  <w:style w:type="paragraph" w:customStyle="1" w:styleId="H23">
    <w:name w:val="_ H_2/3"/>
    <w:basedOn w:val="H1"/>
    <w:next w:val="SingleTxt"/>
    <w:rsid w:val="00E06169"/>
    <w:pPr>
      <w:spacing w:line="240" w:lineRule="exact"/>
      <w:outlineLvl w:val="1"/>
    </w:pPr>
    <w:rPr>
      <w:spacing w:val="2"/>
      <w:sz w:val="20"/>
    </w:rPr>
  </w:style>
  <w:style w:type="paragraph" w:customStyle="1" w:styleId="H4">
    <w:name w:val="_ H_4"/>
    <w:basedOn w:val="Normal"/>
    <w:next w:val="SingleTxt"/>
    <w:rsid w:val="00E061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E061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E0616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616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6169"/>
    <w:pPr>
      <w:spacing w:line="540" w:lineRule="exact"/>
    </w:pPr>
    <w:rPr>
      <w:spacing w:val="-8"/>
      <w:w w:val="96"/>
      <w:sz w:val="57"/>
    </w:rPr>
  </w:style>
  <w:style w:type="paragraph" w:customStyle="1" w:styleId="SS">
    <w:name w:val="__S_S"/>
    <w:basedOn w:val="HCh"/>
    <w:next w:val="Normal"/>
    <w:rsid w:val="00E06169"/>
    <w:pPr>
      <w:ind w:left="1267" w:right="1267"/>
    </w:pPr>
  </w:style>
  <w:style w:type="paragraph" w:customStyle="1" w:styleId="AgendaItemNormal">
    <w:name w:val="Agenda_Item_Normal"/>
    <w:next w:val="Normal"/>
    <w:qFormat/>
    <w:rsid w:val="00E0616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E06169"/>
    <w:pPr>
      <w:keepNext w:val="0"/>
      <w:keepLines w:val="0"/>
    </w:pPr>
  </w:style>
  <w:style w:type="paragraph" w:customStyle="1" w:styleId="AgendaTitleH2">
    <w:name w:val="Agenda_Title_H2"/>
    <w:basedOn w:val="TitleH1"/>
    <w:next w:val="Normal"/>
    <w:qFormat/>
    <w:rsid w:val="00E06169"/>
    <w:pPr>
      <w:keepNext/>
      <w:keepLines/>
      <w:spacing w:line="240" w:lineRule="exact"/>
      <w:ind w:left="0" w:firstLine="0"/>
      <w:outlineLvl w:val="1"/>
    </w:pPr>
    <w:rPr>
      <w:sz w:val="20"/>
    </w:rPr>
  </w:style>
  <w:style w:type="paragraph" w:styleId="BalloonText">
    <w:name w:val="Balloon Text"/>
    <w:basedOn w:val="Normal"/>
    <w:link w:val="BalloonTextChar"/>
    <w:semiHidden/>
    <w:rsid w:val="00E06169"/>
    <w:rPr>
      <w:rFonts w:ascii="Tahoma" w:hAnsi="Tahoma" w:cs="Tahoma"/>
      <w:sz w:val="16"/>
      <w:szCs w:val="16"/>
    </w:rPr>
  </w:style>
  <w:style w:type="character" w:customStyle="1" w:styleId="BalloonTextChar">
    <w:name w:val="Balloon Text Char"/>
    <w:basedOn w:val="DefaultParagraphFont"/>
    <w:link w:val="BalloonText"/>
    <w:semiHidden/>
    <w:rsid w:val="00E0616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6169"/>
    <w:pPr>
      <w:numPr>
        <w:numId w:val="3"/>
      </w:numPr>
      <w:spacing w:after="120"/>
      <w:ind w:right="1267"/>
      <w:jc w:val="both"/>
    </w:pPr>
  </w:style>
  <w:style w:type="paragraph" w:customStyle="1" w:styleId="Bullet2">
    <w:name w:val="Bullet 2"/>
    <w:basedOn w:val="Normal"/>
    <w:qFormat/>
    <w:rsid w:val="00FC49F5"/>
    <w:pPr>
      <w:numPr>
        <w:numId w:val="1"/>
      </w:numPr>
      <w:spacing w:after="120"/>
      <w:ind w:right="1264"/>
      <w:jc w:val="both"/>
    </w:pPr>
  </w:style>
  <w:style w:type="paragraph" w:customStyle="1" w:styleId="Bullet3">
    <w:name w:val="Bullet 3"/>
    <w:basedOn w:val="SingleTxt"/>
    <w:qFormat/>
    <w:rsid w:val="00E06169"/>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uiPriority w:val="99"/>
    <w:semiHidden/>
    <w:rsid w:val="00E06169"/>
    <w:rPr>
      <w:sz w:val="6"/>
    </w:rPr>
  </w:style>
  <w:style w:type="paragraph" w:customStyle="1" w:styleId="Distribution">
    <w:name w:val="Distribution"/>
    <w:next w:val="Normal"/>
    <w:rsid w:val="00E0616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616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S,Fo,Footnote Text Char Char,Footnote Text Char Char1 Char Char,Footnote Text Char Char1 Char Char Char Char,Footnote Text Char1 Char Char,Footnote Text Char1 Char Char Char Char,fn,Footnote Text Char1"/>
    <w:basedOn w:val="Normal"/>
    <w:link w:val="FootnoteTextChar"/>
    <w:uiPriority w:val="99"/>
    <w:qFormat/>
    <w:rsid w:val="00E06169"/>
    <w:pPr>
      <w:widowControl w:val="0"/>
      <w:tabs>
        <w:tab w:val="right" w:pos="418"/>
      </w:tabs>
      <w:spacing w:line="210" w:lineRule="exact"/>
      <w:ind w:left="475" w:hanging="475"/>
    </w:pPr>
    <w:rPr>
      <w:spacing w:val="5"/>
      <w:sz w:val="17"/>
    </w:rPr>
  </w:style>
  <w:style w:type="character" w:customStyle="1" w:styleId="FootnoteTextChar">
    <w:name w:val="Footnote Text Char"/>
    <w:aliases w:val="FOOTNOTES Char,Fo Char,Footnote Text Char Char Char,Footnote Text Char Char1 Char Char Char,Footnote Text Char Char1 Char Char Char Char Char,Footnote Text Char1 Char Char Char,Footnote Text Char1 Char Char Char Char Char,fn Char"/>
    <w:basedOn w:val="DefaultParagraphFont"/>
    <w:link w:val="FootnoteText"/>
    <w:uiPriority w:val="99"/>
    <w:rsid w:val="00E0616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6169"/>
  </w:style>
  <w:style w:type="character" w:customStyle="1" w:styleId="EndnoteTextChar">
    <w:name w:val="Endnote Text Char"/>
    <w:basedOn w:val="DefaultParagraphFont"/>
    <w:link w:val="EndnoteText"/>
    <w:semiHidden/>
    <w:rsid w:val="00E06169"/>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616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6169"/>
    <w:rPr>
      <w:rFonts w:ascii="Times New Roman" w:eastAsiaTheme="minorHAnsi" w:hAnsi="Times New Roman" w:cs="Times New Roman"/>
      <w:b/>
      <w:noProof/>
      <w:sz w:val="17"/>
      <w:szCs w:val="20"/>
      <w:lang w:val="en-US" w:eastAsia="en-US"/>
    </w:rPr>
  </w:style>
  <w:style w:type="character" w:styleId="FootnoteReference">
    <w:name w:val="footnote reference"/>
    <w:aliases w:val="de nota al pie,BVI fnr,Footnote,Footnote number,Ref,Ref. de nota al pie,Referencia nota al pie,ftref,Знак сноски 1, de nota al pie"/>
    <w:uiPriority w:val="99"/>
    <w:qFormat/>
    <w:rsid w:val="00E0616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0616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6169"/>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06169"/>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2"/>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0616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616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6169"/>
    <w:pPr>
      <w:tabs>
        <w:tab w:val="right" w:pos="9965"/>
      </w:tabs>
      <w:spacing w:line="210" w:lineRule="exact"/>
    </w:pPr>
    <w:rPr>
      <w:spacing w:val="5"/>
      <w:w w:val="104"/>
      <w:sz w:val="17"/>
    </w:rPr>
  </w:style>
  <w:style w:type="paragraph" w:customStyle="1" w:styleId="SmallX">
    <w:name w:val="SmallX"/>
    <w:basedOn w:val="Small"/>
    <w:next w:val="Normal"/>
    <w:rsid w:val="00E06169"/>
    <w:pPr>
      <w:spacing w:line="180" w:lineRule="exact"/>
      <w:jc w:val="right"/>
    </w:pPr>
    <w:rPr>
      <w:spacing w:val="6"/>
      <w:w w:val="106"/>
      <w:sz w:val="14"/>
    </w:rPr>
  </w:style>
  <w:style w:type="paragraph" w:customStyle="1" w:styleId="TitleHCH">
    <w:name w:val="Title_H_CH"/>
    <w:basedOn w:val="Normal"/>
    <w:next w:val="SingleTxt"/>
    <w:qFormat/>
    <w:rsid w:val="00E06169"/>
  </w:style>
  <w:style w:type="paragraph" w:customStyle="1" w:styleId="TitleH2">
    <w:name w:val="Title_H2"/>
    <w:basedOn w:val="H23"/>
    <w:qFormat/>
    <w:rsid w:val="00E06169"/>
  </w:style>
  <w:style w:type="paragraph" w:styleId="TOCHeading">
    <w:name w:val="TOC Heading"/>
    <w:basedOn w:val="Heading1"/>
    <w:next w:val="Normal"/>
    <w:uiPriority w:val="39"/>
    <w:unhideWhenUsed/>
    <w:qFormat/>
    <w:rsid w:val="00FC49F5"/>
    <w:pPr>
      <w:outlineLvl w:val="9"/>
    </w:pPr>
    <w:rPr>
      <w:rFonts w:eastAsiaTheme="majorEastAsia" w:cstheme="majorBidi"/>
      <w:lang w:bidi="en-US"/>
    </w:rPr>
  </w:style>
  <w:style w:type="paragraph" w:customStyle="1" w:styleId="XLarge">
    <w:name w:val="XLarge"/>
    <w:basedOn w:val="HM"/>
    <w:rsid w:val="00E06169"/>
    <w:pPr>
      <w:spacing w:line="390" w:lineRule="exact"/>
    </w:pPr>
    <w:rPr>
      <w:spacing w:val="-4"/>
      <w:w w:val="98"/>
      <w:sz w:val="40"/>
    </w:rPr>
  </w:style>
  <w:style w:type="character" w:styleId="Hyperlink">
    <w:name w:val="Hyperlink"/>
    <w:basedOn w:val="DefaultParagraphFont"/>
    <w:uiPriority w:val="99"/>
    <w:rsid w:val="00E06169"/>
    <w:rPr>
      <w:color w:val="0000FF" w:themeColor="hyperlink"/>
      <w:u w:val="none"/>
    </w:rPr>
  </w:style>
  <w:style w:type="paragraph" w:styleId="PlainText">
    <w:name w:val="Plain Text"/>
    <w:basedOn w:val="Normal"/>
    <w:link w:val="PlainTextChar"/>
    <w:rsid w:val="00E0616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6169"/>
    <w:rPr>
      <w:rFonts w:ascii="Courier New" w:eastAsia="Times New Roman" w:hAnsi="Courier New" w:cs="Times New Roman"/>
      <w:sz w:val="20"/>
      <w:szCs w:val="20"/>
      <w:lang w:val="en-US" w:eastAsia="en-GB"/>
    </w:rPr>
  </w:style>
  <w:style w:type="paragraph" w:customStyle="1" w:styleId="ReleaseDate0">
    <w:name w:val="Release Date"/>
    <w:next w:val="Footer"/>
    <w:rsid w:val="00E0616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6169"/>
    <w:pPr>
      <w:ind w:left="0" w:firstLine="0"/>
    </w:pPr>
    <w:rPr>
      <w:spacing w:val="4"/>
    </w:rPr>
  </w:style>
  <w:style w:type="table" w:styleId="TableGrid">
    <w:name w:val="Table Grid"/>
    <w:basedOn w:val="TableNormal"/>
    <w:rsid w:val="00E0616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unhideWhenUsed/>
    <w:rsid w:val="00721987"/>
    <w:pPr>
      <w:spacing w:line="240" w:lineRule="auto"/>
    </w:pPr>
  </w:style>
  <w:style w:type="character" w:customStyle="1" w:styleId="CommentTextChar">
    <w:name w:val="Comment Text Char"/>
    <w:basedOn w:val="DefaultParagraphFont"/>
    <w:link w:val="CommentText"/>
    <w:uiPriority w:val="99"/>
    <w:rsid w:val="0072198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21987"/>
    <w:rPr>
      <w:b/>
      <w:bCs/>
    </w:rPr>
  </w:style>
  <w:style w:type="character" w:customStyle="1" w:styleId="CommentSubjectChar">
    <w:name w:val="Comment Subject Char"/>
    <w:basedOn w:val="CommentTextChar"/>
    <w:link w:val="CommentSubject"/>
    <w:uiPriority w:val="99"/>
    <w:semiHidden/>
    <w:rsid w:val="00721987"/>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727DD2"/>
    <w:pPr>
      <w:ind w:left="720"/>
      <w:contextualSpacing/>
    </w:pPr>
  </w:style>
  <w:style w:type="character" w:customStyle="1" w:styleId="m-6399863064961039584gmail-msofootnotereference">
    <w:name w:val="m_-6399863064961039584gmail-msofootnotereference"/>
    <w:basedOn w:val="DefaultParagraphFont"/>
    <w:rsid w:val="00727DD2"/>
  </w:style>
  <w:style w:type="paragraph" w:customStyle="1" w:styleId="Bodytextjsd">
    <w:name w:val="Body text jsd"/>
    <w:basedOn w:val="BodyText"/>
    <w:autoRedefine/>
    <w:rsid w:val="00727DD2"/>
    <w:pPr>
      <w:suppressAutoHyphens w:val="0"/>
      <w:spacing w:before="100" w:beforeAutospacing="1" w:after="100" w:afterAutospacing="1" w:line="240" w:lineRule="auto"/>
      <w:jc w:val="both"/>
    </w:pPr>
    <w:rPr>
      <w:rFonts w:ascii="Arial" w:eastAsia="Times New Roman" w:hAnsi="Arial" w:cs="Arial"/>
      <w:bCs/>
      <w:i/>
      <w:iCs/>
      <w:color w:val="0E0E0E"/>
      <w:spacing w:val="0"/>
      <w:w w:val="100"/>
      <w:kern w:val="0"/>
      <w:sz w:val="22"/>
      <w:szCs w:val="22"/>
      <w:lang w:val="en-US"/>
    </w:rPr>
  </w:style>
  <w:style w:type="paragraph" w:styleId="BodyText">
    <w:name w:val="Body Text"/>
    <w:basedOn w:val="Normal"/>
    <w:link w:val="BodyTextChar"/>
    <w:uiPriority w:val="99"/>
    <w:semiHidden/>
    <w:unhideWhenUsed/>
    <w:rsid w:val="00727DD2"/>
    <w:pPr>
      <w:spacing w:after="120"/>
    </w:pPr>
  </w:style>
  <w:style w:type="character" w:customStyle="1" w:styleId="BodyTextChar">
    <w:name w:val="Body Text Char"/>
    <w:basedOn w:val="DefaultParagraphFont"/>
    <w:link w:val="BodyText"/>
    <w:uiPriority w:val="99"/>
    <w:semiHidden/>
    <w:rsid w:val="00727DD2"/>
    <w:rPr>
      <w:rFonts w:ascii="Times New Roman" w:eastAsiaTheme="minorHAnsi" w:hAnsi="Times New Roman" w:cs="Times New Roman"/>
      <w:spacing w:val="4"/>
      <w:w w:val="103"/>
      <w:kern w:val="14"/>
      <w:sz w:val="20"/>
      <w:szCs w:val="20"/>
      <w:lang w:eastAsia="en-US"/>
    </w:rPr>
  </w:style>
  <w:style w:type="paragraph" w:styleId="NormalWeb">
    <w:name w:val="Normal (Web)"/>
    <w:basedOn w:val="Normal"/>
    <w:uiPriority w:val="99"/>
    <w:unhideWhenUsed/>
    <w:rsid w:val="00727DD2"/>
    <w:pPr>
      <w:suppressAutoHyphens w:val="0"/>
      <w:spacing w:before="100" w:beforeAutospacing="1" w:after="100" w:afterAutospacing="1" w:line="240" w:lineRule="auto"/>
    </w:pPr>
    <w:rPr>
      <w:rFonts w:eastAsia="Times New Roman"/>
      <w:spacing w:val="0"/>
      <w:w w:val="100"/>
      <w:kern w:val="0"/>
      <w:sz w:val="24"/>
      <w:szCs w:val="24"/>
      <w:lang w:eastAsia="zh-CN"/>
    </w:rPr>
  </w:style>
  <w:style w:type="paragraph" w:customStyle="1" w:styleId="Default">
    <w:name w:val="Default"/>
    <w:rsid w:val="00727DD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FC062E"/>
    <w:rPr>
      <w:color w:val="605E5C"/>
      <w:shd w:val="clear" w:color="auto" w:fill="E1DFDD"/>
    </w:rPr>
  </w:style>
  <w:style w:type="character" w:styleId="FollowedHyperlink">
    <w:name w:val="FollowedHyperlink"/>
    <w:basedOn w:val="DefaultParagraphFont"/>
    <w:uiPriority w:val="99"/>
    <w:semiHidden/>
    <w:unhideWhenUsed/>
    <w:rsid w:val="00B61FA0"/>
    <w:rPr>
      <w:color w:val="0000FF"/>
      <w:u w:val="none"/>
    </w:rPr>
  </w:style>
  <w:style w:type="paragraph" w:styleId="Revision">
    <w:name w:val="Revision"/>
    <w:hidden/>
    <w:uiPriority w:val="99"/>
    <w:semiHidden/>
    <w:rsid w:val="006E4FFB"/>
    <w:pPr>
      <w:spacing w:after="0" w:line="240" w:lineRule="auto"/>
    </w:pPr>
    <w:rPr>
      <w:rFonts w:ascii="Times New Roman" w:eastAsiaTheme="minorHAnsi" w:hAnsi="Times New Roman" w:cs="Times New Roman"/>
      <w:spacing w:val="4"/>
      <w:w w:val="103"/>
      <w:kern w:val="14"/>
      <w:sz w:val="20"/>
      <w:szCs w:val="20"/>
      <w:lang w:eastAsia="en-US"/>
    </w:rPr>
  </w:style>
  <w:style w:type="paragraph" w:styleId="BodyText2">
    <w:name w:val="Body Text 2"/>
    <w:basedOn w:val="Normal"/>
    <w:link w:val="BodyText2Char"/>
    <w:uiPriority w:val="99"/>
    <w:semiHidden/>
    <w:unhideWhenUsed/>
    <w:rsid w:val="00BB3B3A"/>
    <w:pPr>
      <w:spacing w:after="120" w:line="480" w:lineRule="auto"/>
    </w:pPr>
  </w:style>
  <w:style w:type="character" w:customStyle="1" w:styleId="BodyText2Char">
    <w:name w:val="Body Text 2 Char"/>
    <w:basedOn w:val="DefaultParagraphFont"/>
    <w:link w:val="BodyText2"/>
    <w:uiPriority w:val="99"/>
    <w:semiHidden/>
    <w:rsid w:val="00BB3B3A"/>
    <w:rPr>
      <w:rFonts w:ascii="Times New Roman" w:eastAsiaTheme="minorHAnsi" w:hAnsi="Times New Roman" w:cs="Times New Roman"/>
      <w:spacing w:val="4"/>
      <w:w w:val="103"/>
      <w:kern w:val="14"/>
      <w:sz w:val="20"/>
      <w:szCs w:val="20"/>
      <w:lang w:eastAsia="en-US"/>
    </w:rPr>
  </w:style>
  <w:style w:type="table" w:styleId="GridTable1Light">
    <w:name w:val="Grid Table 1 Light"/>
    <w:basedOn w:val="TableNormal"/>
    <w:uiPriority w:val="46"/>
    <w:rsid w:val="00B2687E"/>
    <w:pPr>
      <w:spacing w:after="0" w:line="240" w:lineRule="auto"/>
    </w:pPr>
    <w:rPr>
      <w:sz w:val="24"/>
      <w:szCs w:val="24"/>
      <w:lang w:val="en-MY"/>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2687E"/>
    <w:pPr>
      <w:spacing w:after="0" w:line="240" w:lineRule="auto"/>
    </w:pPr>
    <w:rPr>
      <w:sz w:val="24"/>
      <w:szCs w:val="24"/>
      <w:lang w:val="en-MY"/>
    </w:rPr>
    <w:tblP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Pr>
    <w:tcPr>
      <w:shd w:val="clear" w:color="auto" w:fill="auto"/>
    </w:tcPr>
  </w:style>
  <w:style w:type="paragraph" w:styleId="TOC1">
    <w:name w:val="toc 1"/>
    <w:basedOn w:val="Normal"/>
    <w:next w:val="Normal"/>
    <w:autoRedefine/>
    <w:uiPriority w:val="39"/>
    <w:unhideWhenUsed/>
    <w:rsid w:val="00F17B9F"/>
    <w:pPr>
      <w:spacing w:after="100"/>
    </w:pPr>
  </w:style>
  <w:style w:type="paragraph" w:styleId="TOC2">
    <w:name w:val="toc 2"/>
    <w:basedOn w:val="Normal"/>
    <w:next w:val="Normal"/>
    <w:autoRedefine/>
    <w:uiPriority w:val="39"/>
    <w:unhideWhenUsed/>
    <w:rsid w:val="00F17B9F"/>
    <w:pPr>
      <w:spacing w:after="100"/>
      <w:ind w:left="200"/>
    </w:pPr>
  </w:style>
  <w:style w:type="paragraph" w:styleId="TOC3">
    <w:name w:val="toc 3"/>
    <w:basedOn w:val="Normal"/>
    <w:next w:val="Normal"/>
    <w:autoRedefine/>
    <w:uiPriority w:val="39"/>
    <w:unhideWhenUsed/>
    <w:rsid w:val="00F17B9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6000">
      <w:bodyDiv w:val="1"/>
      <w:marLeft w:val="0"/>
      <w:marRight w:val="0"/>
      <w:marTop w:val="0"/>
      <w:marBottom w:val="0"/>
      <w:divBdr>
        <w:top w:val="none" w:sz="0" w:space="0" w:color="auto"/>
        <w:left w:val="none" w:sz="0" w:space="0" w:color="auto"/>
        <w:bottom w:val="none" w:sz="0" w:space="0" w:color="auto"/>
        <w:right w:val="none" w:sz="0" w:space="0" w:color="auto"/>
      </w:divBdr>
    </w:div>
    <w:div w:id="462424274">
      <w:bodyDiv w:val="1"/>
      <w:marLeft w:val="0"/>
      <w:marRight w:val="0"/>
      <w:marTop w:val="0"/>
      <w:marBottom w:val="0"/>
      <w:divBdr>
        <w:top w:val="none" w:sz="0" w:space="0" w:color="auto"/>
        <w:left w:val="none" w:sz="0" w:space="0" w:color="auto"/>
        <w:bottom w:val="none" w:sz="0" w:space="0" w:color="auto"/>
        <w:right w:val="none" w:sz="0" w:space="0" w:color="auto"/>
      </w:divBdr>
    </w:div>
    <w:div w:id="662121980">
      <w:bodyDiv w:val="1"/>
      <w:marLeft w:val="0"/>
      <w:marRight w:val="0"/>
      <w:marTop w:val="0"/>
      <w:marBottom w:val="0"/>
      <w:divBdr>
        <w:top w:val="none" w:sz="0" w:space="0" w:color="auto"/>
        <w:left w:val="none" w:sz="0" w:space="0" w:color="auto"/>
        <w:bottom w:val="none" w:sz="0" w:space="0" w:color="auto"/>
        <w:right w:val="none" w:sz="0" w:space="0" w:color="auto"/>
      </w:divBdr>
    </w:div>
    <w:div w:id="665134875">
      <w:bodyDiv w:val="1"/>
      <w:marLeft w:val="0"/>
      <w:marRight w:val="0"/>
      <w:marTop w:val="0"/>
      <w:marBottom w:val="0"/>
      <w:divBdr>
        <w:top w:val="none" w:sz="0" w:space="0" w:color="auto"/>
        <w:left w:val="none" w:sz="0" w:space="0" w:color="auto"/>
        <w:bottom w:val="none" w:sz="0" w:space="0" w:color="auto"/>
        <w:right w:val="none" w:sz="0" w:space="0" w:color="auto"/>
      </w:divBdr>
    </w:div>
    <w:div w:id="827406254">
      <w:bodyDiv w:val="1"/>
      <w:marLeft w:val="0"/>
      <w:marRight w:val="0"/>
      <w:marTop w:val="0"/>
      <w:marBottom w:val="0"/>
      <w:divBdr>
        <w:top w:val="none" w:sz="0" w:space="0" w:color="auto"/>
        <w:left w:val="none" w:sz="0" w:space="0" w:color="auto"/>
        <w:bottom w:val="none" w:sz="0" w:space="0" w:color="auto"/>
        <w:right w:val="none" w:sz="0" w:space="0" w:color="auto"/>
      </w:divBdr>
    </w:div>
    <w:div w:id="930509010">
      <w:bodyDiv w:val="1"/>
      <w:marLeft w:val="0"/>
      <w:marRight w:val="0"/>
      <w:marTop w:val="0"/>
      <w:marBottom w:val="0"/>
      <w:divBdr>
        <w:top w:val="none" w:sz="0" w:space="0" w:color="auto"/>
        <w:left w:val="none" w:sz="0" w:space="0" w:color="auto"/>
        <w:bottom w:val="none" w:sz="0" w:space="0" w:color="auto"/>
        <w:right w:val="none" w:sz="0" w:space="0" w:color="auto"/>
      </w:divBdr>
    </w:div>
    <w:div w:id="961308159">
      <w:bodyDiv w:val="1"/>
      <w:marLeft w:val="0"/>
      <w:marRight w:val="0"/>
      <w:marTop w:val="0"/>
      <w:marBottom w:val="0"/>
      <w:divBdr>
        <w:top w:val="none" w:sz="0" w:space="0" w:color="auto"/>
        <w:left w:val="none" w:sz="0" w:space="0" w:color="auto"/>
        <w:bottom w:val="none" w:sz="0" w:space="0" w:color="auto"/>
        <w:right w:val="none" w:sz="0" w:space="0" w:color="auto"/>
      </w:divBdr>
      <w:divsChild>
        <w:div w:id="1830515111">
          <w:marLeft w:val="0"/>
          <w:marRight w:val="0"/>
          <w:marTop w:val="0"/>
          <w:marBottom w:val="0"/>
          <w:divBdr>
            <w:top w:val="none" w:sz="0" w:space="0" w:color="auto"/>
            <w:left w:val="none" w:sz="0" w:space="0" w:color="auto"/>
            <w:bottom w:val="none" w:sz="0" w:space="0" w:color="auto"/>
            <w:right w:val="none" w:sz="0" w:space="0" w:color="auto"/>
          </w:divBdr>
          <w:divsChild>
            <w:div w:id="15540763">
              <w:marLeft w:val="0"/>
              <w:marRight w:val="0"/>
              <w:marTop w:val="0"/>
              <w:marBottom w:val="0"/>
              <w:divBdr>
                <w:top w:val="none" w:sz="0" w:space="0" w:color="auto"/>
                <w:left w:val="none" w:sz="0" w:space="0" w:color="auto"/>
                <w:bottom w:val="none" w:sz="0" w:space="0" w:color="auto"/>
                <w:right w:val="none" w:sz="0" w:space="0" w:color="auto"/>
              </w:divBdr>
              <w:divsChild>
                <w:div w:id="16692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1360">
      <w:bodyDiv w:val="1"/>
      <w:marLeft w:val="0"/>
      <w:marRight w:val="0"/>
      <w:marTop w:val="0"/>
      <w:marBottom w:val="0"/>
      <w:divBdr>
        <w:top w:val="none" w:sz="0" w:space="0" w:color="auto"/>
        <w:left w:val="none" w:sz="0" w:space="0" w:color="auto"/>
        <w:bottom w:val="none" w:sz="0" w:space="0" w:color="auto"/>
        <w:right w:val="none" w:sz="0" w:space="0" w:color="auto"/>
      </w:divBdr>
    </w:div>
    <w:div w:id="1066881493">
      <w:bodyDiv w:val="1"/>
      <w:marLeft w:val="0"/>
      <w:marRight w:val="0"/>
      <w:marTop w:val="0"/>
      <w:marBottom w:val="0"/>
      <w:divBdr>
        <w:top w:val="none" w:sz="0" w:space="0" w:color="auto"/>
        <w:left w:val="none" w:sz="0" w:space="0" w:color="auto"/>
        <w:bottom w:val="none" w:sz="0" w:space="0" w:color="auto"/>
        <w:right w:val="none" w:sz="0" w:space="0" w:color="auto"/>
      </w:divBdr>
    </w:div>
    <w:div w:id="1080755862">
      <w:bodyDiv w:val="1"/>
      <w:marLeft w:val="0"/>
      <w:marRight w:val="0"/>
      <w:marTop w:val="0"/>
      <w:marBottom w:val="0"/>
      <w:divBdr>
        <w:top w:val="none" w:sz="0" w:space="0" w:color="auto"/>
        <w:left w:val="none" w:sz="0" w:space="0" w:color="auto"/>
        <w:bottom w:val="none" w:sz="0" w:space="0" w:color="auto"/>
        <w:right w:val="none" w:sz="0" w:space="0" w:color="auto"/>
      </w:divBdr>
    </w:div>
    <w:div w:id="1426027320">
      <w:bodyDiv w:val="1"/>
      <w:marLeft w:val="0"/>
      <w:marRight w:val="0"/>
      <w:marTop w:val="0"/>
      <w:marBottom w:val="0"/>
      <w:divBdr>
        <w:top w:val="none" w:sz="0" w:space="0" w:color="auto"/>
        <w:left w:val="none" w:sz="0" w:space="0" w:color="auto"/>
        <w:bottom w:val="none" w:sz="0" w:space="0" w:color="auto"/>
        <w:right w:val="none" w:sz="0" w:space="0" w:color="auto"/>
      </w:divBdr>
    </w:div>
    <w:div w:id="1511409047">
      <w:bodyDiv w:val="1"/>
      <w:marLeft w:val="0"/>
      <w:marRight w:val="0"/>
      <w:marTop w:val="0"/>
      <w:marBottom w:val="0"/>
      <w:divBdr>
        <w:top w:val="none" w:sz="0" w:space="0" w:color="auto"/>
        <w:left w:val="none" w:sz="0" w:space="0" w:color="auto"/>
        <w:bottom w:val="none" w:sz="0" w:space="0" w:color="auto"/>
        <w:right w:val="none" w:sz="0" w:space="0" w:color="auto"/>
      </w:divBdr>
    </w:div>
    <w:div w:id="1831368171">
      <w:bodyDiv w:val="1"/>
      <w:marLeft w:val="0"/>
      <w:marRight w:val="0"/>
      <w:marTop w:val="0"/>
      <w:marBottom w:val="0"/>
      <w:divBdr>
        <w:top w:val="none" w:sz="0" w:space="0" w:color="auto"/>
        <w:left w:val="none" w:sz="0" w:space="0" w:color="auto"/>
        <w:bottom w:val="none" w:sz="0" w:space="0" w:color="auto"/>
        <w:right w:val="none" w:sz="0" w:space="0" w:color="auto"/>
      </w:divBdr>
    </w:div>
    <w:div w:id="1856991127">
      <w:bodyDiv w:val="1"/>
      <w:marLeft w:val="0"/>
      <w:marRight w:val="0"/>
      <w:marTop w:val="0"/>
      <w:marBottom w:val="0"/>
      <w:divBdr>
        <w:top w:val="none" w:sz="0" w:space="0" w:color="auto"/>
        <w:left w:val="none" w:sz="0" w:space="0" w:color="auto"/>
        <w:bottom w:val="none" w:sz="0" w:space="0" w:color="auto"/>
        <w:right w:val="none" w:sz="0" w:space="0" w:color="auto"/>
      </w:divBdr>
    </w:div>
    <w:div w:id="19308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uncitral.un.org/sites/uncitral.un.org/files/aciil_note_on_costs_financing_24_august_2020_final_updated.pdf" TargetMode="External"/><Relationship Id="rId1" Type="http://schemas.openxmlformats.org/officeDocument/2006/relationships/hyperlink" Target="https://www.acwl.ch/organisational-structu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713ACA63DD394791487D01BCF16E1F" ma:contentTypeVersion="13" ma:contentTypeDescription="Create a new document." ma:contentTypeScope="" ma:versionID="97f8b0315832d636f49ef05f2a9b26a6">
  <xsd:schema xmlns:xsd="http://www.w3.org/2001/XMLSchema" xmlns:xs="http://www.w3.org/2001/XMLSchema" xmlns:p="http://schemas.microsoft.com/office/2006/metadata/properties" xmlns:ns3="56d85174-256f-4ff6-9e21-be41d6799e41" xmlns:ns4="8582785e-94d6-4696-a7e0-411cacf17906" targetNamespace="http://schemas.microsoft.com/office/2006/metadata/properties" ma:root="true" ma:fieldsID="6b3da00c5b3e93747928a903aa9c4dde" ns3:_="" ns4:_="">
    <xsd:import namespace="56d85174-256f-4ff6-9e21-be41d6799e41"/>
    <xsd:import namespace="8582785e-94d6-4696-a7e0-411cacf179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85174-256f-4ff6-9e21-be41d6799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2785e-94d6-4696-a7e0-411cacf17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90A2-35A6-4696-999B-985CC3FFFEBD}">
  <ds:schemaRefs>
    <ds:schemaRef ds:uri="http://schemas.microsoft.com/sharepoint/v3/contenttype/forms"/>
  </ds:schemaRefs>
</ds:datastoreItem>
</file>

<file path=customXml/itemProps2.xml><?xml version="1.0" encoding="utf-8"?>
<ds:datastoreItem xmlns:ds="http://schemas.openxmlformats.org/officeDocument/2006/customXml" ds:itemID="{6E644ADF-9F96-4D5B-B470-5DEE038CC243}">
  <ds:schemaRefs>
    <ds:schemaRef ds:uri="http://purl.org/dc/elements/1.1/"/>
    <ds:schemaRef ds:uri="http://schemas.microsoft.com/office/2006/metadata/properties"/>
    <ds:schemaRef ds:uri="56d85174-256f-4ff6-9e21-be41d6799e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82785e-94d6-4696-a7e0-411cacf17906"/>
    <ds:schemaRef ds:uri="http://www.w3.org/XML/1998/namespace"/>
    <ds:schemaRef ds:uri="http://purl.org/dc/dcmitype/"/>
  </ds:schemaRefs>
</ds:datastoreItem>
</file>

<file path=customXml/itemProps3.xml><?xml version="1.0" encoding="utf-8"?>
<ds:datastoreItem xmlns:ds="http://schemas.openxmlformats.org/officeDocument/2006/customXml" ds:itemID="{CE90991A-DE93-4A3F-AC4C-D8BE1741B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85174-256f-4ff6-9e21-be41d6799e41"/>
    <ds:schemaRef ds:uri="8582785e-94d6-4696-a7e0-411cacf1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CD563-DF2C-43F6-958E-FF9046E7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3925</Words>
  <Characters>22377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26250</CharactersWithSpaces>
  <SharedDoc>false</SharedDoc>
  <HLinks>
    <vt:vector size="408" baseType="variant">
      <vt:variant>
        <vt:i4>5767196</vt:i4>
      </vt:variant>
      <vt:variant>
        <vt:i4>90</vt:i4>
      </vt:variant>
      <vt:variant>
        <vt:i4>0</vt:i4>
      </vt:variant>
      <vt:variant>
        <vt:i4>5</vt:i4>
      </vt:variant>
      <vt:variant>
        <vt:lpwstr>https://undocs.org/en/A/CN.9/1004</vt:lpwstr>
      </vt:variant>
      <vt:variant>
        <vt:lpwstr/>
      </vt:variant>
      <vt:variant>
        <vt:i4>5767196</vt:i4>
      </vt:variant>
      <vt:variant>
        <vt:i4>87</vt:i4>
      </vt:variant>
      <vt:variant>
        <vt:i4>0</vt:i4>
      </vt:variant>
      <vt:variant>
        <vt:i4>5</vt:i4>
      </vt:variant>
      <vt:variant>
        <vt:lpwstr>https://undocs.org/en/A/CN.9/1004</vt:lpwstr>
      </vt:variant>
      <vt:variant>
        <vt:lpwstr/>
      </vt:variant>
      <vt:variant>
        <vt:i4>5767196</vt:i4>
      </vt:variant>
      <vt:variant>
        <vt:i4>84</vt:i4>
      </vt:variant>
      <vt:variant>
        <vt:i4>0</vt:i4>
      </vt:variant>
      <vt:variant>
        <vt:i4>5</vt:i4>
      </vt:variant>
      <vt:variant>
        <vt:lpwstr>https://undocs.org/en/A/CN.9/1004</vt:lpwstr>
      </vt:variant>
      <vt:variant>
        <vt:lpwstr/>
      </vt:variant>
      <vt:variant>
        <vt:i4>5767196</vt:i4>
      </vt:variant>
      <vt:variant>
        <vt:i4>81</vt:i4>
      </vt:variant>
      <vt:variant>
        <vt:i4>0</vt:i4>
      </vt:variant>
      <vt:variant>
        <vt:i4>5</vt:i4>
      </vt:variant>
      <vt:variant>
        <vt:lpwstr>https://undocs.org/en/A/CN.9/1004</vt:lpwstr>
      </vt:variant>
      <vt:variant>
        <vt:lpwstr/>
      </vt:variant>
      <vt:variant>
        <vt:i4>5767196</vt:i4>
      </vt:variant>
      <vt:variant>
        <vt:i4>78</vt:i4>
      </vt:variant>
      <vt:variant>
        <vt:i4>0</vt:i4>
      </vt:variant>
      <vt:variant>
        <vt:i4>5</vt:i4>
      </vt:variant>
      <vt:variant>
        <vt:lpwstr>https://undocs.org/en/A/CN.9/1004</vt:lpwstr>
      </vt:variant>
      <vt:variant>
        <vt:lpwstr/>
      </vt:variant>
      <vt:variant>
        <vt:i4>5767196</vt:i4>
      </vt:variant>
      <vt:variant>
        <vt:i4>75</vt:i4>
      </vt:variant>
      <vt:variant>
        <vt:i4>0</vt:i4>
      </vt:variant>
      <vt:variant>
        <vt:i4>5</vt:i4>
      </vt:variant>
      <vt:variant>
        <vt:lpwstr>https://undocs.org/en/A/CN.9/1004</vt:lpwstr>
      </vt:variant>
      <vt:variant>
        <vt:lpwstr/>
      </vt:variant>
      <vt:variant>
        <vt:i4>5767196</vt:i4>
      </vt:variant>
      <vt:variant>
        <vt:i4>72</vt:i4>
      </vt:variant>
      <vt:variant>
        <vt:i4>0</vt:i4>
      </vt:variant>
      <vt:variant>
        <vt:i4>5</vt:i4>
      </vt:variant>
      <vt:variant>
        <vt:lpwstr>https://undocs.org/en/A/CN.9/1004</vt:lpwstr>
      </vt:variant>
      <vt:variant>
        <vt:lpwstr/>
      </vt:variant>
      <vt:variant>
        <vt:i4>5767196</vt:i4>
      </vt:variant>
      <vt:variant>
        <vt:i4>69</vt:i4>
      </vt:variant>
      <vt:variant>
        <vt:i4>0</vt:i4>
      </vt:variant>
      <vt:variant>
        <vt:i4>5</vt:i4>
      </vt:variant>
      <vt:variant>
        <vt:lpwstr>https://undocs.org/en/A/CN.9/1004</vt:lpwstr>
      </vt:variant>
      <vt:variant>
        <vt:lpwstr/>
      </vt:variant>
      <vt:variant>
        <vt:i4>5767196</vt:i4>
      </vt:variant>
      <vt:variant>
        <vt:i4>66</vt:i4>
      </vt:variant>
      <vt:variant>
        <vt:i4>0</vt:i4>
      </vt:variant>
      <vt:variant>
        <vt:i4>5</vt:i4>
      </vt:variant>
      <vt:variant>
        <vt:lpwstr>https://undocs.org/en/A/CN.9/1004</vt:lpwstr>
      </vt:variant>
      <vt:variant>
        <vt:lpwstr/>
      </vt:variant>
      <vt:variant>
        <vt:i4>5767196</vt:i4>
      </vt:variant>
      <vt:variant>
        <vt:i4>63</vt:i4>
      </vt:variant>
      <vt:variant>
        <vt:i4>0</vt:i4>
      </vt:variant>
      <vt:variant>
        <vt:i4>5</vt:i4>
      </vt:variant>
      <vt:variant>
        <vt:lpwstr>https://undocs.org/en/A/CN.9/1004</vt:lpwstr>
      </vt:variant>
      <vt:variant>
        <vt:lpwstr/>
      </vt:variant>
      <vt:variant>
        <vt:i4>5767196</vt:i4>
      </vt:variant>
      <vt:variant>
        <vt:i4>60</vt:i4>
      </vt:variant>
      <vt:variant>
        <vt:i4>0</vt:i4>
      </vt:variant>
      <vt:variant>
        <vt:i4>5</vt:i4>
      </vt:variant>
      <vt:variant>
        <vt:lpwstr>https://undocs.org/en/A/CN.9/1004</vt:lpwstr>
      </vt:variant>
      <vt:variant>
        <vt:lpwstr/>
      </vt:variant>
      <vt:variant>
        <vt:i4>5767196</vt:i4>
      </vt:variant>
      <vt:variant>
        <vt:i4>57</vt:i4>
      </vt:variant>
      <vt:variant>
        <vt:i4>0</vt:i4>
      </vt:variant>
      <vt:variant>
        <vt:i4>5</vt:i4>
      </vt:variant>
      <vt:variant>
        <vt:lpwstr>https://undocs.org/en/A/CN.9/1004</vt:lpwstr>
      </vt:variant>
      <vt:variant>
        <vt:lpwstr/>
      </vt:variant>
      <vt:variant>
        <vt:i4>5767196</vt:i4>
      </vt:variant>
      <vt:variant>
        <vt:i4>54</vt:i4>
      </vt:variant>
      <vt:variant>
        <vt:i4>0</vt:i4>
      </vt:variant>
      <vt:variant>
        <vt:i4>5</vt:i4>
      </vt:variant>
      <vt:variant>
        <vt:lpwstr>https://undocs.org/en/A/CN.9/1004</vt:lpwstr>
      </vt:variant>
      <vt:variant>
        <vt:lpwstr/>
      </vt:variant>
      <vt:variant>
        <vt:i4>4128804</vt:i4>
      </vt:variant>
      <vt:variant>
        <vt:i4>51</vt:i4>
      </vt:variant>
      <vt:variant>
        <vt:i4>0</vt:i4>
      </vt:variant>
      <vt:variant>
        <vt:i4>5</vt:i4>
      </vt:variant>
      <vt:variant>
        <vt:lpwstr>https://undocs.org/en/A/CN.9/WG.III/WP.168</vt:lpwstr>
      </vt:variant>
      <vt:variant>
        <vt:lpwstr/>
      </vt:variant>
      <vt:variant>
        <vt:i4>5767196</vt:i4>
      </vt:variant>
      <vt:variant>
        <vt:i4>48</vt:i4>
      </vt:variant>
      <vt:variant>
        <vt:i4>0</vt:i4>
      </vt:variant>
      <vt:variant>
        <vt:i4>5</vt:i4>
      </vt:variant>
      <vt:variant>
        <vt:lpwstr>https://undocs.org/en/A/CN.9/1004</vt:lpwstr>
      </vt:variant>
      <vt:variant>
        <vt:lpwstr/>
      </vt:variant>
      <vt:variant>
        <vt:i4>5767196</vt:i4>
      </vt:variant>
      <vt:variant>
        <vt:i4>45</vt:i4>
      </vt:variant>
      <vt:variant>
        <vt:i4>0</vt:i4>
      </vt:variant>
      <vt:variant>
        <vt:i4>5</vt:i4>
      </vt:variant>
      <vt:variant>
        <vt:lpwstr>https://undocs.org/en/A/CN.9/1004</vt:lpwstr>
      </vt:variant>
      <vt:variant>
        <vt:lpwstr/>
      </vt:variant>
      <vt:variant>
        <vt:i4>5767196</vt:i4>
      </vt:variant>
      <vt:variant>
        <vt:i4>42</vt:i4>
      </vt:variant>
      <vt:variant>
        <vt:i4>0</vt:i4>
      </vt:variant>
      <vt:variant>
        <vt:i4>5</vt:i4>
      </vt:variant>
      <vt:variant>
        <vt:lpwstr>https://undocs.org/en/A/CN.9/1004</vt:lpwstr>
      </vt:variant>
      <vt:variant>
        <vt:lpwstr/>
      </vt:variant>
      <vt:variant>
        <vt:i4>4128804</vt:i4>
      </vt:variant>
      <vt:variant>
        <vt:i4>39</vt:i4>
      </vt:variant>
      <vt:variant>
        <vt:i4>0</vt:i4>
      </vt:variant>
      <vt:variant>
        <vt:i4>5</vt:i4>
      </vt:variant>
      <vt:variant>
        <vt:lpwstr>https://undocs.org/en/A/CN.9/WG.III/WP.168</vt:lpwstr>
      </vt:variant>
      <vt:variant>
        <vt:lpwstr/>
      </vt:variant>
      <vt:variant>
        <vt:i4>5767196</vt:i4>
      </vt:variant>
      <vt:variant>
        <vt:i4>36</vt:i4>
      </vt:variant>
      <vt:variant>
        <vt:i4>0</vt:i4>
      </vt:variant>
      <vt:variant>
        <vt:i4>5</vt:i4>
      </vt:variant>
      <vt:variant>
        <vt:lpwstr>https://undocs.org/en/A/CN.9/1004</vt:lpwstr>
      </vt:variant>
      <vt:variant>
        <vt:lpwstr/>
      </vt:variant>
      <vt:variant>
        <vt:i4>5767196</vt:i4>
      </vt:variant>
      <vt:variant>
        <vt:i4>33</vt:i4>
      </vt:variant>
      <vt:variant>
        <vt:i4>0</vt:i4>
      </vt:variant>
      <vt:variant>
        <vt:i4>5</vt:i4>
      </vt:variant>
      <vt:variant>
        <vt:lpwstr>https://undocs.org/en/A/CN.9/1004</vt:lpwstr>
      </vt:variant>
      <vt:variant>
        <vt:lpwstr/>
      </vt:variant>
      <vt:variant>
        <vt:i4>5767196</vt:i4>
      </vt:variant>
      <vt:variant>
        <vt:i4>30</vt:i4>
      </vt:variant>
      <vt:variant>
        <vt:i4>0</vt:i4>
      </vt:variant>
      <vt:variant>
        <vt:i4>5</vt:i4>
      </vt:variant>
      <vt:variant>
        <vt:lpwstr>https://undocs.org/en/A/CN.9/1004</vt:lpwstr>
      </vt:variant>
      <vt:variant>
        <vt:lpwstr/>
      </vt:variant>
      <vt:variant>
        <vt:i4>5767196</vt:i4>
      </vt:variant>
      <vt:variant>
        <vt:i4>27</vt:i4>
      </vt:variant>
      <vt:variant>
        <vt:i4>0</vt:i4>
      </vt:variant>
      <vt:variant>
        <vt:i4>5</vt:i4>
      </vt:variant>
      <vt:variant>
        <vt:lpwstr>https://undocs.org/en/A/CN.9/1004</vt:lpwstr>
      </vt:variant>
      <vt:variant>
        <vt:lpwstr/>
      </vt:variant>
      <vt:variant>
        <vt:i4>5767196</vt:i4>
      </vt:variant>
      <vt:variant>
        <vt:i4>24</vt:i4>
      </vt:variant>
      <vt:variant>
        <vt:i4>0</vt:i4>
      </vt:variant>
      <vt:variant>
        <vt:i4>5</vt:i4>
      </vt:variant>
      <vt:variant>
        <vt:lpwstr>https://undocs.org/en/A/CN.9/1004</vt:lpwstr>
      </vt:variant>
      <vt:variant>
        <vt:lpwstr/>
      </vt:variant>
      <vt:variant>
        <vt:i4>4128804</vt:i4>
      </vt:variant>
      <vt:variant>
        <vt:i4>21</vt:i4>
      </vt:variant>
      <vt:variant>
        <vt:i4>0</vt:i4>
      </vt:variant>
      <vt:variant>
        <vt:i4>5</vt:i4>
      </vt:variant>
      <vt:variant>
        <vt:lpwstr>https://undocs.org/en/A/CN.9/WG.III/WP.168</vt:lpwstr>
      </vt:variant>
      <vt:variant>
        <vt:lpwstr/>
      </vt:variant>
      <vt:variant>
        <vt:i4>5767196</vt:i4>
      </vt:variant>
      <vt:variant>
        <vt:i4>18</vt:i4>
      </vt:variant>
      <vt:variant>
        <vt:i4>0</vt:i4>
      </vt:variant>
      <vt:variant>
        <vt:i4>5</vt:i4>
      </vt:variant>
      <vt:variant>
        <vt:lpwstr>https://undocs.org/en/A/CN.9/1004</vt:lpwstr>
      </vt:variant>
      <vt:variant>
        <vt:lpwstr/>
      </vt:variant>
      <vt:variant>
        <vt:i4>5767196</vt:i4>
      </vt:variant>
      <vt:variant>
        <vt:i4>15</vt:i4>
      </vt:variant>
      <vt:variant>
        <vt:i4>0</vt:i4>
      </vt:variant>
      <vt:variant>
        <vt:i4>5</vt:i4>
      </vt:variant>
      <vt:variant>
        <vt:lpwstr>https://undocs.org/en/A/CN.9/1004</vt:lpwstr>
      </vt:variant>
      <vt:variant>
        <vt:lpwstr/>
      </vt:variant>
      <vt:variant>
        <vt:i4>5963847</vt:i4>
      </vt:variant>
      <vt:variant>
        <vt:i4>12</vt:i4>
      </vt:variant>
      <vt:variant>
        <vt:i4>0</vt:i4>
      </vt:variant>
      <vt:variant>
        <vt:i4>5</vt:i4>
      </vt:variant>
      <vt:variant>
        <vt:lpwstr>http://undocs.org/A/CN.9/970</vt:lpwstr>
      </vt:variant>
      <vt:variant>
        <vt:lpwstr/>
      </vt:variant>
      <vt:variant>
        <vt:i4>5963847</vt:i4>
      </vt:variant>
      <vt:variant>
        <vt:i4>9</vt:i4>
      </vt:variant>
      <vt:variant>
        <vt:i4>0</vt:i4>
      </vt:variant>
      <vt:variant>
        <vt:i4>5</vt:i4>
      </vt:variant>
      <vt:variant>
        <vt:lpwstr>http://undocs.org/A/CN.9/970</vt:lpwstr>
      </vt:variant>
      <vt:variant>
        <vt:lpwstr/>
      </vt:variant>
      <vt:variant>
        <vt:i4>6225990</vt:i4>
      </vt:variant>
      <vt:variant>
        <vt:i4>6</vt:i4>
      </vt:variant>
      <vt:variant>
        <vt:i4>0</vt:i4>
      </vt:variant>
      <vt:variant>
        <vt:i4>5</vt:i4>
      </vt:variant>
      <vt:variant>
        <vt:lpwstr>http://undocs.org/A/CN.9/964</vt:lpwstr>
      </vt:variant>
      <vt:variant>
        <vt:lpwstr/>
      </vt:variant>
      <vt:variant>
        <vt:i4>6160451</vt:i4>
      </vt:variant>
      <vt:variant>
        <vt:i4>3</vt:i4>
      </vt:variant>
      <vt:variant>
        <vt:i4>0</vt:i4>
      </vt:variant>
      <vt:variant>
        <vt:i4>5</vt:i4>
      </vt:variant>
      <vt:variant>
        <vt:lpwstr>http://undocs.org/A/CN.9/935</vt:lpwstr>
      </vt:variant>
      <vt:variant>
        <vt:lpwstr/>
      </vt:variant>
      <vt:variant>
        <vt:i4>7208999</vt:i4>
      </vt:variant>
      <vt:variant>
        <vt:i4>0</vt:i4>
      </vt:variant>
      <vt:variant>
        <vt:i4>0</vt:i4>
      </vt:variant>
      <vt:variant>
        <vt:i4>5</vt:i4>
      </vt:variant>
      <vt:variant>
        <vt:lpwstr>http://undocs.org/A/CN.9/930/Rev.1</vt:lpwstr>
      </vt:variant>
      <vt:variant>
        <vt:lpwstr/>
      </vt:variant>
      <vt:variant>
        <vt:i4>5242955</vt:i4>
      </vt:variant>
      <vt:variant>
        <vt:i4>108</vt:i4>
      </vt:variant>
      <vt:variant>
        <vt:i4>0</vt:i4>
      </vt:variant>
      <vt:variant>
        <vt:i4>5</vt:i4>
      </vt:variant>
      <vt:variant>
        <vt:lpwstr>https://www.acwl.ch/download/basic_documents/agreement_establishing_the_ACWL/Agreement_estab_ACWL.pdf</vt:lpwstr>
      </vt:variant>
      <vt:variant>
        <vt:lpwstr/>
      </vt:variant>
      <vt:variant>
        <vt:i4>4718595</vt:i4>
      </vt:variant>
      <vt:variant>
        <vt:i4>105</vt:i4>
      </vt:variant>
      <vt:variant>
        <vt:i4>0</vt:i4>
      </vt:variant>
      <vt:variant>
        <vt:i4>5</vt:i4>
      </vt:variant>
      <vt:variant>
        <vt:lpwstr>https://unstats.un.org/unsd/methodology/m49/</vt:lpwstr>
      </vt:variant>
      <vt:variant>
        <vt:lpwstr/>
      </vt:variant>
      <vt:variant>
        <vt:i4>589915</vt:i4>
      </vt:variant>
      <vt:variant>
        <vt:i4>102</vt:i4>
      </vt:variant>
      <vt:variant>
        <vt:i4>0</vt:i4>
      </vt:variant>
      <vt:variant>
        <vt:i4>5</vt:i4>
      </vt:variant>
      <vt:variant>
        <vt:lpwstr>https://www.un.org/development/desa/dpad/wp-content/uploads/sites/45/CDP-2020-Criteria-review-outcome.pdf</vt:lpwstr>
      </vt:variant>
      <vt:variant>
        <vt:lpwstr/>
      </vt:variant>
      <vt:variant>
        <vt:i4>4128810</vt:i4>
      </vt:variant>
      <vt:variant>
        <vt:i4>99</vt:i4>
      </vt:variant>
      <vt:variant>
        <vt:i4>0</vt:i4>
      </vt:variant>
      <vt:variant>
        <vt:i4>5</vt:i4>
      </vt:variant>
      <vt:variant>
        <vt:lpwstr>https://undocs.org/en/A/CN.9/WG.III/WP.188</vt:lpwstr>
      </vt:variant>
      <vt:variant>
        <vt:lpwstr/>
      </vt:variant>
      <vt:variant>
        <vt:i4>3866745</vt:i4>
      </vt:variant>
      <vt:variant>
        <vt:i4>96</vt:i4>
      </vt:variant>
      <vt:variant>
        <vt:i4>0</vt:i4>
      </vt:variant>
      <vt:variant>
        <vt:i4>5</vt:i4>
      </vt:variant>
      <vt:variant>
        <vt:lpwstr>http://undocs.org/A/CN.9/WG.III/WP.177</vt:lpwstr>
      </vt:variant>
      <vt:variant>
        <vt:lpwstr/>
      </vt:variant>
      <vt:variant>
        <vt:i4>3407993</vt:i4>
      </vt:variant>
      <vt:variant>
        <vt:i4>93</vt:i4>
      </vt:variant>
      <vt:variant>
        <vt:i4>0</vt:i4>
      </vt:variant>
      <vt:variant>
        <vt:i4>5</vt:i4>
      </vt:variant>
      <vt:variant>
        <vt:lpwstr>http://undocs.org/A/CN.9/WG.III/WP.178</vt:lpwstr>
      </vt:variant>
      <vt:variant>
        <vt:lpwstr/>
      </vt:variant>
      <vt:variant>
        <vt:i4>3670136</vt:i4>
      </vt:variant>
      <vt:variant>
        <vt:i4>90</vt:i4>
      </vt:variant>
      <vt:variant>
        <vt:i4>0</vt:i4>
      </vt:variant>
      <vt:variant>
        <vt:i4>5</vt:i4>
      </vt:variant>
      <vt:variant>
        <vt:lpwstr>http://undocs.org/A/CN.9/WG.III/WP.164</vt:lpwstr>
      </vt:variant>
      <vt:variant>
        <vt:lpwstr/>
      </vt:variant>
      <vt:variant>
        <vt:i4>4063352</vt:i4>
      </vt:variant>
      <vt:variant>
        <vt:i4>87</vt:i4>
      </vt:variant>
      <vt:variant>
        <vt:i4>0</vt:i4>
      </vt:variant>
      <vt:variant>
        <vt:i4>5</vt:i4>
      </vt:variant>
      <vt:variant>
        <vt:lpwstr>http://undocs.org/A/CN.9/WG.III/WP.162</vt:lpwstr>
      </vt:variant>
      <vt:variant>
        <vt:lpwstr/>
      </vt:variant>
      <vt:variant>
        <vt:i4>3866745</vt:i4>
      </vt:variant>
      <vt:variant>
        <vt:i4>84</vt:i4>
      </vt:variant>
      <vt:variant>
        <vt:i4>0</vt:i4>
      </vt:variant>
      <vt:variant>
        <vt:i4>5</vt:i4>
      </vt:variant>
      <vt:variant>
        <vt:lpwstr>http://undocs.org/A/CN.9/WG.III/WP.177</vt:lpwstr>
      </vt:variant>
      <vt:variant>
        <vt:lpwstr/>
      </vt:variant>
      <vt:variant>
        <vt:i4>720925</vt:i4>
      </vt:variant>
      <vt:variant>
        <vt:i4>81</vt:i4>
      </vt:variant>
      <vt:variant>
        <vt:i4>0</vt:i4>
      </vt:variant>
      <vt:variant>
        <vt:i4>5</vt:i4>
      </vt:variant>
      <vt:variant>
        <vt:lpwstr>https://uncitral.un.org/en/library/online_resources/investor-state_dispute</vt:lpwstr>
      </vt:variant>
      <vt:variant>
        <vt:lpwstr/>
      </vt:variant>
      <vt:variant>
        <vt:i4>3407914</vt:i4>
      </vt:variant>
      <vt:variant>
        <vt:i4>78</vt:i4>
      </vt:variant>
      <vt:variant>
        <vt:i4>0</vt:i4>
      </vt:variant>
      <vt:variant>
        <vt:i4>5</vt:i4>
      </vt:variant>
      <vt:variant>
        <vt:lpwstr>https://undocs.org/en/A/CN.9/WG.III/WP.183</vt:lpwstr>
      </vt:variant>
      <vt:variant>
        <vt:lpwstr/>
      </vt:variant>
      <vt:variant>
        <vt:i4>4128810</vt:i4>
      </vt:variant>
      <vt:variant>
        <vt:i4>75</vt:i4>
      </vt:variant>
      <vt:variant>
        <vt:i4>0</vt:i4>
      </vt:variant>
      <vt:variant>
        <vt:i4>5</vt:i4>
      </vt:variant>
      <vt:variant>
        <vt:lpwstr>https://undocs.org/en/A/CN.9/WG.III/WP.188</vt:lpwstr>
      </vt:variant>
      <vt:variant>
        <vt:lpwstr/>
      </vt:variant>
      <vt:variant>
        <vt:i4>3407993</vt:i4>
      </vt:variant>
      <vt:variant>
        <vt:i4>72</vt:i4>
      </vt:variant>
      <vt:variant>
        <vt:i4>0</vt:i4>
      </vt:variant>
      <vt:variant>
        <vt:i4>5</vt:i4>
      </vt:variant>
      <vt:variant>
        <vt:lpwstr>http://undocs.org/A/CN.9/WG.III/WP.178</vt:lpwstr>
      </vt:variant>
      <vt:variant>
        <vt:lpwstr/>
      </vt:variant>
      <vt:variant>
        <vt:i4>3670136</vt:i4>
      </vt:variant>
      <vt:variant>
        <vt:i4>69</vt:i4>
      </vt:variant>
      <vt:variant>
        <vt:i4>0</vt:i4>
      </vt:variant>
      <vt:variant>
        <vt:i4>5</vt:i4>
      </vt:variant>
      <vt:variant>
        <vt:lpwstr>http://undocs.org/A/CN.9/WG.III/WP.164</vt:lpwstr>
      </vt:variant>
      <vt:variant>
        <vt:lpwstr/>
      </vt:variant>
      <vt:variant>
        <vt:i4>3407914</vt:i4>
      </vt:variant>
      <vt:variant>
        <vt:i4>66</vt:i4>
      </vt:variant>
      <vt:variant>
        <vt:i4>0</vt:i4>
      </vt:variant>
      <vt:variant>
        <vt:i4>5</vt:i4>
      </vt:variant>
      <vt:variant>
        <vt:lpwstr>https://undocs.org/en/A/CN.9/WG.III/WP.183</vt:lpwstr>
      </vt:variant>
      <vt:variant>
        <vt:lpwstr/>
      </vt:variant>
      <vt:variant>
        <vt:i4>4128810</vt:i4>
      </vt:variant>
      <vt:variant>
        <vt:i4>63</vt:i4>
      </vt:variant>
      <vt:variant>
        <vt:i4>0</vt:i4>
      </vt:variant>
      <vt:variant>
        <vt:i4>5</vt:i4>
      </vt:variant>
      <vt:variant>
        <vt:lpwstr>https://undocs.org/en/A/CN.9/WG.III/WP.188</vt:lpwstr>
      </vt:variant>
      <vt:variant>
        <vt:lpwstr/>
      </vt:variant>
      <vt:variant>
        <vt:i4>3866745</vt:i4>
      </vt:variant>
      <vt:variant>
        <vt:i4>60</vt:i4>
      </vt:variant>
      <vt:variant>
        <vt:i4>0</vt:i4>
      </vt:variant>
      <vt:variant>
        <vt:i4>5</vt:i4>
      </vt:variant>
      <vt:variant>
        <vt:lpwstr>http://undocs.org/A/CN.9/WG.III/WP.177</vt:lpwstr>
      </vt:variant>
      <vt:variant>
        <vt:lpwstr/>
      </vt:variant>
      <vt:variant>
        <vt:i4>3407993</vt:i4>
      </vt:variant>
      <vt:variant>
        <vt:i4>57</vt:i4>
      </vt:variant>
      <vt:variant>
        <vt:i4>0</vt:i4>
      </vt:variant>
      <vt:variant>
        <vt:i4>5</vt:i4>
      </vt:variant>
      <vt:variant>
        <vt:lpwstr>http://undocs.org/A/CN.9/WG.III/WP.178</vt:lpwstr>
      </vt:variant>
      <vt:variant>
        <vt:lpwstr/>
      </vt:variant>
      <vt:variant>
        <vt:i4>3670136</vt:i4>
      </vt:variant>
      <vt:variant>
        <vt:i4>54</vt:i4>
      </vt:variant>
      <vt:variant>
        <vt:i4>0</vt:i4>
      </vt:variant>
      <vt:variant>
        <vt:i4>5</vt:i4>
      </vt:variant>
      <vt:variant>
        <vt:lpwstr>http://undocs.org/A/CN.9/WG.III/WP.164</vt:lpwstr>
      </vt:variant>
      <vt:variant>
        <vt:lpwstr/>
      </vt:variant>
      <vt:variant>
        <vt:i4>4063352</vt:i4>
      </vt:variant>
      <vt:variant>
        <vt:i4>51</vt:i4>
      </vt:variant>
      <vt:variant>
        <vt:i4>0</vt:i4>
      </vt:variant>
      <vt:variant>
        <vt:i4>5</vt:i4>
      </vt:variant>
      <vt:variant>
        <vt:lpwstr>http://undocs.org/A/CN.9/WG.III/WP.162</vt:lpwstr>
      </vt:variant>
      <vt:variant>
        <vt:lpwstr/>
      </vt:variant>
      <vt:variant>
        <vt:i4>3538980</vt:i4>
      </vt:variant>
      <vt:variant>
        <vt:i4>48</vt:i4>
      </vt:variant>
      <vt:variant>
        <vt:i4>0</vt:i4>
      </vt:variant>
      <vt:variant>
        <vt:i4>5</vt:i4>
      </vt:variant>
      <vt:variant>
        <vt:lpwstr>https://undocs.org/en/A/CN.9/WG.III/WP.161</vt:lpwstr>
      </vt:variant>
      <vt:variant>
        <vt:lpwstr/>
      </vt:variant>
      <vt:variant>
        <vt:i4>5767196</vt:i4>
      </vt:variant>
      <vt:variant>
        <vt:i4>45</vt:i4>
      </vt:variant>
      <vt:variant>
        <vt:i4>0</vt:i4>
      </vt:variant>
      <vt:variant>
        <vt:i4>5</vt:i4>
      </vt:variant>
      <vt:variant>
        <vt:lpwstr>https://undocs.org/en/A/CN.9/1004</vt:lpwstr>
      </vt:variant>
      <vt:variant>
        <vt:lpwstr/>
      </vt:variant>
      <vt:variant>
        <vt:i4>7405664</vt:i4>
      </vt:variant>
      <vt:variant>
        <vt:i4>42</vt:i4>
      </vt:variant>
      <vt:variant>
        <vt:i4>0</vt:i4>
      </vt:variant>
      <vt:variant>
        <vt:i4>5</vt:i4>
      </vt:variant>
      <vt:variant>
        <vt:lpwstr>https://uncitral.un.org/sites/uncitral.un.org/files/media-documents/uncitral/en/securingadequatedefense.pdf</vt:lpwstr>
      </vt:variant>
      <vt:variant>
        <vt:lpwstr/>
      </vt:variant>
      <vt:variant>
        <vt:i4>5767196</vt:i4>
      </vt:variant>
      <vt:variant>
        <vt:i4>39</vt:i4>
      </vt:variant>
      <vt:variant>
        <vt:i4>0</vt:i4>
      </vt:variant>
      <vt:variant>
        <vt:i4>5</vt:i4>
      </vt:variant>
      <vt:variant>
        <vt:lpwstr>https://undocs.org/en/A/CN.9/1004</vt:lpwstr>
      </vt:variant>
      <vt:variant>
        <vt:lpwstr/>
      </vt:variant>
      <vt:variant>
        <vt:i4>7405664</vt:i4>
      </vt:variant>
      <vt:variant>
        <vt:i4>36</vt:i4>
      </vt:variant>
      <vt:variant>
        <vt:i4>0</vt:i4>
      </vt:variant>
      <vt:variant>
        <vt:i4>5</vt:i4>
      </vt:variant>
      <vt:variant>
        <vt:lpwstr>https://uncitral.un.org/sites/uncitral.un.org/files/media-documents/uncitral/en/securingadequatedefense.pdf</vt:lpwstr>
      </vt:variant>
      <vt:variant>
        <vt:lpwstr/>
      </vt:variant>
      <vt:variant>
        <vt:i4>7405664</vt:i4>
      </vt:variant>
      <vt:variant>
        <vt:i4>33</vt:i4>
      </vt:variant>
      <vt:variant>
        <vt:i4>0</vt:i4>
      </vt:variant>
      <vt:variant>
        <vt:i4>5</vt:i4>
      </vt:variant>
      <vt:variant>
        <vt:lpwstr>https://uncitral.un.org/sites/uncitral.un.org/files/media-documents/uncitral/en/securingadequatedefense.pdf</vt:lpwstr>
      </vt:variant>
      <vt:variant>
        <vt:lpwstr/>
      </vt:variant>
      <vt:variant>
        <vt:i4>3407914</vt:i4>
      </vt:variant>
      <vt:variant>
        <vt:i4>30</vt:i4>
      </vt:variant>
      <vt:variant>
        <vt:i4>0</vt:i4>
      </vt:variant>
      <vt:variant>
        <vt:i4>5</vt:i4>
      </vt:variant>
      <vt:variant>
        <vt:lpwstr>https://undocs.org/en/A/CN.9/WG.III/WP.183</vt:lpwstr>
      </vt:variant>
      <vt:variant>
        <vt:lpwstr/>
      </vt:variant>
      <vt:variant>
        <vt:i4>4128810</vt:i4>
      </vt:variant>
      <vt:variant>
        <vt:i4>27</vt:i4>
      </vt:variant>
      <vt:variant>
        <vt:i4>0</vt:i4>
      </vt:variant>
      <vt:variant>
        <vt:i4>5</vt:i4>
      </vt:variant>
      <vt:variant>
        <vt:lpwstr>https://undocs.org/en/A/CN.9/WG.III/WP.188</vt:lpwstr>
      </vt:variant>
      <vt:variant>
        <vt:lpwstr/>
      </vt:variant>
      <vt:variant>
        <vt:i4>3866745</vt:i4>
      </vt:variant>
      <vt:variant>
        <vt:i4>24</vt:i4>
      </vt:variant>
      <vt:variant>
        <vt:i4>0</vt:i4>
      </vt:variant>
      <vt:variant>
        <vt:i4>5</vt:i4>
      </vt:variant>
      <vt:variant>
        <vt:lpwstr>http://undocs.org/A/CN.9/WG.III/WP.177</vt:lpwstr>
      </vt:variant>
      <vt:variant>
        <vt:lpwstr/>
      </vt:variant>
      <vt:variant>
        <vt:i4>3407993</vt:i4>
      </vt:variant>
      <vt:variant>
        <vt:i4>21</vt:i4>
      </vt:variant>
      <vt:variant>
        <vt:i4>0</vt:i4>
      </vt:variant>
      <vt:variant>
        <vt:i4>5</vt:i4>
      </vt:variant>
      <vt:variant>
        <vt:lpwstr>http://undocs.org/A/CN.9/WG.III/WP.178</vt:lpwstr>
      </vt:variant>
      <vt:variant>
        <vt:lpwstr/>
      </vt:variant>
      <vt:variant>
        <vt:i4>3670136</vt:i4>
      </vt:variant>
      <vt:variant>
        <vt:i4>18</vt:i4>
      </vt:variant>
      <vt:variant>
        <vt:i4>0</vt:i4>
      </vt:variant>
      <vt:variant>
        <vt:i4>5</vt:i4>
      </vt:variant>
      <vt:variant>
        <vt:lpwstr>http://undocs.org/A/CN.9/WG.III/WP.164</vt:lpwstr>
      </vt:variant>
      <vt:variant>
        <vt:lpwstr/>
      </vt:variant>
      <vt:variant>
        <vt:i4>4063352</vt:i4>
      </vt:variant>
      <vt:variant>
        <vt:i4>15</vt:i4>
      </vt:variant>
      <vt:variant>
        <vt:i4>0</vt:i4>
      </vt:variant>
      <vt:variant>
        <vt:i4>5</vt:i4>
      </vt:variant>
      <vt:variant>
        <vt:lpwstr>http://undocs.org/A/CN.9/WG.III/WP.162</vt:lpwstr>
      </vt:variant>
      <vt:variant>
        <vt:lpwstr/>
      </vt:variant>
      <vt:variant>
        <vt:i4>3538980</vt:i4>
      </vt:variant>
      <vt:variant>
        <vt:i4>12</vt:i4>
      </vt:variant>
      <vt:variant>
        <vt:i4>0</vt:i4>
      </vt:variant>
      <vt:variant>
        <vt:i4>5</vt:i4>
      </vt:variant>
      <vt:variant>
        <vt:lpwstr>https://undocs.org/en/A/CN.9/WG.III/WP.161</vt:lpwstr>
      </vt:variant>
      <vt:variant>
        <vt:lpwstr/>
      </vt:variant>
      <vt:variant>
        <vt:i4>720925</vt:i4>
      </vt:variant>
      <vt:variant>
        <vt:i4>9</vt:i4>
      </vt:variant>
      <vt:variant>
        <vt:i4>0</vt:i4>
      </vt:variant>
      <vt:variant>
        <vt:i4>5</vt:i4>
      </vt:variant>
      <vt:variant>
        <vt:lpwstr>https://uncitral.un.org/en/library/online_resources/investor-state_dispute</vt:lpwstr>
      </vt:variant>
      <vt:variant>
        <vt:lpwstr/>
      </vt:variant>
      <vt:variant>
        <vt:i4>7405664</vt:i4>
      </vt:variant>
      <vt:variant>
        <vt:i4>6</vt:i4>
      </vt:variant>
      <vt:variant>
        <vt:i4>0</vt:i4>
      </vt:variant>
      <vt:variant>
        <vt:i4>5</vt:i4>
      </vt:variant>
      <vt:variant>
        <vt:lpwstr>https://uncitral.un.org/sites/uncitral.un.org/files/media-documents/uncitral/en/securingadequatedefense.pdf</vt:lpwstr>
      </vt:variant>
      <vt:variant>
        <vt:lpwstr/>
      </vt:variant>
      <vt:variant>
        <vt:i4>3211300</vt:i4>
      </vt:variant>
      <vt:variant>
        <vt:i4>3</vt:i4>
      </vt:variant>
      <vt:variant>
        <vt:i4>0</vt:i4>
      </vt:variant>
      <vt:variant>
        <vt:i4>5</vt:i4>
      </vt:variant>
      <vt:variant>
        <vt:lpwstr>https://undocs.org/en/A/CN.9/WG.III/WP.166</vt:lpwstr>
      </vt:variant>
      <vt:variant>
        <vt:lpwstr/>
      </vt:variant>
      <vt:variant>
        <vt:i4>393226</vt:i4>
      </vt:variant>
      <vt:variant>
        <vt:i4>0</vt:i4>
      </vt:variant>
      <vt:variant>
        <vt:i4>0</vt:i4>
      </vt:variant>
      <vt:variant>
        <vt:i4>5</vt:i4>
      </vt:variant>
      <vt:variant>
        <vt:lpwstr>http://undocs.org/A/72/17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Tova-Anne Marr</dc:creator>
  <cp:keywords>UNCITRAL</cp:keywords>
  <dc:description/>
  <cp:lastModifiedBy>Anne Cathrine Mostad-Jensen</cp:lastModifiedBy>
  <cp:revision>2</cp:revision>
  <cp:lastPrinted>2020-10-20T11:18:00Z</cp:lastPrinted>
  <dcterms:created xsi:type="dcterms:W3CDTF">2021-03-05T15:45:00Z</dcterms:created>
  <dcterms:modified xsi:type="dcterms:W3CDTF">2021-03-05T15:45:00Z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1907888</vt:lpwstr>
  </property>
  <property fmtid="{D5CDD505-2E9C-101B-9397-08002B2CF9AE}" pid="3" name="ODSRefJobNo">
    <vt:lpwstr>1907888E</vt:lpwstr>
  </property>
  <property fmtid="{D5CDD505-2E9C-101B-9397-08002B2CF9AE}" pid="4" name="Symbol1">
    <vt:lpwstr>A/CN.9/WG.III/WP.168</vt:lpwstr>
  </property>
  <property fmtid="{D5CDD505-2E9C-101B-9397-08002B2CF9AE}" pid="5" name="Symbol2">
    <vt:lpwstr/>
  </property>
  <property fmtid="{D5CDD505-2E9C-101B-9397-08002B2CF9AE}" pid="6" name="Translator">
    <vt:lpwstr/>
  </property>
  <property fmtid="{D5CDD505-2E9C-101B-9397-08002B2CF9AE}" pid="7" name="Operator">
    <vt:lpwstr>TM</vt:lpwstr>
  </property>
  <property fmtid="{D5CDD505-2E9C-101B-9397-08002B2CF9AE}" pid="8" name="DraftPages">
    <vt:lpwstr> </vt:lpwstr>
  </property>
  <property fmtid="{D5CDD505-2E9C-101B-9397-08002B2CF9AE}" pid="9" name="Comment">
    <vt:lpwstr/>
  </property>
  <property fmtid="{D5CDD505-2E9C-101B-9397-08002B2CF9AE}" pid="10" name="Distribution">
    <vt:lpwstr>Limited</vt:lpwstr>
  </property>
  <property fmtid="{D5CDD505-2E9C-101B-9397-08002B2CF9AE}" pid="11" name="Publication Date">
    <vt:lpwstr>25 July 2019</vt:lpwstr>
  </property>
  <property fmtid="{D5CDD505-2E9C-101B-9397-08002B2CF9AE}" pid="12" name="Original">
    <vt:lpwstr>English</vt:lpwstr>
  </property>
  <property fmtid="{D5CDD505-2E9C-101B-9397-08002B2CF9AE}" pid="13" name="Release Date">
    <vt:lpwstr>260719</vt:lpwstr>
  </property>
  <property fmtid="{D5CDD505-2E9C-101B-9397-08002B2CF9AE}" pid="14" name="ContentTypeId">
    <vt:lpwstr>0x010100AA713ACA63DD394791487D01BCF16E1F</vt:lpwstr>
  </property>
</Properties>
</file>