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1E8849" w14:textId="77777777" w:rsidR="00721987" w:rsidRPr="00C16414" w:rsidRDefault="00721987" w:rsidP="00721987">
      <w:pPr>
        <w:spacing w:line="240" w:lineRule="auto"/>
        <w:sectPr w:rsidR="00721987" w:rsidRPr="00C16414" w:rsidSect="0059124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pgMar w:top="1440" w:right="1032" w:bottom="1757" w:left="1032" w:header="432" w:footer="504" w:gutter="0"/>
          <w:cols w:space="720"/>
          <w:titlePg/>
          <w:docGrid w:linePitch="360"/>
        </w:sectPr>
      </w:pPr>
      <w:bookmarkStart w:id="0" w:name="_GoBack"/>
      <w:bookmarkEnd w:id="0"/>
    </w:p>
    <w:tbl>
      <w:tblPr>
        <w:tblW w:w="9841" w:type="dxa"/>
        <w:tblLayout w:type="fixed"/>
        <w:tblLook w:val="0000" w:firstRow="0" w:lastRow="0" w:firstColumn="0" w:lastColumn="0" w:noHBand="0" w:noVBand="0"/>
      </w:tblPr>
      <w:tblGrid>
        <w:gridCol w:w="4893"/>
        <w:gridCol w:w="288"/>
        <w:gridCol w:w="4660"/>
      </w:tblGrid>
      <w:tr w:rsidR="00721987" w:rsidRPr="00C16414" w14:paraId="5B19678C" w14:textId="77777777" w:rsidTr="00721987">
        <w:tc>
          <w:tcPr>
            <w:tcW w:w="4893" w:type="dxa"/>
            <w:shd w:val="clear" w:color="auto" w:fill="auto"/>
          </w:tcPr>
          <w:p w14:paraId="0556399F" w14:textId="77777777" w:rsidR="00727DD2" w:rsidRPr="00C16414" w:rsidRDefault="00727DD2" w:rsidP="00AE0F71">
            <w:pPr>
              <w:pStyle w:val="H1"/>
              <w:ind w:left="0" w:firstLine="0"/>
              <w:outlineLvl w:val="9"/>
              <w:rPr>
                <w:sz w:val="20"/>
              </w:rPr>
            </w:pPr>
            <w:r w:rsidRPr="00C16414">
              <w:rPr>
                <w:sz w:val="20"/>
              </w:rPr>
              <w:t>United Nations Commission on</w:t>
            </w:r>
          </w:p>
          <w:p w14:paraId="57ED3AF6" w14:textId="77777777" w:rsidR="00727DD2" w:rsidRPr="00C16414" w:rsidRDefault="00727DD2" w:rsidP="00AE0F71">
            <w:pPr>
              <w:pStyle w:val="H1"/>
              <w:ind w:left="0" w:firstLine="0"/>
              <w:outlineLvl w:val="9"/>
              <w:rPr>
                <w:sz w:val="20"/>
              </w:rPr>
            </w:pPr>
            <w:r w:rsidRPr="00C16414">
              <w:rPr>
                <w:sz w:val="20"/>
              </w:rPr>
              <w:t>International Trade Law</w:t>
            </w:r>
          </w:p>
          <w:p w14:paraId="42FBE408" w14:textId="77777777" w:rsidR="00727DD2" w:rsidRPr="00C16414" w:rsidRDefault="00727DD2" w:rsidP="00AE0F71">
            <w:pPr>
              <w:pStyle w:val="H23"/>
              <w:tabs>
                <w:tab w:val="clear" w:pos="1267"/>
              </w:tabs>
              <w:ind w:left="0" w:firstLine="0"/>
              <w:outlineLvl w:val="9"/>
            </w:pPr>
            <w:r w:rsidRPr="00C16414">
              <w:t>Working Group III (Investor-State Dispute Settlement Reform)</w:t>
            </w:r>
          </w:p>
          <w:p w14:paraId="5467D9A0" w14:textId="541C865B" w:rsidR="00727DD2" w:rsidRPr="00C16414" w:rsidRDefault="001D319C" w:rsidP="00AE0F71">
            <w:pPr>
              <w:pStyle w:val="H23"/>
              <w:outlineLvl w:val="9"/>
            </w:pPr>
            <w:r>
              <w:t>[</w:t>
            </w:r>
            <w:r w:rsidR="00B45E61">
              <w:t>xx</w:t>
            </w:r>
            <w:r>
              <w:t>]</w:t>
            </w:r>
            <w:r w:rsidR="00B45E61" w:rsidRPr="00C16414">
              <w:t xml:space="preserve">  </w:t>
            </w:r>
            <w:r w:rsidR="00727DD2" w:rsidRPr="00C16414">
              <w:t>session</w:t>
            </w:r>
          </w:p>
          <w:p w14:paraId="3942A03E" w14:textId="5B2A2361" w:rsidR="00721987" w:rsidRPr="00C16414" w:rsidRDefault="001D319C" w:rsidP="00AE0F71">
            <w:pPr>
              <w:pStyle w:val="H1"/>
              <w:ind w:left="0" w:firstLine="0"/>
              <w:outlineLvl w:val="9"/>
              <w:rPr>
                <w:b w:val="0"/>
                <w:bCs/>
                <w:sz w:val="20"/>
              </w:rPr>
            </w:pPr>
            <w:r>
              <w:rPr>
                <w:b w:val="0"/>
                <w:bCs/>
                <w:sz w:val="20"/>
              </w:rPr>
              <w:t>[</w:t>
            </w:r>
            <w:r w:rsidR="00B45E61">
              <w:rPr>
                <w:b w:val="0"/>
                <w:bCs/>
                <w:sz w:val="20"/>
              </w:rPr>
              <w:t>Place, date</w:t>
            </w:r>
            <w:r>
              <w:rPr>
                <w:b w:val="0"/>
                <w:bCs/>
                <w:sz w:val="20"/>
              </w:rPr>
              <w:t>]</w:t>
            </w:r>
            <w:r w:rsidR="00B45E61">
              <w:rPr>
                <w:b w:val="0"/>
                <w:bCs/>
                <w:sz w:val="20"/>
              </w:rPr>
              <w:t xml:space="preserve"> </w:t>
            </w:r>
          </w:p>
        </w:tc>
        <w:tc>
          <w:tcPr>
            <w:tcW w:w="288" w:type="dxa"/>
            <w:shd w:val="clear" w:color="auto" w:fill="auto"/>
          </w:tcPr>
          <w:p w14:paraId="4C0A43EA" w14:textId="77777777" w:rsidR="00721987" w:rsidRPr="00C16414" w:rsidRDefault="00721987" w:rsidP="00AE0F71">
            <w:pPr>
              <w:pStyle w:val="H1"/>
              <w:ind w:left="0" w:firstLine="0"/>
              <w:outlineLvl w:val="9"/>
              <w:rPr>
                <w:sz w:val="20"/>
              </w:rPr>
            </w:pPr>
          </w:p>
        </w:tc>
        <w:tc>
          <w:tcPr>
            <w:tcW w:w="4660" w:type="dxa"/>
            <w:shd w:val="clear" w:color="auto" w:fill="auto"/>
          </w:tcPr>
          <w:p w14:paraId="40DC363C" w14:textId="77777777" w:rsidR="00721987" w:rsidRPr="00C16414" w:rsidRDefault="00721987" w:rsidP="00AE0F71">
            <w:pPr>
              <w:pStyle w:val="H1"/>
              <w:ind w:left="0" w:firstLine="0"/>
              <w:outlineLvl w:val="9"/>
              <w:rPr>
                <w:sz w:val="20"/>
              </w:rPr>
            </w:pPr>
          </w:p>
        </w:tc>
      </w:tr>
      <w:tr w:rsidR="00721987" w:rsidRPr="00C16414" w14:paraId="2E36A446" w14:textId="77777777" w:rsidTr="00721987">
        <w:tc>
          <w:tcPr>
            <w:tcW w:w="4893" w:type="dxa"/>
            <w:shd w:val="clear" w:color="auto" w:fill="auto"/>
          </w:tcPr>
          <w:p w14:paraId="78A65832" w14:textId="77777777" w:rsidR="00721987" w:rsidRPr="00C16414" w:rsidRDefault="00721987" w:rsidP="00AE0F71">
            <w:pPr>
              <w:pStyle w:val="H1"/>
              <w:ind w:left="0" w:firstLine="0"/>
              <w:outlineLvl w:val="9"/>
              <w:rPr>
                <w:sz w:val="20"/>
              </w:rPr>
            </w:pPr>
          </w:p>
        </w:tc>
        <w:tc>
          <w:tcPr>
            <w:tcW w:w="288" w:type="dxa"/>
            <w:shd w:val="clear" w:color="auto" w:fill="auto"/>
          </w:tcPr>
          <w:p w14:paraId="20927D69" w14:textId="77777777" w:rsidR="00721987" w:rsidRPr="00C16414" w:rsidRDefault="00721987" w:rsidP="00AE0F71">
            <w:pPr>
              <w:pStyle w:val="H1"/>
              <w:ind w:left="0" w:firstLine="0"/>
              <w:outlineLvl w:val="9"/>
              <w:rPr>
                <w:sz w:val="20"/>
              </w:rPr>
            </w:pPr>
          </w:p>
        </w:tc>
        <w:tc>
          <w:tcPr>
            <w:tcW w:w="4660" w:type="dxa"/>
            <w:shd w:val="clear" w:color="auto" w:fill="auto"/>
          </w:tcPr>
          <w:p w14:paraId="2EE1F9BD" w14:textId="77777777" w:rsidR="00721987" w:rsidRPr="00C16414" w:rsidRDefault="00721987" w:rsidP="00AE0F71">
            <w:pPr>
              <w:pStyle w:val="H1"/>
              <w:ind w:left="0" w:firstLine="0"/>
              <w:outlineLvl w:val="9"/>
              <w:rPr>
                <w:sz w:val="20"/>
              </w:rPr>
            </w:pPr>
          </w:p>
        </w:tc>
      </w:tr>
    </w:tbl>
    <w:p w14:paraId="0148D864" w14:textId="2BD432DA" w:rsidR="00591241" w:rsidRPr="00C16414" w:rsidRDefault="00591241" w:rsidP="00AE0F71">
      <w:pPr>
        <w:pStyle w:val="SingleTxt"/>
        <w:spacing w:after="0" w:line="120" w:lineRule="atLeast"/>
      </w:pPr>
    </w:p>
    <w:p w14:paraId="58C26155" w14:textId="3A2B234C" w:rsidR="00727DD2" w:rsidRPr="003843C9" w:rsidRDefault="00727DD2" w:rsidP="00AE0F71">
      <w:pPr>
        <w:pStyle w:val="HCh"/>
        <w:ind w:left="1267" w:right="1260" w:hanging="1267"/>
        <w:outlineLvl w:val="9"/>
        <w:rPr>
          <w:szCs w:val="28"/>
        </w:rPr>
      </w:pPr>
      <w:r w:rsidRPr="00C16414">
        <w:rPr>
          <w:sz w:val="20"/>
        </w:rPr>
        <w:tab/>
      </w:r>
      <w:r w:rsidRPr="00C16414">
        <w:rPr>
          <w:sz w:val="20"/>
        </w:rPr>
        <w:tab/>
      </w:r>
      <w:r w:rsidRPr="003843C9">
        <w:rPr>
          <w:szCs w:val="28"/>
        </w:rPr>
        <w:t xml:space="preserve">Possible reform of investor-State dispute settlement (ISDS) </w:t>
      </w:r>
    </w:p>
    <w:p w14:paraId="341CE135" w14:textId="1C340572" w:rsidR="00727DD2" w:rsidRPr="003843C9" w:rsidRDefault="00727DD2" w:rsidP="00AE0F71">
      <w:pPr>
        <w:pStyle w:val="SingleTxt"/>
        <w:spacing w:after="0" w:line="120" w:lineRule="atLeast"/>
        <w:rPr>
          <w:b/>
          <w:sz w:val="28"/>
          <w:szCs w:val="28"/>
        </w:rPr>
      </w:pPr>
    </w:p>
    <w:p w14:paraId="52F8743C" w14:textId="30E83CF9" w:rsidR="00727DD2" w:rsidRPr="003843C9" w:rsidRDefault="00727DD2" w:rsidP="00AE0F71">
      <w:pPr>
        <w:pStyle w:val="HCh"/>
        <w:ind w:left="1267" w:right="1260" w:hanging="1267"/>
        <w:outlineLvl w:val="9"/>
        <w:rPr>
          <w:sz w:val="24"/>
          <w:szCs w:val="24"/>
        </w:rPr>
      </w:pPr>
      <w:r w:rsidRPr="00C16414">
        <w:rPr>
          <w:sz w:val="20"/>
        </w:rPr>
        <w:tab/>
      </w:r>
      <w:r w:rsidRPr="00C16414">
        <w:rPr>
          <w:sz w:val="20"/>
        </w:rPr>
        <w:tab/>
      </w:r>
      <w:r w:rsidRPr="003843C9">
        <w:rPr>
          <w:sz w:val="24"/>
          <w:szCs w:val="24"/>
        </w:rPr>
        <w:t>Advisory Centre</w:t>
      </w:r>
    </w:p>
    <w:p w14:paraId="1150399C" w14:textId="4DBED91B" w:rsidR="00727DD2" w:rsidRPr="003843C9" w:rsidRDefault="00727DD2" w:rsidP="00AE0F71">
      <w:pPr>
        <w:pStyle w:val="SingleTxt"/>
        <w:spacing w:after="0" w:line="120" w:lineRule="atLeast"/>
        <w:rPr>
          <w:b/>
          <w:sz w:val="24"/>
          <w:szCs w:val="24"/>
        </w:rPr>
      </w:pPr>
    </w:p>
    <w:p w14:paraId="527582B1" w14:textId="7C08C38F" w:rsidR="00727DD2" w:rsidRPr="003843C9" w:rsidRDefault="00727DD2" w:rsidP="00AE0F71">
      <w:pPr>
        <w:pStyle w:val="H1"/>
        <w:ind w:left="1267" w:right="1260" w:hanging="1267"/>
        <w:outlineLvl w:val="9"/>
        <w:rPr>
          <w:szCs w:val="24"/>
        </w:rPr>
      </w:pPr>
      <w:r w:rsidRPr="003843C9">
        <w:rPr>
          <w:szCs w:val="24"/>
        </w:rPr>
        <w:tab/>
      </w:r>
      <w:r w:rsidRPr="003843C9">
        <w:rPr>
          <w:szCs w:val="24"/>
        </w:rPr>
        <w:tab/>
        <w:t>Note by the Secretariat</w:t>
      </w:r>
    </w:p>
    <w:p w14:paraId="01239E57" w14:textId="446BB27B" w:rsidR="00727DD2" w:rsidRPr="00C16414" w:rsidRDefault="00727DD2" w:rsidP="00AE0F71">
      <w:pPr>
        <w:pStyle w:val="SingleTxt"/>
        <w:spacing w:after="0" w:line="120" w:lineRule="atLeast"/>
      </w:pPr>
    </w:p>
    <w:p w14:paraId="72AB0028" w14:textId="77777777" w:rsidR="00FC062E" w:rsidRPr="00C16414" w:rsidRDefault="00FC062E" w:rsidP="00AE0F71">
      <w:pPr>
        <w:pStyle w:val="SingleTxt"/>
        <w:spacing w:after="0" w:line="120" w:lineRule="atLeast"/>
      </w:pPr>
    </w:p>
    <w:sdt>
      <w:sdtPr>
        <w:rPr>
          <w:rFonts w:ascii="Times New Roman" w:eastAsiaTheme="minorHAnsi" w:hAnsi="Times New Roman" w:cs="Times New Roman"/>
          <w:b w:val="0"/>
          <w:bCs w:val="0"/>
          <w:kern w:val="14"/>
          <w:sz w:val="20"/>
          <w:szCs w:val="20"/>
          <w:lang w:bidi="ar-SA"/>
        </w:rPr>
        <w:id w:val="1158654281"/>
        <w:docPartObj>
          <w:docPartGallery w:val="Table of Contents"/>
          <w:docPartUnique/>
        </w:docPartObj>
      </w:sdtPr>
      <w:sdtEndPr>
        <w:rPr>
          <w:noProof/>
        </w:rPr>
      </w:sdtEndPr>
      <w:sdtContent>
        <w:p w14:paraId="51C02B82" w14:textId="36BC15F3" w:rsidR="00AE0F71" w:rsidRPr="00AE0F71" w:rsidRDefault="00AE0F71">
          <w:pPr>
            <w:pStyle w:val="TOCHeading"/>
            <w:rPr>
              <w:rFonts w:ascii="Times New Roman" w:hAnsi="Times New Roman" w:cs="Times New Roman"/>
              <w:sz w:val="20"/>
              <w:szCs w:val="20"/>
            </w:rPr>
          </w:pPr>
          <w:r w:rsidRPr="00AE0F71">
            <w:rPr>
              <w:rFonts w:ascii="Times New Roman" w:hAnsi="Times New Roman" w:cs="Times New Roman"/>
              <w:sz w:val="20"/>
              <w:szCs w:val="20"/>
            </w:rPr>
            <w:t>Contents</w:t>
          </w:r>
        </w:p>
        <w:p w14:paraId="29E3F522" w14:textId="62301715" w:rsidR="00AE0F71" w:rsidRDefault="00AE0F71">
          <w:pPr>
            <w:pStyle w:val="TOC1"/>
            <w:tabs>
              <w:tab w:val="left" w:pos="440"/>
              <w:tab w:val="right" w:leader="dot" w:pos="9825"/>
            </w:tabs>
            <w:rPr>
              <w:rFonts w:asciiTheme="minorHAnsi" w:eastAsiaTheme="minorEastAsia" w:hAnsiTheme="minorHAnsi" w:cstheme="minorBidi"/>
              <w:noProof/>
              <w:spacing w:val="0"/>
              <w:w w:val="100"/>
              <w:kern w:val="0"/>
              <w:sz w:val="22"/>
              <w:szCs w:val="22"/>
              <w:lang w:eastAsia="en-GB"/>
            </w:rPr>
          </w:pPr>
          <w:r>
            <w:fldChar w:fldCharType="begin"/>
          </w:r>
          <w:r>
            <w:instrText xml:space="preserve"> TOC \o "1-3" \h \z \u </w:instrText>
          </w:r>
          <w:r>
            <w:fldChar w:fldCharType="separate"/>
          </w:r>
          <w:hyperlink w:anchor="_Toc63421427" w:history="1">
            <w:r w:rsidRPr="005846D0">
              <w:rPr>
                <w:rStyle w:val="Hyperlink"/>
                <w:noProof/>
              </w:rPr>
              <w:t>I.</w:t>
            </w:r>
            <w:r>
              <w:rPr>
                <w:rFonts w:asciiTheme="minorHAnsi" w:eastAsiaTheme="minorEastAsia" w:hAnsiTheme="minorHAnsi" w:cstheme="minorBidi"/>
                <w:noProof/>
                <w:spacing w:val="0"/>
                <w:w w:val="100"/>
                <w:kern w:val="0"/>
                <w:sz w:val="22"/>
                <w:szCs w:val="22"/>
                <w:lang w:eastAsia="en-GB"/>
              </w:rPr>
              <w:tab/>
            </w:r>
            <w:r w:rsidRPr="005846D0">
              <w:rPr>
                <w:rStyle w:val="Hyperlink"/>
                <w:noProof/>
              </w:rPr>
              <w:t>Introduction</w:t>
            </w:r>
            <w:r>
              <w:rPr>
                <w:noProof/>
                <w:webHidden/>
              </w:rPr>
              <w:tab/>
            </w:r>
          </w:hyperlink>
        </w:p>
        <w:p w14:paraId="293FDD50" w14:textId="69F26ED9" w:rsidR="00AE0F71" w:rsidRDefault="00AC7FD3">
          <w:pPr>
            <w:pStyle w:val="TOC1"/>
            <w:tabs>
              <w:tab w:val="left" w:pos="440"/>
              <w:tab w:val="right" w:leader="dot" w:pos="9825"/>
            </w:tabs>
            <w:rPr>
              <w:rFonts w:asciiTheme="minorHAnsi" w:eastAsiaTheme="minorEastAsia" w:hAnsiTheme="minorHAnsi" w:cstheme="minorBidi"/>
              <w:noProof/>
              <w:spacing w:val="0"/>
              <w:w w:val="100"/>
              <w:kern w:val="0"/>
              <w:sz w:val="22"/>
              <w:szCs w:val="22"/>
              <w:lang w:eastAsia="en-GB"/>
            </w:rPr>
          </w:pPr>
          <w:hyperlink w:anchor="_Toc63421428" w:history="1">
            <w:r w:rsidR="00AE0F71" w:rsidRPr="005846D0">
              <w:rPr>
                <w:rStyle w:val="Hyperlink"/>
                <w:rFonts w:asciiTheme="majorBidi" w:hAnsiTheme="majorBidi" w:cstheme="majorBidi"/>
                <w:noProof/>
              </w:rPr>
              <w:t>II.</w:t>
            </w:r>
            <w:r w:rsidR="00AE0F71">
              <w:rPr>
                <w:rFonts w:asciiTheme="minorHAnsi" w:eastAsiaTheme="minorEastAsia" w:hAnsiTheme="minorHAnsi" w:cstheme="minorBidi"/>
                <w:noProof/>
                <w:spacing w:val="0"/>
                <w:w w:val="100"/>
                <w:kern w:val="0"/>
                <w:sz w:val="22"/>
                <w:szCs w:val="22"/>
                <w:lang w:eastAsia="en-GB"/>
              </w:rPr>
              <w:tab/>
            </w:r>
            <w:r w:rsidR="00AE0F71" w:rsidRPr="005846D0">
              <w:rPr>
                <w:rStyle w:val="Hyperlink"/>
                <w:rFonts w:asciiTheme="majorBidi" w:hAnsiTheme="majorBidi" w:cstheme="majorBidi"/>
                <w:noProof/>
              </w:rPr>
              <w:t>Establishment of an advisory centre</w:t>
            </w:r>
            <w:r w:rsidR="00AE0F71">
              <w:rPr>
                <w:noProof/>
                <w:webHidden/>
              </w:rPr>
              <w:tab/>
            </w:r>
          </w:hyperlink>
        </w:p>
        <w:p w14:paraId="121A163D" w14:textId="14935C18" w:rsidR="00AE0F71" w:rsidRDefault="00AC7FD3">
          <w:pPr>
            <w:pStyle w:val="TOC2"/>
            <w:tabs>
              <w:tab w:val="left" w:pos="660"/>
              <w:tab w:val="right" w:leader="dot" w:pos="9825"/>
            </w:tabs>
            <w:rPr>
              <w:noProof/>
            </w:rPr>
          </w:pPr>
          <w:hyperlink w:anchor="_Toc63421429" w:history="1">
            <w:r w:rsidR="00AE0F71" w:rsidRPr="00AE0F71">
              <w:rPr>
                <w:rStyle w:val="Hyperlink"/>
                <w:rFonts w:asciiTheme="majorBidi" w:hAnsiTheme="majorBidi" w:cstheme="majorBidi"/>
                <w:noProof/>
              </w:rPr>
              <w:t>A.</w:t>
            </w:r>
            <w:r w:rsidR="00AE0F71" w:rsidRPr="00AE0F71">
              <w:rPr>
                <w:noProof/>
              </w:rPr>
              <w:tab/>
            </w:r>
            <w:r w:rsidR="00AE0F71" w:rsidRPr="00AE0F71">
              <w:rPr>
                <w:rStyle w:val="Hyperlink"/>
                <w:rFonts w:asciiTheme="majorBidi" w:hAnsiTheme="majorBidi" w:cstheme="majorBidi"/>
                <w:noProof/>
              </w:rPr>
              <w:t>Background information</w:t>
            </w:r>
            <w:r w:rsidR="00AE0F71" w:rsidRPr="00AE0F71">
              <w:rPr>
                <w:noProof/>
                <w:webHidden/>
              </w:rPr>
              <w:tab/>
            </w:r>
          </w:hyperlink>
        </w:p>
        <w:p w14:paraId="41932F37" w14:textId="4C385233" w:rsidR="00290C7A" w:rsidRPr="00290C7A" w:rsidRDefault="00290C7A" w:rsidP="00290C7A">
          <w:pPr>
            <w:ind w:firstLine="200"/>
          </w:pPr>
          <w:r>
            <w:t>B.     Purpose of the centre…………………………………………………………………………………………...</w:t>
          </w:r>
        </w:p>
        <w:p w14:paraId="14C2C85A" w14:textId="7440AF5A" w:rsidR="00AE0F71" w:rsidRPr="00AE0F71" w:rsidRDefault="00AC7FD3">
          <w:pPr>
            <w:pStyle w:val="TOC2"/>
            <w:tabs>
              <w:tab w:val="right" w:leader="dot" w:pos="9825"/>
            </w:tabs>
            <w:rPr>
              <w:noProof/>
            </w:rPr>
          </w:pPr>
          <w:hyperlink w:anchor="_Toc63421431" w:history="1">
            <w:r w:rsidR="00290C7A">
              <w:rPr>
                <w:rStyle w:val="Hyperlink"/>
                <w:rFonts w:asciiTheme="majorBidi" w:hAnsiTheme="majorBidi" w:cstheme="majorBidi"/>
                <w:noProof/>
              </w:rPr>
              <w:t>C</w:t>
            </w:r>
            <w:r w:rsidR="00AE0F71" w:rsidRPr="00AE0F71">
              <w:rPr>
                <w:rStyle w:val="Hyperlink"/>
                <w:rFonts w:asciiTheme="majorBidi" w:hAnsiTheme="majorBidi" w:cstheme="majorBidi"/>
                <w:noProof/>
              </w:rPr>
              <w:t xml:space="preserve">. </w:t>
            </w:r>
            <w:r w:rsidR="00AE0F71">
              <w:rPr>
                <w:rStyle w:val="Hyperlink"/>
                <w:rFonts w:asciiTheme="majorBidi" w:hAnsiTheme="majorBidi" w:cstheme="majorBidi"/>
                <w:noProof/>
              </w:rPr>
              <w:t xml:space="preserve">    </w:t>
            </w:r>
            <w:r w:rsidR="00AE0F71" w:rsidRPr="00AE0F71">
              <w:rPr>
                <w:rStyle w:val="Hyperlink"/>
                <w:rFonts w:asciiTheme="majorBidi" w:hAnsiTheme="majorBidi" w:cstheme="majorBidi"/>
                <w:noProof/>
              </w:rPr>
              <w:t>Services</w:t>
            </w:r>
            <w:r w:rsidR="00AE0F71" w:rsidRPr="00AE0F71">
              <w:rPr>
                <w:noProof/>
                <w:webHidden/>
              </w:rPr>
              <w:tab/>
            </w:r>
          </w:hyperlink>
        </w:p>
        <w:p w14:paraId="0F8CE8F5" w14:textId="7093F718" w:rsidR="00AE0F71" w:rsidRDefault="00AC7FD3">
          <w:pPr>
            <w:pStyle w:val="TOC2"/>
            <w:tabs>
              <w:tab w:val="left" w:pos="660"/>
              <w:tab w:val="right" w:leader="dot" w:pos="9825"/>
            </w:tabs>
            <w:rPr>
              <w:noProof/>
            </w:rPr>
          </w:pPr>
          <w:hyperlink w:anchor="_Toc63421432" w:history="1">
            <w:r w:rsidR="00290C7A">
              <w:rPr>
                <w:rStyle w:val="Hyperlink"/>
                <w:rFonts w:asciiTheme="majorBidi" w:hAnsiTheme="majorBidi" w:cstheme="majorBidi"/>
                <w:noProof/>
              </w:rPr>
              <w:t>D</w:t>
            </w:r>
            <w:r w:rsidR="00AE0F71" w:rsidRPr="00AE0F71">
              <w:rPr>
                <w:rStyle w:val="Hyperlink"/>
                <w:rFonts w:asciiTheme="majorBidi" w:hAnsiTheme="majorBidi" w:cstheme="majorBidi"/>
                <w:noProof/>
              </w:rPr>
              <w:t>.</w:t>
            </w:r>
            <w:r w:rsidR="00AE0F71" w:rsidRPr="00AE0F71">
              <w:rPr>
                <w:noProof/>
              </w:rPr>
              <w:tab/>
            </w:r>
            <w:r w:rsidR="00AE0F71" w:rsidRPr="00AE0F71">
              <w:rPr>
                <w:rStyle w:val="Hyperlink"/>
                <w:rFonts w:asciiTheme="majorBidi" w:hAnsiTheme="majorBidi" w:cstheme="majorBidi"/>
                <w:noProof/>
              </w:rPr>
              <w:t>Beneficiaries</w:t>
            </w:r>
            <w:r w:rsidR="00AE0F71" w:rsidRPr="00AE0F71">
              <w:rPr>
                <w:noProof/>
                <w:webHidden/>
              </w:rPr>
              <w:tab/>
            </w:r>
          </w:hyperlink>
        </w:p>
        <w:p w14:paraId="55E153EC" w14:textId="15597124" w:rsidR="00290C7A" w:rsidRPr="00AE0F71" w:rsidRDefault="00AC7FD3" w:rsidP="00290C7A">
          <w:pPr>
            <w:pStyle w:val="TOC2"/>
            <w:tabs>
              <w:tab w:val="left" w:pos="660"/>
              <w:tab w:val="right" w:leader="dot" w:pos="9825"/>
            </w:tabs>
            <w:rPr>
              <w:noProof/>
            </w:rPr>
          </w:pPr>
          <w:hyperlink w:anchor="_Toc63421430" w:history="1">
            <w:r w:rsidR="00290C7A">
              <w:rPr>
                <w:rStyle w:val="Hyperlink"/>
                <w:rFonts w:asciiTheme="majorBidi" w:hAnsiTheme="majorBidi" w:cstheme="majorBidi"/>
                <w:noProof/>
              </w:rPr>
              <w:t>E</w:t>
            </w:r>
            <w:r w:rsidR="00290C7A" w:rsidRPr="00AE0F71">
              <w:rPr>
                <w:rStyle w:val="Hyperlink"/>
                <w:rFonts w:asciiTheme="majorBidi" w:hAnsiTheme="majorBidi" w:cstheme="majorBidi"/>
                <w:noProof/>
              </w:rPr>
              <w:t>.</w:t>
            </w:r>
            <w:r w:rsidR="00290C7A" w:rsidRPr="00AE0F71">
              <w:rPr>
                <w:noProof/>
              </w:rPr>
              <w:tab/>
            </w:r>
            <w:r w:rsidR="0085623F">
              <w:rPr>
                <w:rStyle w:val="Hyperlink"/>
                <w:rFonts w:asciiTheme="majorBidi" w:hAnsiTheme="majorBidi" w:cstheme="majorBidi"/>
                <w:noProof/>
              </w:rPr>
              <w:t>Possible l</w:t>
            </w:r>
            <w:r w:rsidR="00290C7A" w:rsidRPr="00AE0F71">
              <w:rPr>
                <w:rStyle w:val="Hyperlink"/>
                <w:rFonts w:asciiTheme="majorBidi" w:hAnsiTheme="majorBidi" w:cstheme="majorBidi"/>
                <w:noProof/>
              </w:rPr>
              <w:t>egal structure</w:t>
            </w:r>
            <w:r w:rsidR="0085623F">
              <w:rPr>
                <w:rStyle w:val="Hyperlink"/>
                <w:rFonts w:asciiTheme="majorBidi" w:hAnsiTheme="majorBidi" w:cstheme="majorBidi"/>
                <w:noProof/>
              </w:rPr>
              <w:t>s</w:t>
            </w:r>
            <w:r w:rsidR="00726882">
              <w:rPr>
                <w:rStyle w:val="Hyperlink"/>
                <w:rFonts w:asciiTheme="majorBidi" w:hAnsiTheme="majorBidi" w:cstheme="majorBidi"/>
                <w:noProof/>
              </w:rPr>
              <w:t xml:space="preserve"> and other topics</w:t>
            </w:r>
            <w:r w:rsidR="00290C7A" w:rsidRPr="00AE0F71">
              <w:rPr>
                <w:noProof/>
                <w:webHidden/>
              </w:rPr>
              <w:tab/>
            </w:r>
          </w:hyperlink>
        </w:p>
        <w:p w14:paraId="6E229170" w14:textId="4EC77BB3" w:rsidR="00290C7A" w:rsidRPr="00290C7A" w:rsidRDefault="00290C7A" w:rsidP="00290C7A"/>
        <w:p w14:paraId="54520DB1" w14:textId="29736AEE" w:rsidR="00AE0F71" w:rsidRDefault="00AE0F71">
          <w:r>
            <w:rPr>
              <w:b/>
              <w:bCs/>
              <w:noProof/>
            </w:rPr>
            <w:fldChar w:fldCharType="end"/>
          </w:r>
        </w:p>
      </w:sdtContent>
    </w:sdt>
    <w:p w14:paraId="14134DD8" w14:textId="77777777" w:rsidR="00727DD2" w:rsidRPr="00C16414" w:rsidRDefault="00727DD2" w:rsidP="000A1D8E">
      <w:pPr>
        <w:pStyle w:val="SingleTxt"/>
        <w:numPr>
          <w:ilvl w:val="1"/>
          <w:numId w:val="6"/>
        </w:numPr>
        <w:tabs>
          <w:tab w:val="clear" w:pos="1267"/>
          <w:tab w:val="clear" w:pos="1708"/>
          <w:tab w:val="clear" w:pos="1742"/>
          <w:tab w:val="clear" w:pos="2218"/>
          <w:tab w:val="clear" w:pos="2693"/>
          <w:tab w:val="clear" w:pos="3182"/>
          <w:tab w:val="clear" w:pos="3658"/>
          <w:tab w:val="clear" w:pos="4133"/>
          <w:tab w:val="clear" w:pos="4622"/>
          <w:tab w:val="clear" w:pos="5098"/>
          <w:tab w:val="clear" w:pos="5573"/>
          <w:tab w:val="clear" w:pos="6048"/>
          <w:tab w:val="right" w:pos="1080"/>
          <w:tab w:val="left" w:pos="1296"/>
          <w:tab w:val="left" w:pos="1728"/>
          <w:tab w:val="left" w:pos="2160"/>
          <w:tab w:val="left" w:pos="2592"/>
          <w:tab w:val="left" w:pos="3024"/>
          <w:tab w:val="left" w:pos="3456"/>
          <w:tab w:val="left" w:pos="3888"/>
          <w:tab w:val="left" w:pos="4320"/>
          <w:tab w:val="right" w:leader="dot" w:pos="9360"/>
        </w:tabs>
        <w:suppressAutoHyphens w:val="0"/>
        <w:spacing w:after="80" w:line="240" w:lineRule="auto"/>
        <w:ind w:right="153"/>
      </w:pPr>
      <w:r w:rsidRPr="00C16414">
        <w:br w:type="page"/>
      </w:r>
    </w:p>
    <w:p w14:paraId="439E1DFA" w14:textId="77777777" w:rsidR="00727DD2" w:rsidRPr="008C3C79" w:rsidRDefault="00727DD2" w:rsidP="00727DD2">
      <w:pPr>
        <w:pStyle w:val="HCh"/>
        <w:ind w:left="1267" w:right="1260" w:hanging="1267"/>
        <w:rPr>
          <w:rFonts w:asciiTheme="majorBidi" w:hAnsiTheme="majorBidi" w:cstheme="majorBidi"/>
          <w:szCs w:val="28"/>
        </w:rPr>
      </w:pPr>
      <w:r w:rsidRPr="00C16414">
        <w:rPr>
          <w:sz w:val="20"/>
        </w:rPr>
        <w:lastRenderedPageBreak/>
        <w:tab/>
      </w:r>
      <w:bookmarkStart w:id="1" w:name="_Toc63421427"/>
      <w:r w:rsidRPr="007033CE">
        <w:rPr>
          <w:szCs w:val="28"/>
        </w:rPr>
        <w:t>I.</w:t>
      </w:r>
      <w:r w:rsidRPr="007033CE">
        <w:rPr>
          <w:szCs w:val="28"/>
        </w:rPr>
        <w:tab/>
        <w:t>Introduction</w:t>
      </w:r>
      <w:bookmarkEnd w:id="1"/>
    </w:p>
    <w:p w14:paraId="07E8A40C" w14:textId="02EA05FA" w:rsidR="00727DD2" w:rsidRPr="008C3C79" w:rsidRDefault="00727DD2" w:rsidP="00727DD2">
      <w:pPr>
        <w:pStyle w:val="SingleTxt"/>
        <w:spacing w:after="0" w:line="120" w:lineRule="atLeast"/>
        <w:rPr>
          <w:rFonts w:asciiTheme="majorBidi" w:hAnsiTheme="majorBidi" w:cstheme="majorBidi"/>
        </w:rPr>
      </w:pPr>
    </w:p>
    <w:p w14:paraId="696ADF1C" w14:textId="497A4296" w:rsidR="00727DD2" w:rsidRPr="009953FB" w:rsidRDefault="00514C92" w:rsidP="006622B1">
      <w:pPr>
        <w:pStyle w:val="SingleTxt"/>
        <w:numPr>
          <w:ilvl w:val="2"/>
          <w:numId w:val="6"/>
        </w:numPr>
        <w:tabs>
          <w:tab w:val="clear" w:pos="1267"/>
          <w:tab w:val="clear" w:pos="1742"/>
          <w:tab w:val="clear" w:pos="2218"/>
          <w:tab w:val="left" w:pos="709"/>
          <w:tab w:val="left" w:pos="1701"/>
          <w:tab w:val="left" w:pos="2127"/>
        </w:tabs>
        <w:ind w:left="1276" w:firstLine="0"/>
        <w:rPr>
          <w:rFonts w:asciiTheme="majorBidi" w:hAnsiTheme="majorBidi" w:cstheme="majorBidi"/>
        </w:rPr>
      </w:pPr>
      <w:r w:rsidRPr="009953FB">
        <w:rPr>
          <w:rFonts w:asciiTheme="majorBidi" w:hAnsiTheme="majorBidi" w:cstheme="majorBidi"/>
        </w:rPr>
        <w:t>A</w:t>
      </w:r>
      <w:r w:rsidR="00727DD2" w:rsidRPr="009953FB">
        <w:rPr>
          <w:rFonts w:asciiTheme="majorBidi" w:hAnsiTheme="majorBidi" w:cstheme="majorBidi"/>
        </w:rPr>
        <w:t>t its thirty-fourth to thirty-seventh sessions, the Working Group undertook work on the possible reform of ISDS, based on the mandate given to it by the Commission at its fiftieth session, in 2017.</w:t>
      </w:r>
      <w:r w:rsidR="00727DD2" w:rsidRPr="009953FB">
        <w:rPr>
          <w:rFonts w:asciiTheme="majorBidi" w:hAnsiTheme="majorBidi" w:cstheme="majorBidi"/>
          <w:vertAlign w:val="superscript"/>
        </w:rPr>
        <w:footnoteReference w:id="2"/>
      </w:r>
      <w:r w:rsidR="00727DD2" w:rsidRPr="009953FB">
        <w:rPr>
          <w:rFonts w:asciiTheme="majorBidi" w:hAnsiTheme="majorBidi" w:cstheme="majorBidi"/>
        </w:rPr>
        <w:t xml:space="preserve"> At those sessions, the Working Group identified and discussed concerns regarding ISDS and considered that reform was desirable in light of the identified concerns.</w:t>
      </w:r>
      <w:r w:rsidR="00B72550" w:rsidRPr="009953FB">
        <w:rPr>
          <w:rFonts w:asciiTheme="majorBidi" w:hAnsiTheme="majorBidi" w:cstheme="majorBidi"/>
          <w:vertAlign w:val="superscript"/>
        </w:rPr>
        <w:t xml:space="preserve"> </w:t>
      </w:r>
      <w:r w:rsidR="00B72550" w:rsidRPr="009953FB">
        <w:rPr>
          <w:rFonts w:asciiTheme="majorBidi" w:hAnsiTheme="majorBidi" w:cstheme="majorBidi"/>
          <w:vertAlign w:val="superscript"/>
        </w:rPr>
        <w:footnoteReference w:id="3"/>
      </w:r>
      <w:r w:rsidR="00B72550" w:rsidRPr="009953FB">
        <w:rPr>
          <w:rFonts w:asciiTheme="majorBidi" w:hAnsiTheme="majorBidi" w:cstheme="majorBidi"/>
          <w:vertAlign w:val="superscript"/>
        </w:rPr>
        <w:t xml:space="preserve"> </w:t>
      </w:r>
      <w:r w:rsidR="00727DD2" w:rsidRPr="009953FB">
        <w:rPr>
          <w:rFonts w:asciiTheme="majorBidi" w:hAnsiTheme="majorBidi" w:cstheme="majorBidi"/>
        </w:rPr>
        <w:t xml:space="preserve"> </w:t>
      </w:r>
    </w:p>
    <w:p w14:paraId="1D024323" w14:textId="76B51593" w:rsidR="00AB3510" w:rsidRPr="009953FB" w:rsidRDefault="00166998" w:rsidP="00BB3B3A">
      <w:pPr>
        <w:pStyle w:val="SingleTxt"/>
        <w:numPr>
          <w:ilvl w:val="2"/>
          <w:numId w:val="6"/>
        </w:numPr>
        <w:tabs>
          <w:tab w:val="clear" w:pos="1267"/>
          <w:tab w:val="clear" w:pos="1742"/>
          <w:tab w:val="clear" w:pos="2218"/>
          <w:tab w:val="left" w:pos="709"/>
          <w:tab w:val="left" w:pos="1701"/>
          <w:tab w:val="left" w:pos="2127"/>
        </w:tabs>
        <w:ind w:left="1276" w:firstLine="0"/>
        <w:rPr>
          <w:rFonts w:asciiTheme="majorBidi" w:hAnsiTheme="majorBidi" w:cstheme="majorBidi"/>
        </w:rPr>
      </w:pPr>
      <w:r w:rsidRPr="009953FB">
        <w:rPr>
          <w:rFonts w:asciiTheme="majorBidi" w:hAnsiTheme="majorBidi" w:cstheme="majorBidi"/>
        </w:rPr>
        <w:t xml:space="preserve">At </w:t>
      </w:r>
      <w:r w:rsidR="003843C9" w:rsidRPr="009953FB">
        <w:rPr>
          <w:rFonts w:asciiTheme="majorBidi" w:hAnsiTheme="majorBidi" w:cstheme="majorBidi"/>
        </w:rPr>
        <w:t>its</w:t>
      </w:r>
      <w:r w:rsidRPr="009953FB">
        <w:rPr>
          <w:rFonts w:asciiTheme="majorBidi" w:hAnsiTheme="majorBidi" w:cstheme="majorBidi"/>
        </w:rPr>
        <w:t xml:space="preserve"> thirty-eight</w:t>
      </w:r>
      <w:r w:rsidR="00382201" w:rsidRPr="009953FB">
        <w:rPr>
          <w:rFonts w:asciiTheme="majorBidi" w:hAnsiTheme="majorBidi" w:cstheme="majorBidi"/>
        </w:rPr>
        <w:t>h</w:t>
      </w:r>
      <w:r w:rsidRPr="009953FB">
        <w:rPr>
          <w:rFonts w:asciiTheme="majorBidi" w:hAnsiTheme="majorBidi" w:cstheme="majorBidi"/>
        </w:rPr>
        <w:t xml:space="preserve"> session, the Working Group expressed </w:t>
      </w:r>
      <w:r w:rsidR="00B72550" w:rsidRPr="009953FB">
        <w:rPr>
          <w:rFonts w:asciiTheme="majorBidi" w:hAnsiTheme="majorBidi" w:cstheme="majorBidi"/>
        </w:rPr>
        <w:t xml:space="preserve">general </w:t>
      </w:r>
      <w:r w:rsidRPr="009953FB">
        <w:rPr>
          <w:rFonts w:asciiTheme="majorBidi" w:hAnsiTheme="majorBidi" w:cstheme="majorBidi"/>
        </w:rPr>
        <w:t xml:space="preserve">support for </w:t>
      </w:r>
      <w:r w:rsidR="00B72550" w:rsidRPr="009953FB">
        <w:rPr>
          <w:rFonts w:asciiTheme="majorBidi" w:hAnsiTheme="majorBidi" w:cstheme="majorBidi"/>
        </w:rPr>
        <w:t xml:space="preserve">considering further the </w:t>
      </w:r>
      <w:r w:rsidRPr="009953FB">
        <w:rPr>
          <w:rFonts w:asciiTheme="majorBidi" w:hAnsiTheme="majorBidi" w:cstheme="majorBidi"/>
        </w:rPr>
        <w:t>establish</w:t>
      </w:r>
      <w:r w:rsidR="00B72550" w:rsidRPr="009953FB">
        <w:rPr>
          <w:rFonts w:asciiTheme="majorBidi" w:hAnsiTheme="majorBidi" w:cstheme="majorBidi"/>
        </w:rPr>
        <w:t>ment</w:t>
      </w:r>
      <w:r w:rsidRPr="009953FB">
        <w:rPr>
          <w:rFonts w:asciiTheme="majorBidi" w:hAnsiTheme="majorBidi" w:cstheme="majorBidi"/>
        </w:rPr>
        <w:t xml:space="preserve"> </w:t>
      </w:r>
      <w:r w:rsidR="00290C9C" w:rsidRPr="009953FB">
        <w:rPr>
          <w:rFonts w:asciiTheme="majorBidi" w:hAnsiTheme="majorBidi" w:cstheme="majorBidi"/>
        </w:rPr>
        <w:t xml:space="preserve">of </w:t>
      </w:r>
      <w:r w:rsidRPr="009953FB">
        <w:rPr>
          <w:rFonts w:asciiTheme="majorBidi" w:hAnsiTheme="majorBidi" w:cstheme="majorBidi"/>
        </w:rPr>
        <w:t xml:space="preserve">an advisory centre </w:t>
      </w:r>
      <w:r w:rsidR="001D319C">
        <w:rPr>
          <w:rFonts w:asciiTheme="majorBidi" w:hAnsiTheme="majorBidi" w:cstheme="majorBidi"/>
        </w:rPr>
        <w:t xml:space="preserve">and </w:t>
      </w:r>
      <w:r w:rsidR="001D319C" w:rsidRPr="009953FB">
        <w:rPr>
          <w:rFonts w:asciiTheme="majorBidi" w:hAnsiTheme="majorBidi" w:cstheme="majorBidi"/>
        </w:rPr>
        <w:t>requested</w:t>
      </w:r>
      <w:r w:rsidR="001D319C">
        <w:rPr>
          <w:rFonts w:asciiTheme="majorBidi" w:hAnsiTheme="majorBidi" w:cstheme="majorBidi"/>
        </w:rPr>
        <w:t xml:space="preserve"> the Secretariat</w:t>
      </w:r>
      <w:r w:rsidR="001D319C" w:rsidRPr="009953FB">
        <w:rPr>
          <w:rFonts w:asciiTheme="majorBidi" w:hAnsiTheme="majorBidi" w:cstheme="majorBidi"/>
        </w:rPr>
        <w:t xml:space="preserve"> to undertake further preparatory </w:t>
      </w:r>
      <w:r w:rsidR="001D319C">
        <w:rPr>
          <w:rFonts w:asciiTheme="majorBidi" w:hAnsiTheme="majorBidi" w:cstheme="majorBidi"/>
        </w:rPr>
        <w:t xml:space="preserve">work </w:t>
      </w:r>
      <w:r w:rsidRPr="009953FB">
        <w:rPr>
          <w:rFonts w:asciiTheme="majorBidi" w:hAnsiTheme="majorBidi" w:cstheme="majorBidi"/>
        </w:rPr>
        <w:t>(</w:t>
      </w:r>
      <w:hyperlink r:id="rId17" w:history="1">
        <w:r w:rsidR="002C3C58" w:rsidRPr="009953FB">
          <w:rPr>
            <w:rStyle w:val="Hyperlink"/>
            <w:rFonts w:asciiTheme="majorBidi" w:hAnsiTheme="majorBidi" w:cstheme="majorBidi"/>
            <w:color w:val="auto"/>
          </w:rPr>
          <w:t>A/CN.9/1004</w:t>
        </w:r>
      </w:hyperlink>
      <w:r w:rsidRPr="009953FB">
        <w:rPr>
          <w:rFonts w:asciiTheme="majorBidi" w:hAnsiTheme="majorBidi" w:cstheme="majorBidi"/>
        </w:rPr>
        <w:t>, para</w:t>
      </w:r>
      <w:r w:rsidR="001D319C">
        <w:rPr>
          <w:rFonts w:asciiTheme="majorBidi" w:hAnsiTheme="majorBidi" w:cstheme="majorBidi"/>
        </w:rPr>
        <w:t>s</w:t>
      </w:r>
      <w:r w:rsidRPr="009953FB">
        <w:rPr>
          <w:rFonts w:asciiTheme="majorBidi" w:hAnsiTheme="majorBidi" w:cstheme="majorBidi"/>
        </w:rPr>
        <w:t>. 28</w:t>
      </w:r>
      <w:r w:rsidR="001D319C">
        <w:rPr>
          <w:rFonts w:asciiTheme="majorBidi" w:hAnsiTheme="majorBidi" w:cstheme="majorBidi"/>
        </w:rPr>
        <w:t xml:space="preserve"> and </w:t>
      </w:r>
      <w:r w:rsidR="001D319C" w:rsidRPr="009953FB">
        <w:rPr>
          <w:rFonts w:asciiTheme="majorBidi" w:hAnsiTheme="majorBidi" w:cstheme="majorBidi"/>
        </w:rPr>
        <w:t>40-49</w:t>
      </w:r>
      <w:r w:rsidRPr="009953FB">
        <w:rPr>
          <w:rFonts w:asciiTheme="majorBidi" w:hAnsiTheme="majorBidi" w:cstheme="majorBidi"/>
        </w:rPr>
        <w:t xml:space="preserve">). </w:t>
      </w:r>
      <w:r w:rsidR="00422386" w:rsidRPr="009953FB">
        <w:rPr>
          <w:rFonts w:asciiTheme="majorBidi" w:hAnsiTheme="majorBidi" w:cstheme="majorBidi"/>
        </w:rPr>
        <w:t xml:space="preserve">In addition, at its thirty-ninth session, while discussing other reform options, the Working Group provided further </w:t>
      </w:r>
      <w:r w:rsidR="001D319C">
        <w:rPr>
          <w:rFonts w:asciiTheme="majorBidi" w:hAnsiTheme="majorBidi" w:cstheme="majorBidi"/>
        </w:rPr>
        <w:t>instructions</w:t>
      </w:r>
      <w:r w:rsidR="00422386" w:rsidRPr="009953FB">
        <w:rPr>
          <w:rFonts w:asciiTheme="majorBidi" w:hAnsiTheme="majorBidi" w:cstheme="majorBidi"/>
        </w:rPr>
        <w:t xml:space="preserve"> </w:t>
      </w:r>
      <w:r w:rsidR="001D319C">
        <w:rPr>
          <w:rFonts w:asciiTheme="majorBidi" w:hAnsiTheme="majorBidi" w:cstheme="majorBidi"/>
        </w:rPr>
        <w:t>relevant to</w:t>
      </w:r>
      <w:r w:rsidR="00422386" w:rsidRPr="009953FB">
        <w:rPr>
          <w:rFonts w:asciiTheme="majorBidi" w:hAnsiTheme="majorBidi" w:cstheme="majorBidi"/>
        </w:rPr>
        <w:t xml:space="preserve"> </w:t>
      </w:r>
      <w:r w:rsidR="001D319C">
        <w:rPr>
          <w:rFonts w:asciiTheme="majorBidi" w:hAnsiTheme="majorBidi" w:cstheme="majorBidi"/>
        </w:rPr>
        <w:t>such</w:t>
      </w:r>
      <w:r w:rsidR="00422386" w:rsidRPr="009953FB">
        <w:rPr>
          <w:rFonts w:asciiTheme="majorBidi" w:hAnsiTheme="majorBidi" w:cstheme="majorBidi"/>
        </w:rPr>
        <w:t xml:space="preserve"> preparatory work </w:t>
      </w:r>
      <w:r w:rsidR="00EA43AB" w:rsidRPr="009953FB">
        <w:rPr>
          <w:rFonts w:asciiTheme="majorBidi" w:hAnsiTheme="majorBidi" w:cstheme="majorBidi"/>
        </w:rPr>
        <w:t>(A/CN.9/1044, paras. 26, 39)</w:t>
      </w:r>
      <w:r w:rsidR="004510DA" w:rsidRPr="009953FB">
        <w:rPr>
          <w:rFonts w:asciiTheme="majorBidi" w:hAnsiTheme="majorBidi" w:cstheme="majorBidi"/>
        </w:rPr>
        <w:t>.</w:t>
      </w:r>
    </w:p>
    <w:p w14:paraId="05984BFF" w14:textId="27DBB9AA" w:rsidR="00727DD2" w:rsidRPr="009953FB" w:rsidRDefault="00514C92" w:rsidP="006622B1">
      <w:pPr>
        <w:pStyle w:val="SingleTxt"/>
        <w:numPr>
          <w:ilvl w:val="2"/>
          <w:numId w:val="6"/>
        </w:numPr>
        <w:tabs>
          <w:tab w:val="clear" w:pos="1267"/>
          <w:tab w:val="clear" w:pos="1742"/>
          <w:tab w:val="clear" w:pos="2218"/>
          <w:tab w:val="left" w:pos="709"/>
          <w:tab w:val="left" w:pos="1701"/>
          <w:tab w:val="left" w:pos="2127"/>
        </w:tabs>
        <w:ind w:left="1276" w:firstLine="0"/>
        <w:rPr>
          <w:rFonts w:asciiTheme="majorBidi" w:hAnsiTheme="majorBidi" w:cstheme="majorBidi"/>
        </w:rPr>
      </w:pPr>
      <w:r w:rsidRPr="009953FB">
        <w:rPr>
          <w:rFonts w:asciiTheme="majorBidi" w:hAnsiTheme="majorBidi" w:cstheme="majorBidi"/>
        </w:rPr>
        <w:t>A</w:t>
      </w:r>
      <w:r w:rsidR="00727DD2" w:rsidRPr="009953FB">
        <w:rPr>
          <w:rFonts w:asciiTheme="majorBidi" w:hAnsiTheme="majorBidi" w:cstheme="majorBidi"/>
        </w:rPr>
        <w:t xml:space="preserve">ccordingly, this </w:t>
      </w:r>
      <w:r w:rsidR="00061D2B">
        <w:rPr>
          <w:rFonts w:asciiTheme="majorBidi" w:hAnsiTheme="majorBidi" w:cstheme="majorBidi"/>
        </w:rPr>
        <w:t>N</w:t>
      </w:r>
      <w:r w:rsidR="00727DD2" w:rsidRPr="009953FB">
        <w:rPr>
          <w:rFonts w:asciiTheme="majorBidi" w:hAnsiTheme="majorBidi" w:cstheme="majorBidi"/>
        </w:rPr>
        <w:t>ote</w:t>
      </w:r>
      <w:r w:rsidR="00061D2B">
        <w:rPr>
          <w:rFonts w:asciiTheme="majorBidi" w:hAnsiTheme="majorBidi" w:cstheme="majorBidi"/>
        </w:rPr>
        <w:t>, including its addendum,</w:t>
      </w:r>
      <w:r w:rsidR="00727DD2" w:rsidRPr="009953FB">
        <w:rPr>
          <w:rFonts w:asciiTheme="majorBidi" w:hAnsiTheme="majorBidi" w:cstheme="majorBidi"/>
        </w:rPr>
        <w:t xml:space="preserve"> aims at assist</w:t>
      </w:r>
      <w:r w:rsidR="001D319C">
        <w:rPr>
          <w:rFonts w:asciiTheme="majorBidi" w:hAnsiTheme="majorBidi" w:cstheme="majorBidi"/>
        </w:rPr>
        <w:t>ing</w:t>
      </w:r>
      <w:r w:rsidR="00727DD2" w:rsidRPr="009953FB">
        <w:rPr>
          <w:rFonts w:asciiTheme="majorBidi" w:hAnsiTheme="majorBidi" w:cstheme="majorBidi"/>
        </w:rPr>
        <w:t xml:space="preserve"> the Working Group in </w:t>
      </w:r>
      <w:r w:rsidR="00166998" w:rsidRPr="009953FB">
        <w:rPr>
          <w:rFonts w:asciiTheme="majorBidi" w:hAnsiTheme="majorBidi" w:cstheme="majorBidi"/>
        </w:rPr>
        <w:t xml:space="preserve">the </w:t>
      </w:r>
      <w:r w:rsidR="00727DD2" w:rsidRPr="009953FB">
        <w:rPr>
          <w:rFonts w:asciiTheme="majorBidi" w:hAnsiTheme="majorBidi" w:cstheme="majorBidi"/>
        </w:rPr>
        <w:t xml:space="preserve">consideration of the establishment </w:t>
      </w:r>
      <w:r w:rsidR="00AC4F46" w:rsidRPr="009953FB">
        <w:rPr>
          <w:rFonts w:asciiTheme="majorBidi" w:hAnsiTheme="majorBidi" w:cstheme="majorBidi"/>
        </w:rPr>
        <w:t>of an advisory centre on international investment law (“advisory centre”</w:t>
      </w:r>
      <w:r w:rsidR="00290C9C" w:rsidRPr="009953FB">
        <w:rPr>
          <w:rFonts w:asciiTheme="majorBidi" w:hAnsiTheme="majorBidi" w:cstheme="majorBidi"/>
        </w:rPr>
        <w:t xml:space="preserve"> or “centre”</w:t>
      </w:r>
      <w:r w:rsidR="00AC4F46" w:rsidRPr="009953FB">
        <w:rPr>
          <w:rFonts w:asciiTheme="majorBidi" w:hAnsiTheme="majorBidi" w:cstheme="majorBidi"/>
        </w:rPr>
        <w:t>).</w:t>
      </w:r>
      <w:r w:rsidR="00727DD2" w:rsidRPr="009953FB">
        <w:rPr>
          <w:rFonts w:asciiTheme="majorBidi" w:hAnsiTheme="majorBidi" w:cstheme="majorBidi"/>
        </w:rPr>
        <w:t xml:space="preserve"> </w:t>
      </w:r>
      <w:r w:rsidR="0089309B">
        <w:rPr>
          <w:rFonts w:asciiTheme="majorBidi" w:hAnsiTheme="majorBidi" w:cstheme="majorBidi"/>
        </w:rPr>
        <w:t xml:space="preserve">This </w:t>
      </w:r>
      <w:r w:rsidR="00061D2B">
        <w:rPr>
          <w:rFonts w:asciiTheme="majorBidi" w:hAnsiTheme="majorBidi" w:cstheme="majorBidi"/>
        </w:rPr>
        <w:t>document</w:t>
      </w:r>
      <w:r w:rsidR="0089309B">
        <w:rPr>
          <w:rFonts w:asciiTheme="majorBidi" w:hAnsiTheme="majorBidi" w:cstheme="majorBidi"/>
        </w:rPr>
        <w:t xml:space="preserve"> covers t</w:t>
      </w:r>
      <w:r w:rsidR="0046583B">
        <w:rPr>
          <w:rFonts w:asciiTheme="majorBidi" w:hAnsiTheme="majorBidi" w:cstheme="majorBidi"/>
        </w:rPr>
        <w:t>he</w:t>
      </w:r>
      <w:r w:rsidR="00F239F0">
        <w:rPr>
          <w:rFonts w:asciiTheme="majorBidi" w:hAnsiTheme="majorBidi" w:cstheme="majorBidi"/>
        </w:rPr>
        <w:t xml:space="preserve"> </w:t>
      </w:r>
      <w:r w:rsidR="00061D2B">
        <w:rPr>
          <w:rFonts w:asciiTheme="majorBidi" w:hAnsiTheme="majorBidi" w:cstheme="majorBidi"/>
        </w:rPr>
        <w:t xml:space="preserve">structure of an advisory centre, the </w:t>
      </w:r>
      <w:r w:rsidR="005F6C8F" w:rsidRPr="008C3C79">
        <w:rPr>
          <w:rFonts w:asciiTheme="majorBidi" w:hAnsiTheme="majorBidi" w:cstheme="majorBidi"/>
        </w:rPr>
        <w:t>possible services</w:t>
      </w:r>
      <w:r w:rsidR="005F6C8F">
        <w:rPr>
          <w:rFonts w:asciiTheme="majorBidi" w:hAnsiTheme="majorBidi" w:cstheme="majorBidi"/>
        </w:rPr>
        <w:t xml:space="preserve"> and</w:t>
      </w:r>
      <w:r w:rsidR="005F6C8F" w:rsidRPr="008C3C79">
        <w:rPr>
          <w:rFonts w:asciiTheme="majorBidi" w:hAnsiTheme="majorBidi" w:cstheme="majorBidi"/>
        </w:rPr>
        <w:t xml:space="preserve"> beneficiaries</w:t>
      </w:r>
      <w:r w:rsidR="0089309B">
        <w:rPr>
          <w:rFonts w:asciiTheme="majorBidi" w:hAnsiTheme="majorBidi" w:cstheme="majorBidi"/>
        </w:rPr>
        <w:t xml:space="preserve">, and </w:t>
      </w:r>
      <w:r w:rsidR="00061D2B">
        <w:rPr>
          <w:rFonts w:asciiTheme="majorBidi" w:hAnsiTheme="majorBidi" w:cstheme="majorBidi"/>
        </w:rPr>
        <w:t>the</w:t>
      </w:r>
      <w:r w:rsidR="0089309B">
        <w:rPr>
          <w:rFonts w:asciiTheme="majorBidi" w:hAnsiTheme="majorBidi" w:cstheme="majorBidi"/>
        </w:rPr>
        <w:t xml:space="preserve"> addendum covers</w:t>
      </w:r>
      <w:r w:rsidR="005F6C8F" w:rsidRPr="008C3C79">
        <w:rPr>
          <w:rFonts w:asciiTheme="majorBidi" w:hAnsiTheme="majorBidi" w:cstheme="majorBidi"/>
        </w:rPr>
        <w:t xml:space="preserve"> </w:t>
      </w:r>
      <w:r w:rsidR="00061D2B">
        <w:rPr>
          <w:rFonts w:asciiTheme="majorBidi" w:hAnsiTheme="majorBidi" w:cstheme="majorBidi"/>
        </w:rPr>
        <w:t>questions regarding</w:t>
      </w:r>
      <w:r w:rsidR="0089309B">
        <w:rPr>
          <w:rFonts w:asciiTheme="majorBidi" w:hAnsiTheme="majorBidi" w:cstheme="majorBidi"/>
        </w:rPr>
        <w:t xml:space="preserve"> cost and financing. Annexes</w:t>
      </w:r>
      <w:r w:rsidR="0046583B">
        <w:rPr>
          <w:rFonts w:asciiTheme="majorBidi" w:hAnsiTheme="majorBidi" w:cstheme="majorBidi"/>
        </w:rPr>
        <w:t xml:space="preserve"> </w:t>
      </w:r>
      <w:r w:rsidR="001B0821">
        <w:rPr>
          <w:rFonts w:asciiTheme="majorBidi" w:hAnsiTheme="majorBidi" w:cstheme="majorBidi"/>
        </w:rPr>
        <w:t xml:space="preserve">contain </w:t>
      </w:r>
      <w:r w:rsidR="0046583B">
        <w:t>summary tables on services and potential beneficiaries as well as a draft budget</w:t>
      </w:r>
      <w:r w:rsidR="00F604CB">
        <w:t xml:space="preserve">. </w:t>
      </w:r>
      <w:r w:rsidR="00727DD2" w:rsidRPr="009953FB">
        <w:rPr>
          <w:rFonts w:asciiTheme="majorBidi" w:hAnsiTheme="majorBidi" w:cstheme="majorBidi"/>
        </w:rPr>
        <w:t>As is the case for other documents provided to the Working Group, this Note was prepared with reference to a broad range of published information on the topic,</w:t>
      </w:r>
      <w:r w:rsidR="00727DD2" w:rsidRPr="009953FB">
        <w:rPr>
          <w:rFonts w:asciiTheme="majorBidi" w:hAnsiTheme="majorBidi" w:cstheme="majorBidi"/>
          <w:vertAlign w:val="superscript"/>
        </w:rPr>
        <w:footnoteReference w:id="4"/>
      </w:r>
      <w:r w:rsidR="00727DD2" w:rsidRPr="009953FB">
        <w:rPr>
          <w:rFonts w:asciiTheme="majorBidi" w:hAnsiTheme="majorBidi" w:cstheme="majorBidi"/>
        </w:rPr>
        <w:t xml:space="preserve"> and does not seek to express a view on the possible reform options, which is a matter for the Working Group to consider.</w:t>
      </w:r>
    </w:p>
    <w:p w14:paraId="5577611C" w14:textId="184C4C16" w:rsidR="00727DD2" w:rsidRPr="008C3C79" w:rsidRDefault="0064794F" w:rsidP="0064794F">
      <w:pPr>
        <w:pStyle w:val="HCh"/>
        <w:ind w:left="1267" w:right="1260" w:hanging="1267"/>
        <w:rPr>
          <w:rFonts w:asciiTheme="majorBidi" w:hAnsiTheme="majorBidi" w:cstheme="majorBidi"/>
          <w:szCs w:val="28"/>
        </w:rPr>
      </w:pPr>
      <w:r w:rsidRPr="008C3C79">
        <w:rPr>
          <w:rFonts w:asciiTheme="majorBidi" w:hAnsiTheme="majorBidi" w:cstheme="majorBidi"/>
          <w:sz w:val="20"/>
        </w:rPr>
        <w:tab/>
      </w:r>
      <w:bookmarkStart w:id="2" w:name="_Toc63421428"/>
      <w:r w:rsidR="00727DD2" w:rsidRPr="008C3C79">
        <w:rPr>
          <w:rFonts w:asciiTheme="majorBidi" w:hAnsiTheme="majorBidi" w:cstheme="majorBidi"/>
          <w:szCs w:val="28"/>
        </w:rPr>
        <w:t>II.</w:t>
      </w:r>
      <w:r w:rsidR="00727DD2" w:rsidRPr="008C3C79">
        <w:rPr>
          <w:rFonts w:asciiTheme="majorBidi" w:hAnsiTheme="majorBidi" w:cstheme="majorBidi"/>
          <w:szCs w:val="28"/>
        </w:rPr>
        <w:tab/>
      </w:r>
      <w:r w:rsidR="000A1D8E" w:rsidRPr="008C3C79">
        <w:rPr>
          <w:rFonts w:asciiTheme="majorBidi" w:hAnsiTheme="majorBidi" w:cstheme="majorBidi"/>
          <w:szCs w:val="28"/>
        </w:rPr>
        <w:t xml:space="preserve">Establishment of </w:t>
      </w:r>
      <w:r w:rsidR="00B72550" w:rsidRPr="008C3C79">
        <w:rPr>
          <w:rFonts w:asciiTheme="majorBidi" w:hAnsiTheme="majorBidi" w:cstheme="majorBidi"/>
          <w:szCs w:val="28"/>
        </w:rPr>
        <w:t>an advisory centre</w:t>
      </w:r>
      <w:bookmarkEnd w:id="2"/>
      <w:r w:rsidR="00B72550" w:rsidRPr="008C3C79">
        <w:rPr>
          <w:rFonts w:asciiTheme="majorBidi" w:hAnsiTheme="majorBidi" w:cstheme="majorBidi"/>
          <w:szCs w:val="28"/>
        </w:rPr>
        <w:t xml:space="preserve"> </w:t>
      </w:r>
    </w:p>
    <w:p w14:paraId="22D63898" w14:textId="77777777" w:rsidR="007033CE" w:rsidRPr="008C3C79" w:rsidRDefault="007033CE" w:rsidP="0083189D">
      <w:pPr>
        <w:pStyle w:val="H1"/>
        <w:spacing w:after="120"/>
        <w:ind w:right="1259" w:firstLine="0"/>
        <w:outlineLvl w:val="9"/>
        <w:rPr>
          <w:rFonts w:asciiTheme="majorBidi" w:hAnsiTheme="majorBidi" w:cstheme="majorBidi"/>
          <w:sz w:val="22"/>
          <w:szCs w:val="22"/>
        </w:rPr>
      </w:pPr>
    </w:p>
    <w:p w14:paraId="08EEA9BC" w14:textId="6B5145F7" w:rsidR="004D5F80" w:rsidRPr="008C3C79" w:rsidRDefault="007033CE" w:rsidP="00AE0F71">
      <w:pPr>
        <w:pStyle w:val="H1"/>
        <w:numPr>
          <w:ilvl w:val="0"/>
          <w:numId w:val="7"/>
        </w:numPr>
        <w:spacing w:after="120"/>
        <w:ind w:left="1264" w:right="1259" w:hanging="482"/>
        <w:outlineLvl w:val="1"/>
        <w:rPr>
          <w:rFonts w:asciiTheme="majorBidi" w:hAnsiTheme="majorBidi" w:cstheme="majorBidi"/>
          <w:szCs w:val="24"/>
        </w:rPr>
      </w:pPr>
      <w:bookmarkStart w:id="3" w:name="_Toc63421429"/>
      <w:r w:rsidRPr="008C3C79">
        <w:rPr>
          <w:rFonts w:asciiTheme="majorBidi" w:hAnsiTheme="majorBidi" w:cstheme="majorBidi"/>
          <w:szCs w:val="24"/>
        </w:rPr>
        <w:t>Background information</w:t>
      </w:r>
      <w:bookmarkEnd w:id="3"/>
    </w:p>
    <w:p w14:paraId="7E6049E2" w14:textId="03021700" w:rsidR="00452EE9" w:rsidRPr="008C3C79" w:rsidRDefault="00702504" w:rsidP="001C61F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At its thirty-eighth session, t</w:t>
      </w:r>
      <w:r w:rsidR="001C61F3" w:rsidRPr="008C3C79">
        <w:rPr>
          <w:rFonts w:asciiTheme="majorBidi" w:hAnsiTheme="majorBidi" w:cstheme="majorBidi"/>
        </w:rPr>
        <w:t xml:space="preserve">he </w:t>
      </w:r>
      <w:r w:rsidR="001C61F3" w:rsidRPr="008278A4">
        <w:rPr>
          <w:rFonts w:asciiTheme="majorBidi" w:hAnsiTheme="majorBidi" w:cstheme="majorBidi"/>
        </w:rPr>
        <w:t xml:space="preserve">Working Group expressed general support for </w:t>
      </w:r>
      <w:r w:rsidR="007033CE" w:rsidRPr="008278A4">
        <w:rPr>
          <w:rFonts w:asciiTheme="majorBidi" w:hAnsiTheme="majorBidi" w:cstheme="majorBidi"/>
        </w:rPr>
        <w:t xml:space="preserve">undertaking preparatory work on the </w:t>
      </w:r>
      <w:r w:rsidR="001C61F3" w:rsidRPr="008278A4">
        <w:rPr>
          <w:rFonts w:asciiTheme="majorBidi" w:hAnsiTheme="majorBidi" w:cstheme="majorBidi"/>
        </w:rPr>
        <w:t>establish</w:t>
      </w:r>
      <w:r w:rsidR="007033CE" w:rsidRPr="008278A4">
        <w:rPr>
          <w:rFonts w:asciiTheme="majorBidi" w:hAnsiTheme="majorBidi" w:cstheme="majorBidi"/>
        </w:rPr>
        <w:t>ment of</w:t>
      </w:r>
      <w:r w:rsidR="001C61F3" w:rsidRPr="008278A4">
        <w:rPr>
          <w:rFonts w:asciiTheme="majorBidi" w:hAnsiTheme="majorBidi" w:cstheme="majorBidi"/>
        </w:rPr>
        <w:t xml:space="preserve"> a</w:t>
      </w:r>
      <w:r w:rsidR="004510DA" w:rsidRPr="008278A4">
        <w:rPr>
          <w:rFonts w:asciiTheme="majorBidi" w:hAnsiTheme="majorBidi" w:cstheme="majorBidi"/>
        </w:rPr>
        <w:t>n</w:t>
      </w:r>
      <w:r w:rsidR="001C61F3" w:rsidRPr="008278A4">
        <w:rPr>
          <w:rFonts w:asciiTheme="majorBidi" w:hAnsiTheme="majorBidi" w:cstheme="majorBidi"/>
        </w:rPr>
        <w:t xml:space="preserve"> advisory centre</w:t>
      </w:r>
      <w:r w:rsidR="00210BE1" w:rsidRPr="008278A4">
        <w:rPr>
          <w:rFonts w:asciiTheme="majorBidi" w:hAnsiTheme="majorBidi" w:cstheme="majorBidi"/>
        </w:rPr>
        <w:t>, which</w:t>
      </w:r>
      <w:r w:rsidR="00452EE9" w:rsidRPr="008278A4">
        <w:rPr>
          <w:rFonts w:asciiTheme="majorBidi" w:hAnsiTheme="majorBidi" w:cstheme="majorBidi"/>
        </w:rPr>
        <w:t xml:space="preserve"> </w:t>
      </w:r>
      <w:r w:rsidR="00210BE1" w:rsidRPr="008278A4">
        <w:rPr>
          <w:rFonts w:asciiTheme="majorBidi" w:hAnsiTheme="majorBidi" w:cstheme="majorBidi"/>
        </w:rPr>
        <w:t>would</w:t>
      </w:r>
      <w:r w:rsidR="00452EE9" w:rsidRPr="008278A4">
        <w:rPr>
          <w:rFonts w:asciiTheme="majorBidi" w:hAnsiTheme="majorBidi" w:cstheme="majorBidi"/>
        </w:rPr>
        <w:t xml:space="preserve"> address concerns identified, </w:t>
      </w:r>
      <w:r w:rsidR="001D319C">
        <w:rPr>
          <w:rFonts w:asciiTheme="majorBidi" w:hAnsiTheme="majorBidi" w:cstheme="majorBidi"/>
        </w:rPr>
        <w:t>including</w:t>
      </w:r>
      <w:r w:rsidR="00452EE9" w:rsidRPr="008278A4">
        <w:rPr>
          <w:rFonts w:asciiTheme="majorBidi" w:hAnsiTheme="majorBidi" w:cstheme="majorBidi"/>
        </w:rPr>
        <w:t xml:space="preserve"> with respect to the cost of </w:t>
      </w:r>
      <w:r w:rsidR="007033CE" w:rsidRPr="008278A4">
        <w:rPr>
          <w:rFonts w:asciiTheme="majorBidi" w:hAnsiTheme="majorBidi" w:cstheme="majorBidi"/>
        </w:rPr>
        <w:t xml:space="preserve">ISDS </w:t>
      </w:r>
      <w:r w:rsidR="00452EE9" w:rsidRPr="008278A4">
        <w:rPr>
          <w:rFonts w:asciiTheme="majorBidi" w:hAnsiTheme="majorBidi" w:cstheme="majorBidi"/>
        </w:rPr>
        <w:t>proceeding, correctness and consistency of decisions as well as</w:t>
      </w:r>
      <w:r w:rsidR="00B72550" w:rsidRPr="008278A4">
        <w:rPr>
          <w:rFonts w:asciiTheme="majorBidi" w:hAnsiTheme="majorBidi" w:cstheme="majorBidi"/>
        </w:rPr>
        <w:t xml:space="preserve"> access to</w:t>
      </w:r>
      <w:r w:rsidR="00452EE9" w:rsidRPr="008278A4">
        <w:rPr>
          <w:rFonts w:asciiTheme="majorBidi" w:hAnsiTheme="majorBidi" w:cstheme="majorBidi"/>
        </w:rPr>
        <w:t xml:space="preserve"> justice. It was also </w:t>
      </w:r>
      <w:r>
        <w:rPr>
          <w:rFonts w:asciiTheme="majorBidi" w:hAnsiTheme="majorBidi" w:cstheme="majorBidi"/>
        </w:rPr>
        <w:t>mentioned</w:t>
      </w:r>
      <w:r w:rsidR="00452EE9" w:rsidRPr="008278A4">
        <w:rPr>
          <w:rFonts w:asciiTheme="majorBidi" w:hAnsiTheme="majorBidi" w:cstheme="majorBidi"/>
        </w:rPr>
        <w:t xml:space="preserve"> that an advisory centre could contribute to enhancing transparency in ISDS (A/</w:t>
      </w:r>
      <w:r w:rsidR="00452EE9" w:rsidRPr="008C3C79">
        <w:rPr>
          <w:rFonts w:asciiTheme="majorBidi" w:hAnsiTheme="majorBidi" w:cstheme="majorBidi"/>
        </w:rPr>
        <w:t>CN.9/1004, para</w:t>
      </w:r>
      <w:r w:rsidR="00967A20" w:rsidRPr="008C3C79">
        <w:rPr>
          <w:rFonts w:asciiTheme="majorBidi" w:hAnsiTheme="majorBidi" w:cstheme="majorBidi"/>
        </w:rPr>
        <w:t>.</w:t>
      </w:r>
      <w:r w:rsidR="00452EE9" w:rsidRPr="008C3C79">
        <w:rPr>
          <w:rFonts w:asciiTheme="majorBidi" w:hAnsiTheme="majorBidi" w:cstheme="majorBidi"/>
        </w:rPr>
        <w:t xml:space="preserve"> 28).</w:t>
      </w:r>
      <w:r w:rsidR="001C61F3" w:rsidRPr="008C3C79">
        <w:rPr>
          <w:rFonts w:asciiTheme="majorBidi" w:hAnsiTheme="majorBidi" w:cstheme="majorBidi"/>
        </w:rPr>
        <w:t xml:space="preserve"> </w:t>
      </w:r>
    </w:p>
    <w:p w14:paraId="0EEF8245" w14:textId="12861F45" w:rsidR="001E0F17" w:rsidRPr="008C3C79" w:rsidRDefault="00452EE9" w:rsidP="007F47BA">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lastRenderedPageBreak/>
        <w:t xml:space="preserve">The Working Group </w:t>
      </w:r>
      <w:r w:rsidR="001C61F3" w:rsidRPr="008C3C79">
        <w:rPr>
          <w:rFonts w:asciiTheme="majorBidi" w:hAnsiTheme="majorBidi" w:cstheme="majorBidi"/>
          <w:lang w:val="en-CA"/>
        </w:rPr>
        <w:t>provided guidance</w:t>
      </w:r>
      <w:r w:rsidRPr="008C3C79">
        <w:rPr>
          <w:rFonts w:asciiTheme="majorBidi" w:hAnsiTheme="majorBidi" w:cstheme="majorBidi"/>
          <w:lang w:val="en-CA"/>
        </w:rPr>
        <w:t xml:space="preserve"> on how the </w:t>
      </w:r>
      <w:r w:rsidR="001C61F3" w:rsidRPr="008C3C79">
        <w:rPr>
          <w:rFonts w:asciiTheme="majorBidi" w:hAnsiTheme="majorBidi" w:cstheme="majorBidi"/>
          <w:lang w:val="en-CA"/>
        </w:rPr>
        <w:t xml:space="preserve">preparatory work </w:t>
      </w:r>
      <w:r w:rsidRPr="008C3C79">
        <w:rPr>
          <w:rFonts w:asciiTheme="majorBidi" w:hAnsiTheme="majorBidi" w:cstheme="majorBidi"/>
          <w:lang w:val="en-CA"/>
        </w:rPr>
        <w:t>should be conducted (</w:t>
      </w:r>
      <w:hyperlink r:id="rId18" w:history="1">
        <w:r w:rsidRPr="008C3C79">
          <w:rPr>
            <w:rStyle w:val="Hyperlink"/>
            <w:rFonts w:asciiTheme="majorBidi" w:hAnsiTheme="majorBidi" w:cstheme="majorBidi"/>
            <w:color w:val="auto"/>
          </w:rPr>
          <w:t>A/CN.9/1004</w:t>
        </w:r>
      </w:hyperlink>
      <w:r w:rsidRPr="008C3C79">
        <w:rPr>
          <w:rFonts w:asciiTheme="majorBidi" w:hAnsiTheme="majorBidi" w:cstheme="majorBidi"/>
          <w:lang w:val="en-CA"/>
        </w:rPr>
        <w:t xml:space="preserve">, paras. 40-49) and requested the Secretariat to </w:t>
      </w:r>
      <w:r w:rsidR="00210BE1" w:rsidRPr="008C3C79">
        <w:rPr>
          <w:rFonts w:asciiTheme="majorBidi" w:hAnsiTheme="majorBidi" w:cstheme="majorBidi"/>
          <w:lang w:val="en-CA"/>
        </w:rPr>
        <w:t>prepare draft</w:t>
      </w:r>
      <w:r w:rsidRPr="008C3C79">
        <w:rPr>
          <w:rFonts w:asciiTheme="majorBidi" w:hAnsiTheme="majorBidi" w:cstheme="majorBidi"/>
          <w:lang w:val="en-CA"/>
        </w:rPr>
        <w:t xml:space="preserve"> provisions</w:t>
      </w:r>
      <w:r w:rsidR="00290C9C" w:rsidRPr="008C3C79">
        <w:rPr>
          <w:rFonts w:asciiTheme="majorBidi" w:hAnsiTheme="majorBidi" w:cstheme="majorBidi"/>
          <w:lang w:val="en-CA"/>
        </w:rPr>
        <w:t xml:space="preserve"> </w:t>
      </w:r>
      <w:r w:rsidRPr="008C3C79">
        <w:rPr>
          <w:rFonts w:asciiTheme="majorBidi" w:hAnsiTheme="majorBidi" w:cstheme="majorBidi"/>
          <w:lang w:val="en-CA"/>
        </w:rPr>
        <w:t>(</w:t>
      </w:r>
      <w:hyperlink r:id="rId19" w:history="1">
        <w:r w:rsidRPr="008C3C79">
          <w:rPr>
            <w:rStyle w:val="Hyperlink"/>
            <w:rFonts w:asciiTheme="majorBidi" w:hAnsiTheme="majorBidi" w:cstheme="majorBidi"/>
            <w:color w:val="auto"/>
          </w:rPr>
          <w:t>A/CN.9/1004</w:t>
        </w:r>
      </w:hyperlink>
      <w:r w:rsidRPr="008C3C79">
        <w:rPr>
          <w:rFonts w:asciiTheme="majorBidi" w:hAnsiTheme="majorBidi" w:cstheme="majorBidi"/>
          <w:lang w:val="en-CA"/>
        </w:rPr>
        <w:t>, para. 41).</w:t>
      </w:r>
      <w:r w:rsidR="003865E3" w:rsidRPr="008C3C79">
        <w:rPr>
          <w:rFonts w:asciiTheme="majorBidi" w:hAnsiTheme="majorBidi" w:cstheme="majorBidi"/>
          <w:lang w:val="en-CA"/>
        </w:rPr>
        <w:t xml:space="preserve"> </w:t>
      </w:r>
      <w:r w:rsidR="00771894" w:rsidRPr="008C3C79">
        <w:rPr>
          <w:rFonts w:asciiTheme="majorBidi" w:hAnsiTheme="majorBidi" w:cstheme="majorBidi"/>
        </w:rPr>
        <w:t>It was suggested that the Advisory Centre on WTO Law (“ACWL”) could provide a useful model</w:t>
      </w:r>
      <w:r w:rsidR="00325838" w:rsidRPr="008C3C79">
        <w:rPr>
          <w:rFonts w:asciiTheme="majorBidi" w:hAnsiTheme="majorBidi" w:cstheme="majorBidi"/>
        </w:rPr>
        <w:t xml:space="preserve"> as it </w:t>
      </w:r>
      <w:r w:rsidR="007033CE" w:rsidRPr="008C3C79">
        <w:rPr>
          <w:rFonts w:asciiTheme="majorBidi" w:hAnsiTheme="majorBidi" w:cstheme="majorBidi"/>
        </w:rPr>
        <w:t xml:space="preserve">was created to assist developing and least developed countries </w:t>
      </w:r>
      <w:r w:rsidR="00E07BEE">
        <w:rPr>
          <w:rFonts w:asciiTheme="majorBidi" w:hAnsiTheme="majorBidi" w:cstheme="majorBidi"/>
        </w:rPr>
        <w:t xml:space="preserve">(LDCs) </w:t>
      </w:r>
      <w:r w:rsidR="007033CE" w:rsidRPr="008C3C79">
        <w:rPr>
          <w:rFonts w:asciiTheme="majorBidi" w:hAnsiTheme="majorBidi" w:cstheme="majorBidi"/>
        </w:rPr>
        <w:t>with the “legal capacity and to help them to understand fully their rights and obligations under WTO law”</w:t>
      </w:r>
      <w:r w:rsidR="001E0F17" w:rsidRPr="008C3C79">
        <w:rPr>
          <w:rFonts w:asciiTheme="majorBidi" w:hAnsiTheme="majorBidi" w:cstheme="majorBidi"/>
        </w:rPr>
        <w:t xml:space="preserve">. Further, it </w:t>
      </w:r>
      <w:r w:rsidR="00325838" w:rsidRPr="008C3C79">
        <w:rPr>
          <w:rFonts w:asciiTheme="majorBidi" w:hAnsiTheme="majorBidi" w:cstheme="majorBidi"/>
        </w:rPr>
        <w:t>is the only mechanism that provides a significant level of direct legal services in-house, by its own ACWL lawyers</w:t>
      </w:r>
      <w:r w:rsidR="007033CE" w:rsidRPr="008C3C79">
        <w:rPr>
          <w:rFonts w:asciiTheme="majorBidi" w:hAnsiTheme="majorBidi" w:cstheme="majorBidi"/>
        </w:rPr>
        <w:t>, including</w:t>
      </w:r>
      <w:r w:rsidR="00325838" w:rsidRPr="008C3C79">
        <w:rPr>
          <w:rFonts w:asciiTheme="majorBidi" w:hAnsiTheme="majorBidi" w:cstheme="majorBidi"/>
        </w:rPr>
        <w:t xml:space="preserve"> assistance in WTO dispute proceedings, legal advice on issues of WTO law, and </w:t>
      </w:r>
      <w:r w:rsidR="007033CE" w:rsidRPr="008C3C79">
        <w:rPr>
          <w:rFonts w:asciiTheme="majorBidi" w:hAnsiTheme="majorBidi" w:cstheme="majorBidi"/>
        </w:rPr>
        <w:t>t</w:t>
      </w:r>
      <w:r w:rsidR="00325838" w:rsidRPr="008C3C79">
        <w:rPr>
          <w:rFonts w:asciiTheme="majorBidi" w:hAnsiTheme="majorBidi" w:cstheme="majorBidi"/>
        </w:rPr>
        <w:t xml:space="preserve">raining. </w:t>
      </w:r>
    </w:p>
    <w:p w14:paraId="7C03D23B" w14:textId="6E918CA9" w:rsidR="00CF6374" w:rsidRDefault="00210BE1" w:rsidP="007F47BA">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It was pointed out in the Working Group that the structure of the advisory centre and the scope of its services should be considered in light of how the centre would interact with the ISDS regime and its reform efforts (</w:t>
      </w:r>
      <w:r w:rsidRPr="00BD70A0">
        <w:rPr>
          <w:rFonts w:asciiTheme="majorBidi" w:hAnsiTheme="majorBidi" w:cstheme="majorBidi"/>
        </w:rPr>
        <w:t>A/CN.9/1004</w:t>
      </w:r>
      <w:r w:rsidRPr="008C3C79">
        <w:rPr>
          <w:rFonts w:asciiTheme="majorBidi" w:hAnsiTheme="majorBidi" w:cstheme="majorBidi"/>
        </w:rPr>
        <w:t>, para 37)</w:t>
      </w:r>
      <w:r w:rsidR="007033CE" w:rsidRPr="008C3C79">
        <w:rPr>
          <w:rFonts w:asciiTheme="majorBidi" w:hAnsiTheme="majorBidi" w:cstheme="majorBidi"/>
        </w:rPr>
        <w:t>.</w:t>
      </w:r>
    </w:p>
    <w:p w14:paraId="60CE0EB4" w14:textId="09052936" w:rsidR="00372DA9" w:rsidRDefault="00372DA9" w:rsidP="00372DA9">
      <w:pPr>
        <w:pStyle w:val="SingleTxt"/>
        <w:tabs>
          <w:tab w:val="clear" w:pos="1742"/>
          <w:tab w:val="clear" w:pos="2218"/>
          <w:tab w:val="left" w:pos="1701"/>
          <w:tab w:val="num" w:pos="3126"/>
        </w:tabs>
        <w:ind w:left="1276"/>
        <w:rPr>
          <w:rFonts w:asciiTheme="majorBidi" w:hAnsiTheme="majorBidi" w:cstheme="majorBidi"/>
        </w:rPr>
      </w:pPr>
      <w:r w:rsidRPr="00290C7A">
        <w:rPr>
          <w:rFonts w:asciiTheme="majorBidi" w:hAnsiTheme="majorBidi" w:cstheme="majorBidi"/>
          <w:b/>
          <w:bCs/>
          <w:sz w:val="24"/>
          <w:szCs w:val="24"/>
        </w:rPr>
        <w:t>B</w:t>
      </w:r>
      <w:r>
        <w:rPr>
          <w:rFonts w:asciiTheme="majorBidi" w:hAnsiTheme="majorBidi" w:cstheme="majorBidi"/>
        </w:rPr>
        <w:t xml:space="preserve">. </w:t>
      </w:r>
      <w:r w:rsidRPr="00372DA9">
        <w:rPr>
          <w:rFonts w:asciiTheme="majorBidi" w:hAnsiTheme="majorBidi" w:cstheme="majorBidi"/>
          <w:b/>
          <w:bCs/>
          <w:sz w:val="24"/>
          <w:szCs w:val="24"/>
        </w:rPr>
        <w:t>Purpose of the Centre</w:t>
      </w:r>
    </w:p>
    <w:p w14:paraId="63971F62" w14:textId="336E6D53" w:rsidR="00372DA9" w:rsidRDefault="00372DA9" w:rsidP="00A47E36">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372DA9">
        <w:rPr>
          <w:rFonts w:asciiTheme="majorBidi" w:hAnsiTheme="majorBidi" w:cstheme="majorBidi"/>
        </w:rPr>
        <w:t>The Working Group may wish to consider draft provision 1</w:t>
      </w:r>
      <w:r w:rsidR="001019DF">
        <w:rPr>
          <w:rFonts w:asciiTheme="majorBidi" w:hAnsiTheme="majorBidi" w:cstheme="majorBidi"/>
        </w:rPr>
        <w:t xml:space="preserve"> </w:t>
      </w:r>
      <w:r w:rsidR="00F22E4C">
        <w:rPr>
          <w:rFonts w:asciiTheme="majorBidi" w:hAnsiTheme="majorBidi" w:cstheme="majorBidi"/>
        </w:rPr>
        <w:t xml:space="preserve">on the purpose of the centre, its scope of activities and relevant principles, as follows: </w:t>
      </w:r>
      <w:r w:rsidRPr="00372DA9">
        <w:rPr>
          <w:rFonts w:asciiTheme="majorBidi" w:hAnsiTheme="majorBidi" w:cstheme="majorBidi"/>
        </w:rPr>
        <w:t xml:space="preserve"> </w:t>
      </w:r>
    </w:p>
    <w:p w14:paraId="546C37A0" w14:textId="0FC6D225" w:rsidR="00372DA9" w:rsidRPr="00372DA9" w:rsidRDefault="00372DA9" w:rsidP="00372DA9">
      <w:pPr>
        <w:pStyle w:val="SingleTxt"/>
        <w:tabs>
          <w:tab w:val="clear" w:pos="1742"/>
          <w:tab w:val="clear" w:pos="2218"/>
          <w:tab w:val="left" w:pos="1701"/>
          <w:tab w:val="num" w:pos="3126"/>
        </w:tabs>
        <w:ind w:left="1276"/>
        <w:rPr>
          <w:rFonts w:asciiTheme="majorBidi" w:hAnsiTheme="majorBidi" w:cstheme="majorBidi"/>
          <w:b/>
          <w:bCs/>
          <w:i/>
          <w:iCs/>
        </w:rPr>
      </w:pPr>
      <w:r w:rsidRPr="00372DA9">
        <w:rPr>
          <w:rFonts w:asciiTheme="majorBidi" w:hAnsiTheme="majorBidi" w:cstheme="majorBidi"/>
          <w:b/>
          <w:bCs/>
          <w:i/>
          <w:iCs/>
        </w:rPr>
        <w:t>Draft provision 1</w:t>
      </w:r>
      <w:r w:rsidR="00E8310B">
        <w:rPr>
          <w:rFonts w:asciiTheme="majorBidi" w:hAnsiTheme="majorBidi" w:cstheme="majorBidi"/>
          <w:b/>
          <w:bCs/>
          <w:i/>
          <w:iCs/>
        </w:rPr>
        <w:t xml:space="preserve"> </w:t>
      </w:r>
      <w:r w:rsidR="00545099">
        <w:rPr>
          <w:rFonts w:asciiTheme="majorBidi" w:hAnsiTheme="majorBidi" w:cstheme="majorBidi"/>
          <w:b/>
          <w:bCs/>
          <w:i/>
          <w:iCs/>
        </w:rPr>
        <w:t>-</w:t>
      </w:r>
      <w:r w:rsidR="00E8310B">
        <w:rPr>
          <w:rFonts w:asciiTheme="majorBidi" w:hAnsiTheme="majorBidi" w:cstheme="majorBidi"/>
          <w:b/>
          <w:bCs/>
          <w:i/>
          <w:iCs/>
        </w:rPr>
        <w:t xml:space="preserve"> </w:t>
      </w:r>
      <w:r w:rsidR="00545099">
        <w:rPr>
          <w:rFonts w:asciiTheme="majorBidi" w:hAnsiTheme="majorBidi" w:cstheme="majorBidi"/>
          <w:b/>
          <w:bCs/>
          <w:i/>
          <w:iCs/>
        </w:rPr>
        <w:t>S</w:t>
      </w:r>
      <w:r w:rsidR="00E8310B">
        <w:rPr>
          <w:rFonts w:asciiTheme="majorBidi" w:hAnsiTheme="majorBidi" w:cstheme="majorBidi"/>
          <w:b/>
          <w:bCs/>
          <w:i/>
          <w:iCs/>
        </w:rPr>
        <w:t xml:space="preserve">cope </w:t>
      </w:r>
    </w:p>
    <w:p w14:paraId="569ED003" w14:textId="6D7F31CD" w:rsidR="00372DA9" w:rsidRDefault="00F22E4C" w:rsidP="00372DA9">
      <w:pPr>
        <w:pStyle w:val="SingleTxt"/>
        <w:tabs>
          <w:tab w:val="clear" w:pos="1267"/>
          <w:tab w:val="left" w:pos="709"/>
          <w:tab w:val="left" w:pos="1701"/>
          <w:tab w:val="left" w:pos="2127"/>
        </w:tabs>
        <w:ind w:left="1644"/>
        <w:rPr>
          <w:rFonts w:asciiTheme="majorBidi" w:hAnsiTheme="majorBidi" w:cstheme="majorBidi"/>
          <w:i/>
          <w:iCs/>
        </w:rPr>
      </w:pPr>
      <w:r>
        <w:rPr>
          <w:rFonts w:asciiTheme="majorBidi" w:hAnsiTheme="majorBidi" w:cstheme="majorBidi"/>
          <w:i/>
          <w:iCs/>
        </w:rPr>
        <w:t>a.</w:t>
      </w:r>
      <w:r w:rsidR="00372DA9" w:rsidRPr="008C3C79">
        <w:rPr>
          <w:rFonts w:asciiTheme="majorBidi" w:hAnsiTheme="majorBidi" w:cstheme="majorBidi"/>
          <w:i/>
          <w:iCs/>
        </w:rPr>
        <w:t xml:space="preserve"> The Centre shall provide the services </w:t>
      </w:r>
      <w:r w:rsidR="00372DA9">
        <w:rPr>
          <w:rFonts w:asciiTheme="majorBidi" w:hAnsiTheme="majorBidi" w:cstheme="majorBidi"/>
          <w:i/>
          <w:iCs/>
        </w:rPr>
        <w:t xml:space="preserve">listed in </w:t>
      </w:r>
      <w:r>
        <w:rPr>
          <w:rFonts w:asciiTheme="majorBidi" w:hAnsiTheme="majorBidi" w:cstheme="majorBidi"/>
          <w:i/>
          <w:iCs/>
        </w:rPr>
        <w:t>[draft provision 2]</w:t>
      </w:r>
      <w:r w:rsidR="00372DA9">
        <w:rPr>
          <w:rFonts w:asciiTheme="majorBidi" w:hAnsiTheme="majorBidi" w:cstheme="majorBidi"/>
          <w:i/>
          <w:iCs/>
        </w:rPr>
        <w:t xml:space="preserve"> below</w:t>
      </w:r>
      <w:r>
        <w:rPr>
          <w:rFonts w:asciiTheme="majorBidi" w:hAnsiTheme="majorBidi" w:cstheme="majorBidi"/>
          <w:i/>
          <w:iCs/>
        </w:rPr>
        <w:t xml:space="preserve"> (“the Services”)</w:t>
      </w:r>
      <w:r w:rsidR="00372DA9" w:rsidRPr="008C3C79">
        <w:rPr>
          <w:rFonts w:asciiTheme="majorBidi" w:hAnsiTheme="majorBidi" w:cstheme="majorBidi"/>
          <w:i/>
          <w:iCs/>
        </w:rPr>
        <w:t xml:space="preserve"> in matters relating to international investment law</w:t>
      </w:r>
      <w:r w:rsidR="00372DA9">
        <w:rPr>
          <w:rFonts w:asciiTheme="majorBidi" w:hAnsiTheme="majorBidi" w:cstheme="majorBidi"/>
          <w:i/>
          <w:iCs/>
        </w:rPr>
        <w:t xml:space="preserve"> and</w:t>
      </w:r>
      <w:r w:rsidR="00372DA9" w:rsidRPr="008C3C79">
        <w:rPr>
          <w:rFonts w:asciiTheme="majorBidi" w:hAnsiTheme="majorBidi" w:cstheme="majorBidi"/>
          <w:i/>
          <w:iCs/>
        </w:rPr>
        <w:t xml:space="preserve"> investor-state dispute settlement</w:t>
      </w:r>
      <w:r w:rsidR="00372DA9">
        <w:rPr>
          <w:rFonts w:asciiTheme="majorBidi" w:hAnsiTheme="majorBidi" w:cstheme="majorBidi"/>
          <w:i/>
          <w:iCs/>
        </w:rPr>
        <w:t xml:space="preserve"> (ISDS)</w:t>
      </w:r>
      <w:r w:rsidR="00372DA9" w:rsidRPr="008C3C79">
        <w:rPr>
          <w:rFonts w:asciiTheme="majorBidi" w:hAnsiTheme="majorBidi" w:cstheme="majorBidi"/>
          <w:i/>
          <w:iCs/>
        </w:rPr>
        <w:t xml:space="preserve"> proceedings (the “Services”) to [developing</w:t>
      </w:r>
      <w:r w:rsidR="00372DA9">
        <w:rPr>
          <w:rFonts w:asciiTheme="majorBidi" w:hAnsiTheme="majorBidi" w:cstheme="majorBidi"/>
          <w:i/>
          <w:iCs/>
        </w:rPr>
        <w:t>]</w:t>
      </w:r>
      <w:r w:rsidR="00372DA9" w:rsidRPr="008C3C79">
        <w:rPr>
          <w:rFonts w:asciiTheme="majorBidi" w:hAnsiTheme="majorBidi" w:cstheme="majorBidi"/>
          <w:i/>
          <w:iCs/>
        </w:rPr>
        <w:t xml:space="preserve"> </w:t>
      </w:r>
      <w:r w:rsidR="00372DA9">
        <w:rPr>
          <w:rFonts w:asciiTheme="majorBidi" w:hAnsiTheme="majorBidi" w:cstheme="majorBidi"/>
          <w:i/>
          <w:iCs/>
        </w:rPr>
        <w:t>States</w:t>
      </w:r>
      <w:r w:rsidR="00372DA9" w:rsidRPr="008C3C79">
        <w:rPr>
          <w:rFonts w:asciiTheme="majorBidi" w:hAnsiTheme="majorBidi" w:cstheme="majorBidi"/>
          <w:i/>
          <w:iCs/>
        </w:rPr>
        <w:t xml:space="preserve">, in particular to the least developed among them </w:t>
      </w:r>
      <w:r w:rsidR="00372DA9">
        <w:rPr>
          <w:rFonts w:asciiTheme="majorBidi" w:hAnsiTheme="majorBidi" w:cstheme="majorBidi"/>
          <w:i/>
          <w:iCs/>
        </w:rPr>
        <w:t>(the “State</w:t>
      </w:r>
      <w:r w:rsidR="00372DA9" w:rsidRPr="005664D2">
        <w:rPr>
          <w:rFonts w:asciiTheme="majorBidi" w:hAnsiTheme="majorBidi" w:cstheme="majorBidi"/>
          <w:i/>
          <w:iCs/>
        </w:rPr>
        <w:t xml:space="preserve"> </w:t>
      </w:r>
      <w:r w:rsidR="00372DA9">
        <w:rPr>
          <w:rFonts w:asciiTheme="majorBidi" w:hAnsiTheme="majorBidi" w:cstheme="majorBidi"/>
          <w:i/>
          <w:iCs/>
        </w:rPr>
        <w:t xml:space="preserve">Beneficiaries”) </w:t>
      </w:r>
      <w:r w:rsidR="00372DA9" w:rsidRPr="008C3C79">
        <w:rPr>
          <w:rFonts w:asciiTheme="majorBidi" w:hAnsiTheme="majorBidi" w:cstheme="majorBidi"/>
          <w:i/>
          <w:iCs/>
        </w:rPr>
        <w:t>[</w:t>
      </w:r>
      <w:r w:rsidR="00372DA9">
        <w:rPr>
          <w:rFonts w:asciiTheme="majorBidi" w:hAnsiTheme="majorBidi" w:cstheme="majorBidi"/>
          <w:i/>
          <w:iCs/>
        </w:rPr>
        <w:t>and small and medium-size enterprises (</w:t>
      </w:r>
      <w:r w:rsidR="00372DA9" w:rsidRPr="008C3C79">
        <w:rPr>
          <w:rFonts w:asciiTheme="majorBidi" w:hAnsiTheme="majorBidi" w:cstheme="majorBidi"/>
          <w:i/>
          <w:iCs/>
        </w:rPr>
        <w:t>SMEs</w:t>
      </w:r>
      <w:r w:rsidR="00372DA9">
        <w:rPr>
          <w:rFonts w:asciiTheme="majorBidi" w:hAnsiTheme="majorBidi" w:cstheme="majorBidi"/>
          <w:i/>
          <w:iCs/>
        </w:rPr>
        <w:t>)</w:t>
      </w:r>
      <w:r w:rsidR="00372DA9" w:rsidRPr="008C3C79">
        <w:rPr>
          <w:rFonts w:asciiTheme="majorBidi" w:hAnsiTheme="majorBidi" w:cstheme="majorBidi"/>
          <w:i/>
          <w:iCs/>
        </w:rPr>
        <w:t>] (</w:t>
      </w:r>
      <w:r w:rsidR="00372DA9">
        <w:rPr>
          <w:rFonts w:asciiTheme="majorBidi" w:hAnsiTheme="majorBidi" w:cstheme="majorBidi"/>
          <w:i/>
          <w:iCs/>
        </w:rPr>
        <w:t xml:space="preserve">the </w:t>
      </w:r>
      <w:r w:rsidR="00372DA9" w:rsidRPr="008C3C79">
        <w:rPr>
          <w:rFonts w:asciiTheme="majorBidi" w:hAnsiTheme="majorBidi" w:cstheme="majorBidi"/>
          <w:i/>
          <w:iCs/>
        </w:rPr>
        <w:t>“</w:t>
      </w:r>
      <w:r w:rsidR="00372DA9">
        <w:rPr>
          <w:rFonts w:asciiTheme="majorBidi" w:hAnsiTheme="majorBidi" w:cstheme="majorBidi"/>
          <w:i/>
          <w:iCs/>
        </w:rPr>
        <w:t>SMEs</w:t>
      </w:r>
      <w:r w:rsidR="00372DA9" w:rsidRPr="008C3C79">
        <w:rPr>
          <w:rFonts w:asciiTheme="majorBidi" w:hAnsiTheme="majorBidi" w:cstheme="majorBidi"/>
          <w:i/>
          <w:iCs/>
        </w:rPr>
        <w:t xml:space="preserve"> Beneficiar</w:t>
      </w:r>
      <w:r w:rsidR="00372DA9">
        <w:rPr>
          <w:rFonts w:asciiTheme="majorBidi" w:hAnsiTheme="majorBidi" w:cstheme="majorBidi"/>
          <w:i/>
          <w:iCs/>
        </w:rPr>
        <w:t>ies”) (</w:t>
      </w:r>
      <w:r w:rsidR="001019DF">
        <w:rPr>
          <w:rFonts w:asciiTheme="majorBidi" w:hAnsiTheme="majorBidi" w:cstheme="majorBidi"/>
          <w:i/>
          <w:iCs/>
        </w:rPr>
        <w:t>[</w:t>
      </w:r>
      <w:r w:rsidR="00372DA9">
        <w:rPr>
          <w:rFonts w:asciiTheme="majorBidi" w:hAnsiTheme="majorBidi" w:cstheme="majorBidi"/>
          <w:i/>
          <w:iCs/>
        </w:rPr>
        <w:t>collectively</w:t>
      </w:r>
      <w:r w:rsidR="001019DF">
        <w:rPr>
          <w:rFonts w:asciiTheme="majorBidi" w:hAnsiTheme="majorBidi" w:cstheme="majorBidi"/>
          <w:i/>
          <w:iCs/>
        </w:rPr>
        <w:t>]</w:t>
      </w:r>
      <w:r w:rsidR="00372DA9">
        <w:rPr>
          <w:rFonts w:asciiTheme="majorBidi" w:hAnsiTheme="majorBidi" w:cstheme="majorBidi"/>
          <w:i/>
          <w:iCs/>
        </w:rPr>
        <w:t xml:space="preserve"> the “Beneficiaries”).</w:t>
      </w:r>
    </w:p>
    <w:p w14:paraId="4F79887D" w14:textId="5248B298" w:rsidR="00372DA9" w:rsidRPr="008C3C79" w:rsidRDefault="00372DA9" w:rsidP="00F22E4C">
      <w:pPr>
        <w:pStyle w:val="SingleTxt"/>
        <w:tabs>
          <w:tab w:val="clear" w:pos="1742"/>
          <w:tab w:val="clear" w:pos="2218"/>
          <w:tab w:val="left" w:pos="1701"/>
          <w:tab w:val="num" w:pos="3126"/>
        </w:tabs>
        <w:rPr>
          <w:rFonts w:asciiTheme="majorBidi" w:hAnsiTheme="majorBidi" w:cstheme="majorBidi"/>
          <w:i/>
          <w:iCs/>
        </w:rPr>
      </w:pPr>
      <w:r>
        <w:rPr>
          <w:rFonts w:asciiTheme="majorBidi" w:hAnsiTheme="majorBidi" w:cstheme="majorBidi"/>
        </w:rPr>
        <w:t xml:space="preserve"> </w:t>
      </w:r>
      <w:r w:rsidR="00F22E4C">
        <w:rPr>
          <w:rFonts w:asciiTheme="majorBidi" w:hAnsiTheme="majorBidi" w:cstheme="majorBidi"/>
          <w:i/>
          <w:iCs/>
        </w:rPr>
        <w:tab/>
        <w:t xml:space="preserve">b. </w:t>
      </w:r>
      <w:r>
        <w:rPr>
          <w:rFonts w:asciiTheme="majorBidi" w:hAnsiTheme="majorBidi" w:cstheme="majorBidi"/>
          <w:i/>
          <w:iCs/>
        </w:rPr>
        <w:t xml:space="preserve">The Centre shall render the </w:t>
      </w:r>
      <w:r w:rsidR="00F22E4C">
        <w:rPr>
          <w:rFonts w:asciiTheme="majorBidi" w:hAnsiTheme="majorBidi" w:cstheme="majorBidi"/>
          <w:i/>
          <w:iCs/>
        </w:rPr>
        <w:t>S</w:t>
      </w:r>
      <w:r>
        <w:rPr>
          <w:rFonts w:asciiTheme="majorBidi" w:hAnsiTheme="majorBidi" w:cstheme="majorBidi"/>
          <w:i/>
          <w:iCs/>
        </w:rPr>
        <w:t>ervices:</w:t>
      </w:r>
    </w:p>
    <w:p w14:paraId="04760D83" w14:textId="1691EE84" w:rsidR="00372DA9" w:rsidRDefault="00372DA9" w:rsidP="00372DA9">
      <w:pPr>
        <w:pStyle w:val="SingleTxt"/>
        <w:tabs>
          <w:tab w:val="clear" w:pos="1742"/>
          <w:tab w:val="clear" w:pos="2218"/>
          <w:tab w:val="num" w:pos="1850"/>
        </w:tabs>
        <w:ind w:left="2835" w:hanging="283"/>
        <w:rPr>
          <w:rFonts w:asciiTheme="majorBidi" w:hAnsiTheme="majorBidi" w:cstheme="majorBidi"/>
          <w:i/>
          <w:iCs/>
        </w:rPr>
      </w:pPr>
      <w:r w:rsidRPr="008C3C79">
        <w:rPr>
          <w:rFonts w:asciiTheme="majorBidi" w:hAnsiTheme="majorBidi" w:cstheme="majorBidi"/>
          <w:i/>
          <w:iCs/>
        </w:rPr>
        <w:t>(</w:t>
      </w:r>
      <w:r w:rsidR="00F22E4C">
        <w:rPr>
          <w:rFonts w:asciiTheme="majorBidi" w:hAnsiTheme="majorBidi" w:cstheme="majorBidi"/>
          <w:i/>
          <w:iCs/>
        </w:rPr>
        <w:t>i</w:t>
      </w:r>
      <w:r w:rsidRPr="008C3C79">
        <w:rPr>
          <w:rFonts w:asciiTheme="majorBidi" w:hAnsiTheme="majorBidi" w:cstheme="majorBidi"/>
          <w:i/>
          <w:iCs/>
        </w:rPr>
        <w:t xml:space="preserve">)  </w:t>
      </w:r>
      <w:r>
        <w:rPr>
          <w:rFonts w:asciiTheme="majorBidi" w:hAnsiTheme="majorBidi" w:cstheme="majorBidi"/>
          <w:i/>
          <w:iCs/>
        </w:rPr>
        <w:t xml:space="preserve">In a sustainable, </w:t>
      </w:r>
      <w:r w:rsidRPr="008C3C79">
        <w:rPr>
          <w:rFonts w:asciiTheme="majorBidi" w:hAnsiTheme="majorBidi" w:cstheme="majorBidi"/>
          <w:i/>
          <w:iCs/>
        </w:rPr>
        <w:t>accessible and competitive</w:t>
      </w:r>
      <w:r>
        <w:rPr>
          <w:rFonts w:asciiTheme="majorBidi" w:hAnsiTheme="majorBidi" w:cstheme="majorBidi"/>
          <w:i/>
          <w:iCs/>
        </w:rPr>
        <w:t xml:space="preserve"> manner;</w:t>
      </w:r>
    </w:p>
    <w:p w14:paraId="3FF115DC" w14:textId="49F863EF" w:rsidR="00372DA9" w:rsidRPr="008C3C79" w:rsidRDefault="00372DA9" w:rsidP="00372DA9">
      <w:pPr>
        <w:pStyle w:val="SingleTxt"/>
        <w:tabs>
          <w:tab w:val="clear" w:pos="1742"/>
          <w:tab w:val="clear" w:pos="2218"/>
          <w:tab w:val="num" w:pos="1850"/>
        </w:tabs>
        <w:ind w:left="2835" w:hanging="283"/>
        <w:rPr>
          <w:rFonts w:asciiTheme="majorBidi" w:hAnsiTheme="majorBidi" w:cstheme="majorBidi"/>
          <w:i/>
          <w:iCs/>
        </w:rPr>
      </w:pPr>
      <w:r>
        <w:rPr>
          <w:rFonts w:asciiTheme="majorBidi" w:hAnsiTheme="majorBidi" w:cstheme="majorBidi"/>
          <w:i/>
          <w:iCs/>
        </w:rPr>
        <w:t>(</w:t>
      </w:r>
      <w:r w:rsidR="00F22E4C">
        <w:rPr>
          <w:rFonts w:asciiTheme="majorBidi" w:hAnsiTheme="majorBidi" w:cstheme="majorBidi"/>
          <w:i/>
          <w:iCs/>
        </w:rPr>
        <w:t>ii</w:t>
      </w:r>
      <w:r>
        <w:rPr>
          <w:rFonts w:asciiTheme="majorBidi" w:hAnsiTheme="majorBidi" w:cstheme="majorBidi"/>
          <w:i/>
          <w:iCs/>
        </w:rPr>
        <w:t xml:space="preserve">) In compliance with </w:t>
      </w:r>
      <w:r w:rsidRPr="008C3C79">
        <w:rPr>
          <w:rFonts w:asciiTheme="majorBidi" w:hAnsiTheme="majorBidi" w:cstheme="majorBidi"/>
          <w:i/>
          <w:iCs/>
        </w:rPr>
        <w:t>high technical and professional</w:t>
      </w:r>
      <w:r>
        <w:rPr>
          <w:rFonts w:asciiTheme="majorBidi" w:hAnsiTheme="majorBidi" w:cstheme="majorBidi"/>
          <w:i/>
          <w:iCs/>
        </w:rPr>
        <w:t xml:space="preserve"> standards and</w:t>
      </w:r>
      <w:r w:rsidRPr="007A737C">
        <w:rPr>
          <w:rFonts w:asciiTheme="majorBidi" w:hAnsiTheme="majorBidi" w:cstheme="majorBidi"/>
          <w:i/>
          <w:iCs/>
        </w:rPr>
        <w:t xml:space="preserve"> </w:t>
      </w:r>
      <w:r w:rsidRPr="00CF29D3">
        <w:rPr>
          <w:rFonts w:asciiTheme="majorBidi" w:hAnsiTheme="majorBidi" w:cstheme="majorBidi"/>
          <w:i/>
          <w:iCs/>
        </w:rPr>
        <w:t>with applicable statutes, internal regulations and rules</w:t>
      </w:r>
      <w:r>
        <w:rPr>
          <w:rFonts w:asciiTheme="majorBidi" w:hAnsiTheme="majorBidi" w:cstheme="majorBidi"/>
          <w:i/>
          <w:iCs/>
        </w:rPr>
        <w:t>;</w:t>
      </w:r>
      <w:r w:rsidRPr="008C3C79">
        <w:rPr>
          <w:rFonts w:asciiTheme="majorBidi" w:hAnsiTheme="majorBidi" w:cstheme="majorBidi"/>
          <w:i/>
          <w:iCs/>
        </w:rPr>
        <w:t xml:space="preserve"> </w:t>
      </w:r>
    </w:p>
    <w:p w14:paraId="1EE06666" w14:textId="7956DE9F" w:rsidR="00372DA9" w:rsidRDefault="00372DA9" w:rsidP="00372DA9">
      <w:pPr>
        <w:pStyle w:val="SingleTxt"/>
        <w:tabs>
          <w:tab w:val="clear" w:pos="1267"/>
          <w:tab w:val="clear" w:pos="1742"/>
          <w:tab w:val="clear" w:pos="2218"/>
          <w:tab w:val="num" w:pos="1850"/>
        </w:tabs>
        <w:ind w:left="2835" w:hanging="283"/>
        <w:rPr>
          <w:rFonts w:asciiTheme="majorBidi" w:hAnsiTheme="majorBidi" w:cstheme="majorBidi"/>
          <w:i/>
          <w:iCs/>
        </w:rPr>
      </w:pPr>
      <w:r w:rsidRPr="008C3C79">
        <w:rPr>
          <w:rFonts w:asciiTheme="majorBidi" w:hAnsiTheme="majorBidi" w:cstheme="majorBidi"/>
          <w:i/>
          <w:iCs/>
        </w:rPr>
        <w:t>(</w:t>
      </w:r>
      <w:r w:rsidR="00F22E4C">
        <w:rPr>
          <w:rFonts w:asciiTheme="majorBidi" w:hAnsiTheme="majorBidi" w:cstheme="majorBidi"/>
          <w:i/>
          <w:iCs/>
        </w:rPr>
        <w:t>iii</w:t>
      </w:r>
      <w:r w:rsidRPr="008C3C79">
        <w:rPr>
          <w:rFonts w:asciiTheme="majorBidi" w:hAnsiTheme="majorBidi" w:cstheme="majorBidi"/>
          <w:i/>
          <w:iCs/>
        </w:rPr>
        <w:t>)</w:t>
      </w:r>
      <w:r w:rsidRPr="00CF29D3">
        <w:t xml:space="preserve"> </w:t>
      </w:r>
      <w:r w:rsidRPr="00CF29D3">
        <w:rPr>
          <w:rFonts w:asciiTheme="majorBidi" w:hAnsiTheme="majorBidi" w:cstheme="majorBidi"/>
          <w:i/>
          <w:iCs/>
        </w:rPr>
        <w:t>Free from any external influence</w:t>
      </w:r>
      <w:r>
        <w:rPr>
          <w:rFonts w:asciiTheme="majorBidi" w:hAnsiTheme="majorBidi" w:cstheme="majorBidi"/>
          <w:i/>
          <w:iCs/>
        </w:rPr>
        <w:t>, including from donors and in the best interest of the Beneficiaries; and</w:t>
      </w:r>
    </w:p>
    <w:p w14:paraId="21C529DA" w14:textId="7C548F9E" w:rsidR="00372DA9" w:rsidRDefault="00372DA9" w:rsidP="00372DA9">
      <w:pPr>
        <w:pStyle w:val="SingleTxt"/>
        <w:tabs>
          <w:tab w:val="clear" w:pos="1267"/>
          <w:tab w:val="clear" w:pos="1742"/>
          <w:tab w:val="clear" w:pos="2218"/>
          <w:tab w:val="num" w:pos="1850"/>
        </w:tabs>
        <w:ind w:left="2835" w:hanging="283"/>
        <w:rPr>
          <w:rFonts w:asciiTheme="majorBidi" w:hAnsiTheme="majorBidi" w:cstheme="majorBidi"/>
          <w:i/>
          <w:iCs/>
        </w:rPr>
      </w:pPr>
      <w:r>
        <w:rPr>
          <w:rFonts w:asciiTheme="majorBidi" w:hAnsiTheme="majorBidi" w:cstheme="majorBidi"/>
          <w:i/>
          <w:iCs/>
        </w:rPr>
        <w:t>(</w:t>
      </w:r>
      <w:r w:rsidR="00F22E4C">
        <w:rPr>
          <w:rFonts w:asciiTheme="majorBidi" w:hAnsiTheme="majorBidi" w:cstheme="majorBidi"/>
          <w:i/>
          <w:iCs/>
        </w:rPr>
        <w:t>iv</w:t>
      </w:r>
      <w:r>
        <w:rPr>
          <w:rFonts w:asciiTheme="majorBidi" w:hAnsiTheme="majorBidi" w:cstheme="majorBidi"/>
          <w:i/>
          <w:iCs/>
        </w:rPr>
        <w:t>)</w:t>
      </w:r>
      <w:r w:rsidRPr="008C3C79">
        <w:rPr>
          <w:rFonts w:asciiTheme="majorBidi" w:hAnsiTheme="majorBidi" w:cstheme="majorBidi"/>
          <w:i/>
          <w:iCs/>
        </w:rPr>
        <w:t xml:space="preserve">; </w:t>
      </w:r>
      <w:r>
        <w:rPr>
          <w:rFonts w:asciiTheme="majorBidi" w:hAnsiTheme="majorBidi" w:cstheme="majorBidi"/>
          <w:i/>
          <w:iCs/>
        </w:rPr>
        <w:t>(…)</w:t>
      </w:r>
    </w:p>
    <w:p w14:paraId="123BCD8B" w14:textId="12107B82" w:rsidR="00E8310B" w:rsidRPr="00C660C3" w:rsidRDefault="00E8310B" w:rsidP="00E8310B">
      <w:pPr>
        <w:pStyle w:val="SingleTxt"/>
        <w:tabs>
          <w:tab w:val="left" w:pos="709"/>
          <w:tab w:val="left" w:pos="2127"/>
        </w:tabs>
        <w:ind w:left="2381" w:hanging="574"/>
        <w:rPr>
          <w:rFonts w:asciiTheme="majorBidi" w:hAnsiTheme="majorBidi" w:cstheme="majorBidi"/>
          <w:i/>
          <w:iCs/>
        </w:rPr>
      </w:pPr>
      <w:r>
        <w:rPr>
          <w:rFonts w:asciiTheme="majorBidi" w:hAnsiTheme="majorBidi" w:cstheme="majorBidi"/>
          <w:i/>
          <w:iCs/>
        </w:rPr>
        <w:t xml:space="preserve">c. </w:t>
      </w:r>
      <w:r w:rsidRPr="00C660C3">
        <w:rPr>
          <w:rFonts w:asciiTheme="majorBidi" w:hAnsiTheme="majorBidi" w:cstheme="majorBidi"/>
          <w:i/>
          <w:iCs/>
        </w:rPr>
        <w:t>The Centre shall comprise:</w:t>
      </w:r>
    </w:p>
    <w:p w14:paraId="1B490219" w14:textId="2498E15F" w:rsidR="00E8310B" w:rsidRDefault="00E8310B" w:rsidP="00E8310B">
      <w:pPr>
        <w:pStyle w:val="SingleTxt"/>
        <w:tabs>
          <w:tab w:val="clear" w:pos="4622"/>
          <w:tab w:val="left" w:pos="709"/>
          <w:tab w:val="left" w:pos="2127"/>
        </w:tabs>
        <w:ind w:left="2381"/>
        <w:rPr>
          <w:rFonts w:asciiTheme="majorBidi" w:hAnsiTheme="majorBidi" w:cstheme="majorBidi"/>
          <w:i/>
          <w:iCs/>
        </w:rPr>
      </w:pPr>
      <w:r>
        <w:rPr>
          <w:rFonts w:asciiTheme="majorBidi" w:hAnsiTheme="majorBidi" w:cstheme="majorBidi"/>
          <w:i/>
          <w:iCs/>
        </w:rPr>
        <w:t xml:space="preserve">(i) </w:t>
      </w:r>
      <w:r w:rsidRPr="00C660C3">
        <w:rPr>
          <w:rFonts w:asciiTheme="majorBidi" w:hAnsiTheme="majorBidi" w:cstheme="majorBidi"/>
          <w:i/>
          <w:iCs/>
        </w:rPr>
        <w:t xml:space="preserve">An Assistance Mechanism, to </w:t>
      </w:r>
      <w:r>
        <w:rPr>
          <w:rFonts w:asciiTheme="majorBidi" w:hAnsiTheme="majorBidi" w:cstheme="majorBidi"/>
          <w:i/>
          <w:iCs/>
        </w:rPr>
        <w:t xml:space="preserve">provide </w:t>
      </w:r>
      <w:r w:rsidR="001019DF">
        <w:rPr>
          <w:rFonts w:asciiTheme="majorBidi" w:hAnsiTheme="majorBidi" w:cstheme="majorBidi"/>
          <w:i/>
          <w:iCs/>
        </w:rPr>
        <w:t xml:space="preserve">the </w:t>
      </w:r>
      <w:r>
        <w:rPr>
          <w:rFonts w:asciiTheme="majorBidi" w:hAnsiTheme="majorBidi" w:cstheme="majorBidi"/>
          <w:i/>
          <w:iCs/>
        </w:rPr>
        <w:t>Services; and</w:t>
      </w:r>
      <w:r w:rsidRPr="00C660C3">
        <w:rPr>
          <w:rFonts w:asciiTheme="majorBidi" w:hAnsiTheme="majorBidi" w:cstheme="majorBidi"/>
          <w:i/>
          <w:iCs/>
        </w:rPr>
        <w:t xml:space="preserve">  </w:t>
      </w:r>
    </w:p>
    <w:p w14:paraId="531694E9" w14:textId="7A76C647" w:rsidR="00E8310B" w:rsidRPr="007A737C" w:rsidRDefault="00E8310B" w:rsidP="00E8310B">
      <w:pPr>
        <w:pStyle w:val="SingleTxt"/>
        <w:tabs>
          <w:tab w:val="clear" w:pos="1267"/>
          <w:tab w:val="clear" w:pos="1742"/>
          <w:tab w:val="clear" w:pos="2218"/>
        </w:tabs>
        <w:ind w:left="2381"/>
        <w:rPr>
          <w:rFonts w:asciiTheme="majorBidi" w:hAnsiTheme="majorBidi" w:cstheme="majorBidi"/>
          <w:i/>
          <w:iCs/>
        </w:rPr>
      </w:pPr>
      <w:r>
        <w:rPr>
          <w:rFonts w:asciiTheme="majorBidi" w:hAnsiTheme="majorBidi" w:cstheme="majorBidi"/>
          <w:i/>
          <w:iCs/>
        </w:rPr>
        <w:t xml:space="preserve">(ii) </w:t>
      </w:r>
      <w:r w:rsidRPr="009552F8">
        <w:rPr>
          <w:rFonts w:asciiTheme="majorBidi" w:hAnsiTheme="majorBidi" w:cstheme="majorBidi"/>
          <w:i/>
          <w:iCs/>
        </w:rPr>
        <w:t xml:space="preserve">A Forum, for </w:t>
      </w:r>
      <w:r>
        <w:rPr>
          <w:i/>
          <w:iCs/>
        </w:rPr>
        <w:t>Beneficiaries</w:t>
      </w:r>
      <w:r w:rsidRPr="009552F8">
        <w:rPr>
          <w:i/>
          <w:iCs/>
        </w:rPr>
        <w:t xml:space="preserve"> to discuss, share information, engage in training, and potentially develop guidelines or best-practice documents</w:t>
      </w:r>
      <w:r w:rsidR="009B7F95">
        <w:rPr>
          <w:i/>
          <w:iCs/>
        </w:rPr>
        <w:t xml:space="preserve"> in relation to any of the areas covered by the Services, </w:t>
      </w:r>
      <w:r w:rsidR="009B7F95">
        <w:rPr>
          <w:rFonts w:asciiTheme="majorBidi" w:hAnsiTheme="majorBidi" w:cstheme="majorBidi"/>
          <w:i/>
          <w:iCs/>
        </w:rPr>
        <w:t>building upon available resources</w:t>
      </w:r>
      <w:r w:rsidRPr="009552F8">
        <w:rPr>
          <w:i/>
          <w:iCs/>
        </w:rPr>
        <w:t>.</w:t>
      </w:r>
    </w:p>
    <w:p w14:paraId="23E35F06" w14:textId="77777777" w:rsidR="00372DA9" w:rsidRPr="00372DA9" w:rsidRDefault="00372DA9" w:rsidP="00372DA9">
      <w:pPr>
        <w:pStyle w:val="SingleTxt"/>
        <w:tabs>
          <w:tab w:val="clear" w:pos="1742"/>
          <w:tab w:val="clear" w:pos="2218"/>
          <w:tab w:val="left" w:pos="1701"/>
          <w:tab w:val="num" w:pos="3126"/>
        </w:tabs>
        <w:ind w:left="1276"/>
        <w:rPr>
          <w:rFonts w:asciiTheme="majorBidi" w:hAnsiTheme="majorBidi" w:cstheme="majorBidi"/>
          <w:b/>
          <w:bCs/>
          <w:i/>
          <w:iCs/>
        </w:rPr>
      </w:pPr>
      <w:r w:rsidRPr="00372DA9">
        <w:rPr>
          <w:rFonts w:asciiTheme="majorBidi" w:hAnsiTheme="majorBidi" w:cstheme="majorBidi"/>
          <w:b/>
          <w:bCs/>
          <w:i/>
          <w:iCs/>
        </w:rPr>
        <w:t>Comments</w:t>
      </w:r>
    </w:p>
    <w:p w14:paraId="25FCB167" w14:textId="180AB0F6" w:rsidR="00F22E4C" w:rsidRDefault="00F22E4C" w:rsidP="00372DA9">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Draft provision 1(a)</w:t>
      </w:r>
      <w:r w:rsidRPr="00372DA9">
        <w:rPr>
          <w:rFonts w:asciiTheme="majorBidi" w:hAnsiTheme="majorBidi" w:cstheme="majorBidi"/>
        </w:rPr>
        <w:t xml:space="preserve"> serve</w:t>
      </w:r>
      <w:r>
        <w:rPr>
          <w:rFonts w:asciiTheme="majorBidi" w:hAnsiTheme="majorBidi" w:cstheme="majorBidi"/>
        </w:rPr>
        <w:t>s</w:t>
      </w:r>
      <w:r w:rsidRPr="00372DA9">
        <w:rPr>
          <w:rFonts w:asciiTheme="majorBidi" w:hAnsiTheme="majorBidi" w:cstheme="majorBidi"/>
        </w:rPr>
        <w:t xml:space="preserve"> to define in a generic manner the services as well as the beneficiaries of the Centre, indicating that the focus of its activities relate to international investment law and ISDS</w:t>
      </w:r>
      <w:r>
        <w:rPr>
          <w:rFonts w:asciiTheme="majorBidi" w:hAnsiTheme="majorBidi" w:cstheme="majorBidi"/>
        </w:rPr>
        <w:t>. Draft provision 1(b)</w:t>
      </w:r>
      <w:r w:rsidRPr="00372DA9">
        <w:rPr>
          <w:rFonts w:asciiTheme="majorBidi" w:hAnsiTheme="majorBidi" w:cstheme="majorBidi"/>
        </w:rPr>
        <w:t xml:space="preserve"> serve</w:t>
      </w:r>
      <w:r>
        <w:rPr>
          <w:rFonts w:asciiTheme="majorBidi" w:hAnsiTheme="majorBidi" w:cstheme="majorBidi"/>
        </w:rPr>
        <w:t>s</w:t>
      </w:r>
      <w:r w:rsidRPr="00372DA9">
        <w:rPr>
          <w:rFonts w:asciiTheme="majorBidi" w:hAnsiTheme="majorBidi" w:cstheme="majorBidi"/>
        </w:rPr>
        <w:t xml:space="preserve"> to define overarching principles as identified by the Working Group that the advisory centre should remain independent, impartial, non-political (A/CN.9/1004, para. 48), as well as reliable and sustainable (A/CN.9/1004, para. 47).</w:t>
      </w:r>
      <w:r w:rsidR="001019DF">
        <w:rPr>
          <w:rFonts w:asciiTheme="majorBidi" w:hAnsiTheme="majorBidi" w:cstheme="majorBidi"/>
        </w:rPr>
        <w:t xml:space="preserve"> </w:t>
      </w:r>
      <w:r w:rsidR="00D15567">
        <w:rPr>
          <w:rFonts w:asciiTheme="majorBidi" w:hAnsiTheme="majorBidi" w:cstheme="majorBidi"/>
        </w:rPr>
        <w:t>Draft provision 1(c) suggests a possible internal structure with two pillars underlying that services would be rendered through an assistance mechanism, and that the centre would also serve as a forum, which activities could be further delineated.</w:t>
      </w:r>
    </w:p>
    <w:p w14:paraId="72D68597" w14:textId="161707D3" w:rsidR="00372DA9" w:rsidRDefault="00372DA9" w:rsidP="00372DA9">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It may be noted that</w:t>
      </w:r>
      <w:r w:rsidRPr="008C3C79">
        <w:rPr>
          <w:rFonts w:asciiTheme="majorBidi" w:hAnsiTheme="majorBidi" w:cstheme="majorBidi"/>
        </w:rPr>
        <w:t xml:space="preserve"> </w:t>
      </w:r>
      <w:r>
        <w:rPr>
          <w:rFonts w:asciiTheme="majorBidi" w:hAnsiTheme="majorBidi" w:cstheme="majorBidi"/>
        </w:rPr>
        <w:t>a number of</w:t>
      </w:r>
      <w:r w:rsidRPr="008C3C79">
        <w:rPr>
          <w:rFonts w:asciiTheme="majorBidi" w:hAnsiTheme="majorBidi" w:cstheme="majorBidi"/>
        </w:rPr>
        <w:t xml:space="preserve"> </w:t>
      </w:r>
      <w:r>
        <w:rPr>
          <w:rFonts w:asciiTheme="majorBidi" w:hAnsiTheme="majorBidi" w:cstheme="majorBidi"/>
        </w:rPr>
        <w:t xml:space="preserve">interconnected </w:t>
      </w:r>
      <w:r w:rsidRPr="008C3C79">
        <w:rPr>
          <w:rFonts w:asciiTheme="majorBidi" w:hAnsiTheme="majorBidi" w:cstheme="majorBidi"/>
        </w:rPr>
        <w:t xml:space="preserve">issues </w:t>
      </w:r>
      <w:r>
        <w:rPr>
          <w:rFonts w:asciiTheme="majorBidi" w:hAnsiTheme="majorBidi" w:cstheme="majorBidi"/>
        </w:rPr>
        <w:t xml:space="preserve">follow from </w:t>
      </w:r>
      <w:r w:rsidR="00F22E4C">
        <w:rPr>
          <w:rFonts w:asciiTheme="majorBidi" w:hAnsiTheme="majorBidi" w:cstheme="majorBidi"/>
        </w:rPr>
        <w:t>the</w:t>
      </w:r>
      <w:r>
        <w:rPr>
          <w:rFonts w:asciiTheme="majorBidi" w:hAnsiTheme="majorBidi" w:cstheme="majorBidi"/>
        </w:rPr>
        <w:t xml:space="preserve"> principles</w:t>
      </w:r>
      <w:r w:rsidR="00D15567">
        <w:rPr>
          <w:rFonts w:asciiTheme="majorBidi" w:hAnsiTheme="majorBidi" w:cstheme="majorBidi"/>
        </w:rPr>
        <w:t xml:space="preserve"> identified in draft provision 1(b)</w:t>
      </w:r>
      <w:r w:rsidRPr="008C3C79">
        <w:rPr>
          <w:rFonts w:asciiTheme="majorBidi" w:hAnsiTheme="majorBidi" w:cstheme="majorBidi"/>
        </w:rPr>
        <w:t xml:space="preserve">, such as (i) the nature and breadth of services offered, </w:t>
      </w:r>
      <w:r>
        <w:rPr>
          <w:rFonts w:asciiTheme="majorBidi" w:hAnsiTheme="majorBidi" w:cstheme="majorBidi"/>
        </w:rPr>
        <w:t xml:space="preserve">including </w:t>
      </w:r>
      <w:r w:rsidRPr="008C3C79">
        <w:rPr>
          <w:rFonts w:asciiTheme="majorBidi" w:hAnsiTheme="majorBidi" w:cstheme="majorBidi"/>
        </w:rPr>
        <w:t xml:space="preserve">the determination of beneficiaries to whom those services might be offered, all matters closely linked to the concerns that an advisory centre would address, and its objectives; </w:t>
      </w:r>
      <w:r>
        <w:rPr>
          <w:rFonts w:asciiTheme="majorBidi" w:hAnsiTheme="majorBidi" w:cstheme="majorBidi"/>
        </w:rPr>
        <w:t>(ii) the sustainability and funding of the services; (iii) the governance and institutional scheme of the centre; and</w:t>
      </w:r>
      <w:r w:rsidRPr="008C3C79">
        <w:rPr>
          <w:rFonts w:asciiTheme="majorBidi" w:hAnsiTheme="majorBidi" w:cstheme="majorBidi"/>
        </w:rPr>
        <w:t xml:space="preserve"> (i</w:t>
      </w:r>
      <w:r>
        <w:rPr>
          <w:rFonts w:asciiTheme="majorBidi" w:hAnsiTheme="majorBidi" w:cstheme="majorBidi"/>
        </w:rPr>
        <w:t>v</w:t>
      </w:r>
      <w:r w:rsidRPr="008C3C79">
        <w:rPr>
          <w:rFonts w:asciiTheme="majorBidi" w:hAnsiTheme="majorBidi" w:cstheme="majorBidi"/>
        </w:rPr>
        <w:t xml:space="preserve">) the location, or locations, </w:t>
      </w:r>
      <w:r w:rsidRPr="008C3C79">
        <w:rPr>
          <w:rFonts w:asciiTheme="majorBidi" w:hAnsiTheme="majorBidi" w:cstheme="majorBidi"/>
        </w:rPr>
        <w:lastRenderedPageBreak/>
        <w:t xml:space="preserve">of an advisory centre, which would depend on a range of factors, including the form that such mechanism </w:t>
      </w:r>
      <w:r>
        <w:rPr>
          <w:rFonts w:asciiTheme="majorBidi" w:hAnsiTheme="majorBidi" w:cstheme="majorBidi"/>
        </w:rPr>
        <w:t xml:space="preserve">would </w:t>
      </w:r>
      <w:r w:rsidRPr="008C3C79">
        <w:rPr>
          <w:rFonts w:asciiTheme="majorBidi" w:hAnsiTheme="majorBidi" w:cstheme="majorBidi"/>
        </w:rPr>
        <w:t>take and the level of institutionalization, its mandate and roles, the identity and preferences of its beneficiaries and</w:t>
      </w:r>
      <w:r>
        <w:rPr>
          <w:rFonts w:asciiTheme="majorBidi" w:hAnsiTheme="majorBidi" w:cstheme="majorBidi"/>
        </w:rPr>
        <w:t xml:space="preserve"> donors</w:t>
      </w:r>
      <w:r w:rsidRPr="008C3C79">
        <w:rPr>
          <w:rFonts w:asciiTheme="majorBidi" w:hAnsiTheme="majorBidi" w:cstheme="majorBidi"/>
        </w:rPr>
        <w:t>, its legal needs, and its budget.</w:t>
      </w:r>
      <w:r w:rsidRPr="008C3C79">
        <w:rPr>
          <w:rStyle w:val="FootnoteReference"/>
          <w:rFonts w:asciiTheme="majorBidi" w:hAnsiTheme="majorBidi" w:cstheme="majorBidi"/>
        </w:rPr>
        <w:footnoteReference w:id="5"/>
      </w:r>
      <w:r w:rsidRPr="008C3C79">
        <w:rPr>
          <w:rFonts w:asciiTheme="majorBidi" w:hAnsiTheme="majorBidi" w:cstheme="majorBidi"/>
        </w:rPr>
        <w:t xml:space="preserve"> Furthermore, a key question concerns the means to establish independent governance mechanisms in light of the </w:t>
      </w:r>
      <w:r>
        <w:rPr>
          <w:rFonts w:asciiTheme="majorBidi" w:hAnsiTheme="majorBidi" w:cstheme="majorBidi"/>
        </w:rPr>
        <w:t xml:space="preserve">perceived or </w:t>
      </w:r>
      <w:r w:rsidRPr="008C3C79">
        <w:rPr>
          <w:rFonts w:asciiTheme="majorBidi" w:hAnsiTheme="majorBidi" w:cstheme="majorBidi"/>
        </w:rPr>
        <w:t xml:space="preserve">actual conflicts of interests that can arise in the relationships among </w:t>
      </w:r>
      <w:r>
        <w:rPr>
          <w:rFonts w:asciiTheme="majorBidi" w:hAnsiTheme="majorBidi" w:cstheme="majorBidi"/>
        </w:rPr>
        <w:t xml:space="preserve">beneficiaries, </w:t>
      </w:r>
      <w:r w:rsidRPr="008C3C79">
        <w:rPr>
          <w:rFonts w:asciiTheme="majorBidi" w:hAnsiTheme="majorBidi" w:cstheme="majorBidi"/>
        </w:rPr>
        <w:t>donors, support providers, governments, private- and government-owned investors and investments, and other stakeholders.</w:t>
      </w:r>
      <w:r>
        <w:rPr>
          <w:rFonts w:asciiTheme="majorBidi" w:hAnsiTheme="majorBidi" w:cstheme="majorBidi"/>
        </w:rPr>
        <w:t xml:space="preserve"> </w:t>
      </w:r>
    </w:p>
    <w:p w14:paraId="48ACA4F3" w14:textId="32FC04EB" w:rsidR="00280223" w:rsidRPr="00001006" w:rsidRDefault="00290C7A" w:rsidP="00AE0F71">
      <w:pPr>
        <w:pStyle w:val="SingleTxt"/>
        <w:tabs>
          <w:tab w:val="clear" w:pos="1742"/>
          <w:tab w:val="clear" w:pos="2218"/>
        </w:tabs>
        <w:ind w:left="1276"/>
        <w:outlineLvl w:val="1"/>
        <w:rPr>
          <w:rFonts w:asciiTheme="majorBidi" w:hAnsiTheme="majorBidi" w:cstheme="majorBidi"/>
          <w:b/>
          <w:bCs/>
          <w:sz w:val="24"/>
          <w:szCs w:val="24"/>
        </w:rPr>
      </w:pPr>
      <w:bookmarkStart w:id="4" w:name="_Toc63421431"/>
      <w:bookmarkStart w:id="5" w:name="_Hlk46134408"/>
      <w:r>
        <w:rPr>
          <w:rFonts w:asciiTheme="majorBidi" w:hAnsiTheme="majorBidi" w:cstheme="majorBidi"/>
          <w:b/>
          <w:bCs/>
          <w:sz w:val="24"/>
          <w:szCs w:val="24"/>
        </w:rPr>
        <w:t>C</w:t>
      </w:r>
      <w:r w:rsidR="00280223" w:rsidRPr="00001006">
        <w:rPr>
          <w:rFonts w:asciiTheme="majorBidi" w:hAnsiTheme="majorBidi" w:cstheme="majorBidi"/>
          <w:b/>
          <w:bCs/>
          <w:sz w:val="24"/>
          <w:szCs w:val="24"/>
        </w:rPr>
        <w:t>. Services</w:t>
      </w:r>
      <w:bookmarkEnd w:id="4"/>
    </w:p>
    <w:p w14:paraId="2F9370BA" w14:textId="20F974EC" w:rsidR="00C9004D" w:rsidRPr="008C3C79" w:rsidRDefault="00895E0B" w:rsidP="00001006">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C9004D">
        <w:rPr>
          <w:rFonts w:asciiTheme="majorBidi" w:hAnsiTheme="majorBidi" w:cstheme="majorBidi"/>
        </w:rPr>
        <w:t xml:space="preserve"> The Working Group may wish to </w:t>
      </w:r>
      <w:r w:rsidR="001B0821">
        <w:rPr>
          <w:rFonts w:asciiTheme="majorBidi" w:hAnsiTheme="majorBidi" w:cstheme="majorBidi"/>
        </w:rPr>
        <w:t>note that t</w:t>
      </w:r>
      <w:r w:rsidR="00280223" w:rsidRPr="00C9004D">
        <w:rPr>
          <w:rFonts w:asciiTheme="majorBidi" w:hAnsiTheme="majorBidi" w:cstheme="majorBidi"/>
        </w:rPr>
        <w:t>he list of possible services</w:t>
      </w:r>
      <w:r w:rsidR="001B0821">
        <w:rPr>
          <w:rFonts w:asciiTheme="majorBidi" w:hAnsiTheme="majorBidi" w:cstheme="majorBidi"/>
        </w:rPr>
        <w:t xml:space="preserve"> that an advisory centre could render</w:t>
      </w:r>
      <w:r w:rsidR="00280223" w:rsidRPr="00C9004D">
        <w:rPr>
          <w:rFonts w:asciiTheme="majorBidi" w:hAnsiTheme="majorBidi" w:cstheme="majorBidi"/>
        </w:rPr>
        <w:t xml:space="preserve"> includes</w:t>
      </w:r>
      <w:r w:rsidR="00307605">
        <w:rPr>
          <w:rFonts w:asciiTheme="majorBidi" w:hAnsiTheme="majorBidi" w:cstheme="majorBidi"/>
        </w:rPr>
        <w:t>:</w:t>
      </w:r>
      <w:r w:rsidR="00280223" w:rsidRPr="00C9004D">
        <w:rPr>
          <w:rFonts w:asciiTheme="majorBidi" w:hAnsiTheme="majorBidi" w:cstheme="majorBidi"/>
        </w:rPr>
        <w:t xml:space="preserve"> (i) pre-dispute and dispute avoidance services; (ii)</w:t>
      </w:r>
      <w:r w:rsidR="00280223" w:rsidRPr="00C9004D">
        <w:rPr>
          <w:rFonts w:asciiTheme="majorBidi" w:hAnsiTheme="majorBidi" w:cstheme="majorBidi"/>
          <w:b/>
          <w:bCs/>
          <w:i/>
          <w:iCs/>
        </w:rPr>
        <w:t xml:space="preserve"> </w:t>
      </w:r>
      <w:r w:rsidR="00280223" w:rsidRPr="00C9004D">
        <w:rPr>
          <w:rFonts w:asciiTheme="majorBidi" w:hAnsiTheme="majorBidi" w:cstheme="majorBidi"/>
        </w:rPr>
        <w:t>mediation and other alternative dispute resolution (ADR) services</w:t>
      </w:r>
      <w:r w:rsidR="00307605">
        <w:rPr>
          <w:rFonts w:asciiTheme="majorBidi" w:hAnsiTheme="majorBidi" w:cstheme="majorBidi"/>
        </w:rPr>
        <w:t>;</w:t>
      </w:r>
      <w:r w:rsidR="00280223" w:rsidRPr="00C9004D">
        <w:rPr>
          <w:rFonts w:asciiTheme="majorBidi" w:hAnsiTheme="majorBidi" w:cstheme="majorBidi"/>
          <w:b/>
          <w:bCs/>
          <w:i/>
          <w:iCs/>
        </w:rPr>
        <w:t xml:space="preserve"> </w:t>
      </w:r>
      <w:r w:rsidR="00280223" w:rsidRPr="00C9004D">
        <w:rPr>
          <w:rFonts w:asciiTheme="majorBidi" w:hAnsiTheme="majorBidi" w:cstheme="majorBidi"/>
        </w:rPr>
        <w:t xml:space="preserve">(iii) assistance in organizing the defence and support during dispute settlement proceedings; (iv) legal and policy advisory services; and (v) capacity-building and a platform for sharing of best practices.  </w:t>
      </w:r>
      <w:r w:rsidR="00C9004D" w:rsidRPr="008C3C79">
        <w:rPr>
          <w:rFonts w:asciiTheme="majorBidi" w:hAnsiTheme="majorBidi" w:cstheme="majorBidi"/>
        </w:rPr>
        <w:t xml:space="preserve">The scope of </w:t>
      </w:r>
      <w:r w:rsidR="00307605">
        <w:rPr>
          <w:rFonts w:asciiTheme="majorBidi" w:hAnsiTheme="majorBidi" w:cstheme="majorBidi"/>
        </w:rPr>
        <w:t xml:space="preserve">the </w:t>
      </w:r>
      <w:r w:rsidR="00C9004D" w:rsidRPr="008C3C79">
        <w:rPr>
          <w:rFonts w:asciiTheme="majorBidi" w:hAnsiTheme="majorBidi" w:cstheme="majorBidi"/>
        </w:rPr>
        <w:t>services of an advisory centre will be dependent on, and interrelated with, available funding – the more money is available on a sustainable basis, the more services can be provided.</w:t>
      </w:r>
    </w:p>
    <w:p w14:paraId="46FB927E" w14:textId="5FFB0AA0" w:rsidR="00EA19BC" w:rsidRPr="00280223" w:rsidRDefault="00280223" w:rsidP="00D56BCD">
      <w:pPr>
        <w:pStyle w:val="SingleTxt"/>
        <w:tabs>
          <w:tab w:val="clear" w:pos="1742"/>
          <w:tab w:val="left" w:pos="709"/>
          <w:tab w:val="left" w:pos="2127"/>
        </w:tabs>
        <w:ind w:left="1642" w:firstLine="154"/>
        <w:rPr>
          <w:rFonts w:asciiTheme="majorBidi" w:hAnsiTheme="majorBidi" w:cstheme="majorBidi"/>
          <w:b/>
          <w:bCs/>
        </w:rPr>
      </w:pPr>
      <w:r w:rsidRPr="00001006">
        <w:rPr>
          <w:rFonts w:asciiTheme="majorBidi" w:hAnsiTheme="majorBidi" w:cstheme="majorBidi"/>
          <w:b/>
          <w:bCs/>
        </w:rPr>
        <w:t>1</w:t>
      </w:r>
      <w:r w:rsidR="00A72D48" w:rsidRPr="00001006">
        <w:rPr>
          <w:rFonts w:asciiTheme="majorBidi" w:hAnsiTheme="majorBidi" w:cstheme="majorBidi"/>
          <w:b/>
          <w:bCs/>
        </w:rPr>
        <w:t xml:space="preserve">. </w:t>
      </w:r>
      <w:r w:rsidR="00302A12" w:rsidRPr="00001006">
        <w:rPr>
          <w:rFonts w:asciiTheme="majorBidi" w:hAnsiTheme="majorBidi" w:cstheme="majorBidi"/>
          <w:b/>
          <w:bCs/>
        </w:rPr>
        <w:t>Pre-dispute and dispute avoidance services</w:t>
      </w:r>
    </w:p>
    <w:p w14:paraId="733A55C5" w14:textId="1FF961FA" w:rsidR="00F22E4C" w:rsidRDefault="00457147" w:rsidP="00457147">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0F7DB6">
        <w:rPr>
          <w:rFonts w:asciiTheme="majorBidi" w:hAnsiTheme="majorBidi" w:cstheme="majorBidi"/>
        </w:rPr>
        <w:t xml:space="preserve">The Working Group may wish to consider </w:t>
      </w:r>
      <w:r w:rsidR="00F22E4C">
        <w:rPr>
          <w:rFonts w:asciiTheme="majorBidi" w:hAnsiTheme="majorBidi" w:cstheme="majorBidi"/>
        </w:rPr>
        <w:t>draft provision 2(a) regarding</w:t>
      </w:r>
      <w:r w:rsidRPr="008278A4">
        <w:rPr>
          <w:rFonts w:asciiTheme="majorBidi" w:hAnsiTheme="majorBidi" w:cstheme="majorBidi"/>
        </w:rPr>
        <w:t xml:space="preserve"> pre-dispute and dispute avoidance services.</w:t>
      </w:r>
    </w:p>
    <w:p w14:paraId="3D306D97" w14:textId="6CF00314" w:rsidR="00F22E4C" w:rsidRPr="00F22E4C" w:rsidRDefault="00F22E4C" w:rsidP="00F22E4C">
      <w:pPr>
        <w:pStyle w:val="SingleTxt"/>
        <w:tabs>
          <w:tab w:val="clear" w:pos="1742"/>
          <w:tab w:val="clear" w:pos="2218"/>
          <w:tab w:val="left" w:pos="1701"/>
          <w:tab w:val="num" w:pos="3126"/>
        </w:tabs>
        <w:ind w:left="1276"/>
        <w:rPr>
          <w:rFonts w:asciiTheme="majorBidi" w:hAnsiTheme="majorBidi" w:cstheme="majorBidi"/>
          <w:b/>
          <w:bCs/>
          <w:i/>
          <w:iCs/>
        </w:rPr>
      </w:pPr>
      <w:r w:rsidRPr="00F22E4C">
        <w:rPr>
          <w:rFonts w:asciiTheme="majorBidi" w:hAnsiTheme="majorBidi" w:cstheme="majorBidi"/>
          <w:b/>
          <w:bCs/>
          <w:i/>
          <w:iCs/>
        </w:rPr>
        <w:t>Draft provision 2(a)</w:t>
      </w:r>
    </w:p>
    <w:p w14:paraId="24DAC59F" w14:textId="1D074F70" w:rsidR="00134048" w:rsidRPr="008C3C79" w:rsidRDefault="00134048" w:rsidP="00134048">
      <w:pPr>
        <w:pStyle w:val="SingleTxt"/>
        <w:tabs>
          <w:tab w:val="clear" w:pos="1267"/>
          <w:tab w:val="left" w:pos="709"/>
          <w:tab w:val="left" w:pos="1701"/>
          <w:tab w:val="left" w:pos="2127"/>
        </w:tabs>
        <w:ind w:left="1644"/>
        <w:rPr>
          <w:rFonts w:asciiTheme="majorBidi" w:hAnsiTheme="majorBidi" w:cstheme="majorBidi"/>
          <w:i/>
          <w:iCs/>
        </w:rPr>
      </w:pPr>
      <w:r>
        <w:rPr>
          <w:rFonts w:asciiTheme="majorBidi" w:hAnsiTheme="majorBidi" w:cstheme="majorBidi"/>
          <w:i/>
          <w:iCs/>
        </w:rPr>
        <w:t>2. T</w:t>
      </w:r>
      <w:r w:rsidRPr="008C3C79">
        <w:rPr>
          <w:rFonts w:asciiTheme="majorBidi" w:hAnsiTheme="majorBidi" w:cstheme="majorBidi"/>
          <w:i/>
          <w:iCs/>
        </w:rPr>
        <w:t>he Centre shall</w:t>
      </w:r>
      <w:r>
        <w:rPr>
          <w:rFonts w:asciiTheme="majorBidi" w:hAnsiTheme="majorBidi" w:cstheme="majorBidi"/>
          <w:i/>
          <w:iCs/>
        </w:rPr>
        <w:t xml:space="preserve"> provide the following </w:t>
      </w:r>
      <w:r w:rsidR="00D15567">
        <w:rPr>
          <w:rFonts w:asciiTheme="majorBidi" w:hAnsiTheme="majorBidi" w:cstheme="majorBidi"/>
          <w:i/>
          <w:iCs/>
        </w:rPr>
        <w:t>S</w:t>
      </w:r>
      <w:r>
        <w:rPr>
          <w:rFonts w:asciiTheme="majorBidi" w:hAnsiTheme="majorBidi" w:cstheme="majorBidi"/>
          <w:i/>
          <w:iCs/>
        </w:rPr>
        <w:t>ervices</w:t>
      </w:r>
      <w:r w:rsidRPr="008C3C79">
        <w:rPr>
          <w:rFonts w:asciiTheme="majorBidi" w:hAnsiTheme="majorBidi" w:cstheme="majorBidi"/>
          <w:i/>
          <w:iCs/>
        </w:rPr>
        <w:t>:</w:t>
      </w:r>
    </w:p>
    <w:p w14:paraId="77DC2559" w14:textId="5D03EBA5" w:rsidR="00134048" w:rsidRPr="009B7F95" w:rsidRDefault="00134048" w:rsidP="00461DDD">
      <w:pPr>
        <w:pStyle w:val="SingleTxt"/>
        <w:numPr>
          <w:ilvl w:val="0"/>
          <w:numId w:val="27"/>
        </w:numPr>
        <w:tabs>
          <w:tab w:val="left" w:pos="709"/>
          <w:tab w:val="left" w:pos="1701"/>
          <w:tab w:val="left" w:pos="2127"/>
        </w:tabs>
        <w:rPr>
          <w:rFonts w:asciiTheme="majorBidi" w:hAnsiTheme="majorBidi" w:cstheme="majorBidi"/>
          <w:i/>
          <w:iCs/>
        </w:rPr>
      </w:pPr>
      <w:r w:rsidRPr="009B7F95">
        <w:rPr>
          <w:i/>
          <w:iCs/>
        </w:rPr>
        <w:t xml:space="preserve"> Pre-dispute and dispute avoidance </w:t>
      </w:r>
      <w:r w:rsidR="00D15567" w:rsidRPr="009B7F95">
        <w:rPr>
          <w:i/>
          <w:iCs/>
        </w:rPr>
        <w:t>S</w:t>
      </w:r>
      <w:r w:rsidRPr="009B7F95">
        <w:rPr>
          <w:i/>
          <w:iCs/>
        </w:rPr>
        <w:t>ervices, which include</w:t>
      </w:r>
      <w:r w:rsidR="009B7F95" w:rsidRPr="009B7F95">
        <w:rPr>
          <w:i/>
          <w:iCs/>
        </w:rPr>
        <w:t xml:space="preserve"> </w:t>
      </w:r>
      <w:r w:rsidRPr="009B7F95">
        <w:rPr>
          <w:i/>
          <w:iCs/>
        </w:rPr>
        <w:t xml:space="preserve"> </w:t>
      </w:r>
      <w:r w:rsidR="009B7F95">
        <w:rPr>
          <w:i/>
          <w:iCs/>
        </w:rPr>
        <w:t>a</w:t>
      </w:r>
      <w:r w:rsidRPr="009B7F95">
        <w:rPr>
          <w:i/>
          <w:iCs/>
        </w:rPr>
        <w:t>ssisting the State Beneficiaries to:</w:t>
      </w:r>
    </w:p>
    <w:p w14:paraId="5391B733" w14:textId="0D289D43" w:rsidR="00134048" w:rsidRDefault="009B7F95" w:rsidP="009B7F95">
      <w:pPr>
        <w:pStyle w:val="SingleTxt"/>
        <w:tabs>
          <w:tab w:val="left" w:pos="709"/>
          <w:tab w:val="left" w:pos="1701"/>
          <w:tab w:val="left" w:pos="2127"/>
        </w:tabs>
        <w:ind w:left="3421"/>
        <w:rPr>
          <w:i/>
          <w:iCs/>
        </w:rPr>
      </w:pPr>
      <w:r>
        <w:rPr>
          <w:i/>
          <w:iCs/>
        </w:rPr>
        <w:t xml:space="preserve">(i) </w:t>
      </w:r>
      <w:r w:rsidR="00134048">
        <w:rPr>
          <w:i/>
          <w:iCs/>
        </w:rPr>
        <w:t xml:space="preserve">Set up conflict management systems, </w:t>
      </w:r>
      <w:r w:rsidR="00134048" w:rsidRPr="00134048">
        <w:rPr>
          <w:rFonts w:asciiTheme="majorBidi" w:hAnsiTheme="majorBidi" w:cstheme="majorBidi"/>
          <w:i/>
          <w:iCs/>
        </w:rPr>
        <w:t>including early dispute prevention policies and alert procedures</w:t>
      </w:r>
      <w:r w:rsidR="00134048" w:rsidRPr="00134048">
        <w:rPr>
          <w:i/>
          <w:iCs/>
        </w:rPr>
        <w:t>;</w:t>
      </w:r>
    </w:p>
    <w:p w14:paraId="380C86E9" w14:textId="4C4FD731" w:rsidR="00134048" w:rsidRDefault="009B7F95" w:rsidP="009B7F95">
      <w:pPr>
        <w:pStyle w:val="SingleTxt"/>
        <w:tabs>
          <w:tab w:val="left" w:pos="709"/>
          <w:tab w:val="left" w:pos="1701"/>
          <w:tab w:val="left" w:pos="2127"/>
        </w:tabs>
        <w:ind w:left="3421"/>
        <w:rPr>
          <w:i/>
          <w:iCs/>
        </w:rPr>
      </w:pPr>
      <w:r>
        <w:rPr>
          <w:i/>
          <w:iCs/>
        </w:rPr>
        <w:t xml:space="preserve">(ii) </w:t>
      </w:r>
      <w:r w:rsidR="00134048">
        <w:rPr>
          <w:i/>
          <w:iCs/>
        </w:rPr>
        <w:t>Establish a</w:t>
      </w:r>
      <w:r w:rsidR="00134048" w:rsidRPr="008716A0">
        <w:rPr>
          <w:i/>
          <w:iCs/>
        </w:rPr>
        <w:t xml:space="preserve"> lead agency responsible for centralizing ISDS matters and </w:t>
      </w:r>
      <w:r w:rsidR="00134048">
        <w:rPr>
          <w:i/>
          <w:iCs/>
        </w:rPr>
        <w:t xml:space="preserve">protecting </w:t>
      </w:r>
      <w:r w:rsidR="00134048" w:rsidRPr="008716A0">
        <w:rPr>
          <w:i/>
          <w:iCs/>
        </w:rPr>
        <w:t xml:space="preserve">the interests of the </w:t>
      </w:r>
      <w:r w:rsidR="00134048">
        <w:rPr>
          <w:i/>
          <w:iCs/>
        </w:rPr>
        <w:t xml:space="preserve">State </w:t>
      </w:r>
      <w:r w:rsidR="00134048" w:rsidRPr="008716A0">
        <w:rPr>
          <w:i/>
          <w:iCs/>
        </w:rPr>
        <w:t>Beneficiar</w:t>
      </w:r>
      <w:r w:rsidR="00134048">
        <w:rPr>
          <w:i/>
          <w:iCs/>
        </w:rPr>
        <w:t>ies; and</w:t>
      </w:r>
    </w:p>
    <w:p w14:paraId="7485DF74" w14:textId="22CD360A" w:rsidR="00134048" w:rsidRDefault="009B7F95" w:rsidP="009B7F95">
      <w:pPr>
        <w:pStyle w:val="SingleTxt"/>
        <w:tabs>
          <w:tab w:val="left" w:pos="709"/>
          <w:tab w:val="left" w:pos="1701"/>
          <w:tab w:val="left" w:pos="2127"/>
        </w:tabs>
        <w:ind w:left="3421"/>
        <w:rPr>
          <w:rFonts w:asciiTheme="majorBidi" w:hAnsiTheme="majorBidi" w:cstheme="majorBidi"/>
          <w:i/>
          <w:iCs/>
        </w:rPr>
      </w:pPr>
      <w:r>
        <w:rPr>
          <w:i/>
          <w:iCs/>
        </w:rPr>
        <w:t xml:space="preserve">(iii) </w:t>
      </w:r>
      <w:r w:rsidR="00134048">
        <w:rPr>
          <w:i/>
          <w:iCs/>
        </w:rPr>
        <w:t xml:space="preserve">Address specific questions </w:t>
      </w:r>
      <w:r w:rsidR="00134048" w:rsidRPr="00134048">
        <w:rPr>
          <w:rFonts w:asciiTheme="majorBidi" w:hAnsiTheme="majorBidi" w:cstheme="majorBidi"/>
          <w:i/>
          <w:iCs/>
        </w:rPr>
        <w:t xml:space="preserve">in the management of </w:t>
      </w:r>
      <w:r w:rsidR="00D15567">
        <w:rPr>
          <w:rFonts w:asciiTheme="majorBidi" w:hAnsiTheme="majorBidi" w:cstheme="majorBidi"/>
          <w:i/>
          <w:iCs/>
        </w:rPr>
        <w:t>disputes</w:t>
      </w:r>
      <w:r w:rsidR="00D15567" w:rsidRPr="00134048">
        <w:rPr>
          <w:rFonts w:asciiTheme="majorBidi" w:hAnsiTheme="majorBidi" w:cstheme="majorBidi"/>
          <w:i/>
          <w:iCs/>
        </w:rPr>
        <w:t xml:space="preserve"> </w:t>
      </w:r>
      <w:r w:rsidR="00134048">
        <w:rPr>
          <w:rFonts w:asciiTheme="majorBidi" w:hAnsiTheme="majorBidi" w:cstheme="majorBidi"/>
          <w:i/>
          <w:iCs/>
        </w:rPr>
        <w:t>with</w:t>
      </w:r>
      <w:r w:rsidR="00134048" w:rsidRPr="00134048">
        <w:rPr>
          <w:rFonts w:asciiTheme="majorBidi" w:hAnsiTheme="majorBidi" w:cstheme="majorBidi"/>
          <w:i/>
          <w:iCs/>
        </w:rPr>
        <w:t xml:space="preserve"> foreign investors</w:t>
      </w:r>
      <w:r w:rsidR="00134048">
        <w:rPr>
          <w:rFonts w:asciiTheme="majorBidi" w:hAnsiTheme="majorBidi" w:cstheme="majorBidi"/>
          <w:i/>
          <w:iCs/>
        </w:rPr>
        <w:t>].</w:t>
      </w:r>
    </w:p>
    <w:p w14:paraId="0F2C0AB7" w14:textId="78EA46D6" w:rsidR="00F22E4C" w:rsidRPr="00F22E4C" w:rsidRDefault="00F22E4C" w:rsidP="00F22E4C">
      <w:pPr>
        <w:pStyle w:val="SingleTxt"/>
        <w:tabs>
          <w:tab w:val="clear" w:pos="1742"/>
          <w:tab w:val="clear" w:pos="2218"/>
          <w:tab w:val="left" w:pos="1701"/>
          <w:tab w:val="num" w:pos="3126"/>
        </w:tabs>
        <w:ind w:left="1276"/>
        <w:rPr>
          <w:rFonts w:asciiTheme="majorBidi" w:hAnsiTheme="majorBidi" w:cstheme="majorBidi"/>
          <w:b/>
          <w:bCs/>
          <w:i/>
          <w:iCs/>
        </w:rPr>
      </w:pPr>
      <w:r w:rsidRPr="00F22E4C">
        <w:rPr>
          <w:rFonts w:asciiTheme="majorBidi" w:hAnsiTheme="majorBidi" w:cstheme="majorBidi"/>
          <w:b/>
          <w:bCs/>
          <w:i/>
          <w:iCs/>
        </w:rPr>
        <w:t>Comments</w:t>
      </w:r>
    </w:p>
    <w:p w14:paraId="72D4ACC2" w14:textId="18964A4C" w:rsidR="00457147" w:rsidRPr="000F7DB6" w:rsidRDefault="00457147" w:rsidP="00457147">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278A4">
        <w:rPr>
          <w:rFonts w:asciiTheme="majorBidi" w:hAnsiTheme="majorBidi" w:cstheme="majorBidi"/>
        </w:rPr>
        <w:t xml:space="preserve"> At</w:t>
      </w:r>
      <w:r w:rsidRPr="000F7DB6">
        <w:rPr>
          <w:rFonts w:asciiTheme="majorBidi" w:hAnsiTheme="majorBidi" w:cstheme="majorBidi"/>
        </w:rPr>
        <w:t xml:space="preserve"> its thirty-ninth session, the Working Group </w:t>
      </w:r>
      <w:r w:rsidR="00134048">
        <w:rPr>
          <w:rFonts w:asciiTheme="majorBidi" w:hAnsiTheme="majorBidi" w:cstheme="majorBidi"/>
        </w:rPr>
        <w:t>indicated</w:t>
      </w:r>
      <w:r w:rsidRPr="000F7DB6">
        <w:rPr>
          <w:rFonts w:asciiTheme="majorBidi" w:hAnsiTheme="majorBidi" w:cstheme="majorBidi"/>
        </w:rPr>
        <w:t xml:space="preserve"> that</w:t>
      </w:r>
      <w:r>
        <w:rPr>
          <w:rFonts w:asciiTheme="majorBidi" w:hAnsiTheme="majorBidi" w:cstheme="majorBidi"/>
        </w:rPr>
        <w:t xml:space="preserve"> one </w:t>
      </w:r>
      <w:r w:rsidRPr="000F7DB6">
        <w:rPr>
          <w:rFonts w:asciiTheme="majorBidi" w:hAnsiTheme="majorBidi" w:cstheme="majorBidi"/>
        </w:rPr>
        <w:t xml:space="preserve">focus of reform would be on the pre-dispute phase, </w:t>
      </w:r>
      <w:r w:rsidR="00362C64">
        <w:rPr>
          <w:rFonts w:asciiTheme="majorBidi" w:hAnsiTheme="majorBidi" w:cstheme="majorBidi"/>
        </w:rPr>
        <w:t xml:space="preserve">so as to avoid that </w:t>
      </w:r>
      <w:r w:rsidR="00362C64" w:rsidRPr="008278A4">
        <w:rPr>
          <w:rFonts w:asciiTheme="majorBidi" w:hAnsiTheme="majorBidi" w:cstheme="majorBidi"/>
        </w:rPr>
        <w:t xml:space="preserve">a dispute escalates </w:t>
      </w:r>
      <w:r w:rsidR="00753A15" w:rsidRPr="008278A4">
        <w:rPr>
          <w:rFonts w:asciiTheme="majorBidi" w:hAnsiTheme="majorBidi" w:cstheme="majorBidi"/>
        </w:rPr>
        <w:t>into an adversarial proceeding.</w:t>
      </w:r>
      <w:r w:rsidRPr="000F7DB6">
        <w:rPr>
          <w:rFonts w:asciiTheme="majorBidi" w:hAnsiTheme="majorBidi" w:cstheme="majorBidi"/>
        </w:rPr>
        <w:t xml:space="preserve"> It was underlined that dispute prevention and mitigation measures contributed to create a stable and predictable climate for investment and played a significant role in both attracting and retaining investment (A/CN.9/1044, para 170).</w:t>
      </w:r>
    </w:p>
    <w:p w14:paraId="014E8B4F" w14:textId="0B576527" w:rsidR="00E143DE" w:rsidRDefault="00B603D8" w:rsidP="00E143DE">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D</w:t>
      </w:r>
      <w:r w:rsidR="00860830">
        <w:rPr>
          <w:rFonts w:asciiTheme="majorBidi" w:hAnsiTheme="majorBidi" w:cstheme="majorBidi"/>
        </w:rPr>
        <w:t>raft provision 2(a) above provides that</w:t>
      </w:r>
      <w:r w:rsidR="00457147" w:rsidRPr="000F7DB6">
        <w:rPr>
          <w:rFonts w:asciiTheme="majorBidi" w:hAnsiTheme="majorBidi" w:cstheme="majorBidi"/>
        </w:rPr>
        <w:t xml:space="preserve"> pre-dispute and dispute avoidance services could be geared towards </w:t>
      </w:r>
      <w:r w:rsidR="00876831">
        <w:rPr>
          <w:rFonts w:asciiTheme="majorBidi" w:hAnsiTheme="majorBidi" w:cstheme="majorBidi"/>
        </w:rPr>
        <w:t>a</w:t>
      </w:r>
      <w:r w:rsidR="00E143DE" w:rsidRPr="008C3C79">
        <w:rPr>
          <w:rFonts w:asciiTheme="majorBidi" w:hAnsiTheme="majorBidi" w:cstheme="majorBidi"/>
        </w:rPr>
        <w:t xml:space="preserve">ssistance to </w:t>
      </w:r>
      <w:r w:rsidR="00EF36BA">
        <w:rPr>
          <w:rFonts w:asciiTheme="majorBidi" w:hAnsiTheme="majorBidi" w:cstheme="majorBidi"/>
        </w:rPr>
        <w:t>State beneficiaries</w:t>
      </w:r>
      <w:r w:rsidR="00134048" w:rsidRPr="008C3C79">
        <w:rPr>
          <w:rFonts w:asciiTheme="majorBidi" w:hAnsiTheme="majorBidi" w:cstheme="majorBidi"/>
        </w:rPr>
        <w:t xml:space="preserve"> </w:t>
      </w:r>
      <w:r w:rsidR="00134048">
        <w:rPr>
          <w:rFonts w:asciiTheme="majorBidi" w:hAnsiTheme="majorBidi" w:cstheme="majorBidi"/>
        </w:rPr>
        <w:t xml:space="preserve">for </w:t>
      </w:r>
      <w:r>
        <w:rPr>
          <w:rFonts w:asciiTheme="majorBidi" w:hAnsiTheme="majorBidi" w:cstheme="majorBidi"/>
        </w:rPr>
        <w:t xml:space="preserve">(a) </w:t>
      </w:r>
      <w:r w:rsidR="00134048">
        <w:rPr>
          <w:rFonts w:asciiTheme="majorBidi" w:hAnsiTheme="majorBidi" w:cstheme="majorBidi"/>
        </w:rPr>
        <w:t xml:space="preserve">the set-up of </w:t>
      </w:r>
      <w:r w:rsidR="00E143DE" w:rsidRPr="008C3C79">
        <w:rPr>
          <w:rFonts w:asciiTheme="majorBidi" w:hAnsiTheme="majorBidi" w:cstheme="majorBidi"/>
        </w:rPr>
        <w:t>conflict management systems, including early dispute prevention policies and alert procedures;</w:t>
      </w:r>
      <w:r w:rsidR="00E143DE">
        <w:rPr>
          <w:rFonts w:asciiTheme="majorBidi" w:hAnsiTheme="majorBidi" w:cstheme="majorBidi"/>
        </w:rPr>
        <w:t xml:space="preserve"> </w:t>
      </w:r>
      <w:r w:rsidR="00E143DE" w:rsidRPr="008C3C79">
        <w:rPr>
          <w:rFonts w:asciiTheme="majorBidi" w:hAnsiTheme="majorBidi" w:cstheme="majorBidi"/>
        </w:rPr>
        <w:t>(</w:t>
      </w:r>
      <w:r>
        <w:rPr>
          <w:rFonts w:asciiTheme="majorBidi" w:hAnsiTheme="majorBidi" w:cstheme="majorBidi"/>
        </w:rPr>
        <w:t>b</w:t>
      </w:r>
      <w:r w:rsidR="00E143DE" w:rsidRPr="008C3C79">
        <w:rPr>
          <w:rFonts w:asciiTheme="majorBidi" w:hAnsiTheme="majorBidi" w:cstheme="majorBidi"/>
        </w:rPr>
        <w:t xml:space="preserve">) </w:t>
      </w:r>
      <w:r w:rsidR="00134048">
        <w:rPr>
          <w:rFonts w:asciiTheme="majorBidi" w:hAnsiTheme="majorBidi" w:cstheme="majorBidi"/>
        </w:rPr>
        <w:t>the establishment of</w:t>
      </w:r>
      <w:r w:rsidR="00E143DE" w:rsidRPr="008C3C79">
        <w:rPr>
          <w:rFonts w:asciiTheme="majorBidi" w:hAnsiTheme="majorBidi" w:cstheme="majorBidi"/>
        </w:rPr>
        <w:t xml:space="preserve"> a lead agency that would ensure proper attention to potential disputes, provide adequate responses to problems with foreign investors, and defend the interests of the </w:t>
      </w:r>
      <w:r w:rsidR="00876831">
        <w:rPr>
          <w:rFonts w:asciiTheme="majorBidi" w:hAnsiTheme="majorBidi" w:cstheme="majorBidi"/>
        </w:rPr>
        <w:t>beneficiary</w:t>
      </w:r>
      <w:r w:rsidR="00876831" w:rsidRPr="008C3C79">
        <w:rPr>
          <w:rFonts w:asciiTheme="majorBidi" w:hAnsiTheme="majorBidi" w:cstheme="majorBidi"/>
        </w:rPr>
        <w:t xml:space="preserve"> </w:t>
      </w:r>
      <w:r w:rsidR="00E143DE" w:rsidRPr="008C3C79">
        <w:rPr>
          <w:rFonts w:asciiTheme="majorBidi" w:hAnsiTheme="majorBidi" w:cstheme="majorBidi"/>
        </w:rPr>
        <w:t>at each stage</w:t>
      </w:r>
      <w:r w:rsidR="00E143DE">
        <w:rPr>
          <w:rFonts w:asciiTheme="majorBidi" w:hAnsiTheme="majorBidi" w:cstheme="majorBidi"/>
        </w:rPr>
        <w:t>; and</w:t>
      </w:r>
      <w:r w:rsidR="00E143DE" w:rsidRPr="000F7DB6">
        <w:rPr>
          <w:rFonts w:asciiTheme="majorBidi" w:hAnsiTheme="majorBidi" w:cstheme="majorBidi"/>
        </w:rPr>
        <w:t xml:space="preserve"> </w:t>
      </w:r>
      <w:r w:rsidR="00457147" w:rsidRPr="000F7DB6">
        <w:rPr>
          <w:rFonts w:asciiTheme="majorBidi" w:hAnsiTheme="majorBidi" w:cstheme="majorBidi"/>
        </w:rPr>
        <w:t>(</w:t>
      </w:r>
      <w:r>
        <w:rPr>
          <w:rFonts w:asciiTheme="majorBidi" w:hAnsiTheme="majorBidi" w:cstheme="majorBidi"/>
        </w:rPr>
        <w:t>c</w:t>
      </w:r>
      <w:r w:rsidR="00457147" w:rsidRPr="000F7DB6">
        <w:rPr>
          <w:rFonts w:asciiTheme="majorBidi" w:hAnsiTheme="majorBidi" w:cstheme="majorBidi"/>
        </w:rPr>
        <w:t xml:space="preserve">) the management of conflicts between </w:t>
      </w:r>
      <w:r w:rsidR="00977C13">
        <w:rPr>
          <w:rFonts w:asciiTheme="majorBidi" w:hAnsiTheme="majorBidi" w:cstheme="majorBidi"/>
        </w:rPr>
        <w:t>foreign</w:t>
      </w:r>
      <w:r w:rsidR="00977C13" w:rsidRPr="000F7DB6">
        <w:rPr>
          <w:rFonts w:asciiTheme="majorBidi" w:hAnsiTheme="majorBidi" w:cstheme="majorBidi"/>
        </w:rPr>
        <w:t xml:space="preserve"> </w:t>
      </w:r>
      <w:r w:rsidR="00457147" w:rsidRPr="000F7DB6">
        <w:rPr>
          <w:rFonts w:asciiTheme="majorBidi" w:hAnsiTheme="majorBidi" w:cstheme="majorBidi"/>
        </w:rPr>
        <w:t xml:space="preserve">investors and host country governments at the national level so that, if and when </w:t>
      </w:r>
      <w:r w:rsidR="00876831">
        <w:rPr>
          <w:rFonts w:asciiTheme="majorBidi" w:hAnsiTheme="majorBidi" w:cstheme="majorBidi"/>
        </w:rPr>
        <w:t xml:space="preserve">a </w:t>
      </w:r>
      <w:r w:rsidR="00457147" w:rsidRPr="000F7DB6">
        <w:rPr>
          <w:rFonts w:asciiTheme="majorBidi" w:hAnsiTheme="majorBidi" w:cstheme="majorBidi"/>
        </w:rPr>
        <w:t>conflict arise</w:t>
      </w:r>
      <w:r w:rsidR="00876831">
        <w:rPr>
          <w:rFonts w:asciiTheme="majorBidi" w:hAnsiTheme="majorBidi" w:cstheme="majorBidi"/>
        </w:rPr>
        <w:t>s</w:t>
      </w:r>
      <w:r w:rsidR="00457147" w:rsidRPr="000F7DB6">
        <w:rPr>
          <w:rFonts w:asciiTheme="majorBidi" w:hAnsiTheme="majorBidi" w:cstheme="majorBidi"/>
        </w:rPr>
        <w:t>, th</w:t>
      </w:r>
      <w:r w:rsidR="00876831">
        <w:rPr>
          <w:rFonts w:asciiTheme="majorBidi" w:hAnsiTheme="majorBidi" w:cstheme="majorBidi"/>
        </w:rPr>
        <w:t>is</w:t>
      </w:r>
      <w:r w:rsidR="00457147" w:rsidRPr="000F7DB6">
        <w:rPr>
          <w:rFonts w:asciiTheme="majorBidi" w:hAnsiTheme="majorBidi" w:cstheme="majorBidi"/>
        </w:rPr>
        <w:t xml:space="preserve"> do</w:t>
      </w:r>
      <w:r w:rsidR="00876831">
        <w:rPr>
          <w:rFonts w:asciiTheme="majorBidi" w:hAnsiTheme="majorBidi" w:cstheme="majorBidi"/>
        </w:rPr>
        <w:t>es</w:t>
      </w:r>
      <w:r w:rsidR="00457147" w:rsidRPr="000F7DB6">
        <w:rPr>
          <w:rFonts w:asciiTheme="majorBidi" w:hAnsiTheme="majorBidi" w:cstheme="majorBidi"/>
        </w:rPr>
        <w:t xml:space="preserve"> not </w:t>
      </w:r>
      <w:r w:rsidR="005A41EB">
        <w:rPr>
          <w:rFonts w:asciiTheme="majorBidi" w:hAnsiTheme="majorBidi" w:cstheme="majorBidi"/>
        </w:rPr>
        <w:t xml:space="preserve">lead to international disputes </w:t>
      </w:r>
      <w:r w:rsidR="00457147" w:rsidRPr="000F7DB6">
        <w:rPr>
          <w:rFonts w:asciiTheme="majorBidi" w:hAnsiTheme="majorBidi" w:cstheme="majorBidi"/>
        </w:rPr>
        <w:t xml:space="preserve">but </w:t>
      </w:r>
      <w:r w:rsidR="00D15567">
        <w:rPr>
          <w:rFonts w:asciiTheme="majorBidi" w:hAnsiTheme="majorBidi" w:cstheme="majorBidi"/>
        </w:rPr>
        <w:t xml:space="preserve">it </w:t>
      </w:r>
      <w:r w:rsidR="00876831">
        <w:rPr>
          <w:rFonts w:asciiTheme="majorBidi" w:hAnsiTheme="majorBidi" w:cstheme="majorBidi"/>
        </w:rPr>
        <w:t>is</w:t>
      </w:r>
      <w:r w:rsidR="00457147" w:rsidRPr="000F7DB6">
        <w:rPr>
          <w:rFonts w:asciiTheme="majorBidi" w:hAnsiTheme="majorBidi" w:cstheme="majorBidi"/>
        </w:rPr>
        <w:t xml:space="preserve"> resolved locally.</w:t>
      </w:r>
      <w:bookmarkStart w:id="6" w:name="_Hlk57879056"/>
      <w:r w:rsidR="00E143DE" w:rsidRPr="00E143DE">
        <w:rPr>
          <w:rFonts w:asciiTheme="majorBidi" w:hAnsiTheme="majorBidi" w:cstheme="majorBidi"/>
        </w:rPr>
        <w:t xml:space="preserve"> </w:t>
      </w:r>
      <w:bookmarkEnd w:id="6"/>
    </w:p>
    <w:p w14:paraId="61A83633" w14:textId="57EFBC8A" w:rsidR="00457147" w:rsidRPr="000F7DB6" w:rsidRDefault="00457147" w:rsidP="00457147">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0F7DB6">
        <w:rPr>
          <w:rFonts w:asciiTheme="majorBidi" w:hAnsiTheme="majorBidi" w:cstheme="majorBidi"/>
        </w:rPr>
        <w:lastRenderedPageBreak/>
        <w:t>Addressing these issues would be important</w:t>
      </w:r>
      <w:r w:rsidR="00F604CB">
        <w:rPr>
          <w:rStyle w:val="FootnoteReference"/>
          <w:rFonts w:asciiTheme="majorBidi" w:hAnsiTheme="majorBidi" w:cstheme="majorBidi"/>
        </w:rPr>
        <w:footnoteReference w:id="6"/>
      </w:r>
      <w:r w:rsidRPr="000F7DB6">
        <w:rPr>
          <w:rFonts w:asciiTheme="majorBidi" w:hAnsiTheme="majorBidi" w:cstheme="majorBidi"/>
        </w:rPr>
        <w:t>, but also taking into account that duplication of the work with other organization</w:t>
      </w:r>
      <w:r w:rsidR="00876831">
        <w:rPr>
          <w:rFonts w:asciiTheme="majorBidi" w:hAnsiTheme="majorBidi" w:cstheme="majorBidi"/>
        </w:rPr>
        <w:t>s</w:t>
      </w:r>
      <w:r w:rsidRPr="000F7DB6">
        <w:rPr>
          <w:rFonts w:asciiTheme="majorBidi" w:hAnsiTheme="majorBidi" w:cstheme="majorBidi"/>
        </w:rPr>
        <w:t xml:space="preserve"> </w:t>
      </w:r>
      <w:r w:rsidR="00D15567">
        <w:rPr>
          <w:rFonts w:asciiTheme="majorBidi" w:hAnsiTheme="majorBidi" w:cstheme="majorBidi"/>
        </w:rPr>
        <w:t xml:space="preserve">and individual service providers </w:t>
      </w:r>
      <w:r w:rsidRPr="000F7DB6">
        <w:rPr>
          <w:rFonts w:asciiTheme="majorBidi" w:hAnsiTheme="majorBidi" w:cstheme="majorBidi"/>
        </w:rPr>
        <w:t>should be avoided when constructing the objectives and functions of the centre</w:t>
      </w:r>
      <w:r w:rsidR="00F766C0">
        <w:rPr>
          <w:rFonts w:asciiTheme="majorBidi" w:hAnsiTheme="majorBidi" w:cstheme="majorBidi"/>
        </w:rPr>
        <w:t>.</w:t>
      </w:r>
      <w:r w:rsidR="00B603D8" w:rsidRPr="00B603D8">
        <w:rPr>
          <w:rStyle w:val="FootnoteReference"/>
          <w:rFonts w:asciiTheme="majorBidi" w:hAnsiTheme="majorBidi" w:cstheme="majorBidi"/>
        </w:rPr>
        <w:t xml:space="preserve"> </w:t>
      </w:r>
      <w:r w:rsidR="00B603D8">
        <w:rPr>
          <w:rStyle w:val="FootnoteReference"/>
          <w:rFonts w:asciiTheme="majorBidi" w:hAnsiTheme="majorBidi" w:cstheme="majorBidi"/>
        </w:rPr>
        <w:footnoteReference w:id="7"/>
      </w:r>
      <w:r w:rsidR="00B603D8" w:rsidRPr="000F7DB6">
        <w:rPr>
          <w:rFonts w:asciiTheme="majorBidi" w:hAnsiTheme="majorBidi" w:cstheme="majorBidi"/>
        </w:rPr>
        <w:t xml:space="preserve"> </w:t>
      </w:r>
      <w:r w:rsidRPr="00E37FFD">
        <w:rPr>
          <w:rFonts w:asciiTheme="majorBidi" w:hAnsiTheme="majorBidi" w:cstheme="majorBidi"/>
        </w:rPr>
        <w:t xml:space="preserve"> </w:t>
      </w:r>
      <w:r w:rsidR="00B603D8">
        <w:rPr>
          <w:rFonts w:asciiTheme="majorBidi" w:hAnsiTheme="majorBidi" w:cstheme="majorBidi"/>
        </w:rPr>
        <w:t xml:space="preserve">In that light, </w:t>
      </w:r>
      <w:r w:rsidR="009B7F95">
        <w:rPr>
          <w:rFonts w:asciiTheme="majorBidi" w:hAnsiTheme="majorBidi" w:cstheme="majorBidi"/>
        </w:rPr>
        <w:t xml:space="preserve">as provided for </w:t>
      </w:r>
      <w:r w:rsidR="00B603D8">
        <w:rPr>
          <w:rFonts w:asciiTheme="majorBidi" w:hAnsiTheme="majorBidi" w:cstheme="majorBidi"/>
        </w:rPr>
        <w:t xml:space="preserve">draft provision </w:t>
      </w:r>
      <w:r w:rsidR="009B7F95">
        <w:rPr>
          <w:rFonts w:asciiTheme="majorBidi" w:hAnsiTheme="majorBidi" w:cstheme="majorBidi"/>
        </w:rPr>
        <w:t>1(c)</w:t>
      </w:r>
      <w:r w:rsidR="00B603D8">
        <w:rPr>
          <w:rFonts w:asciiTheme="majorBidi" w:hAnsiTheme="majorBidi" w:cstheme="majorBidi"/>
        </w:rPr>
        <w:t>(ii), in addition to offering services</w:t>
      </w:r>
      <w:r w:rsidR="009B7F95">
        <w:rPr>
          <w:rFonts w:asciiTheme="majorBidi" w:hAnsiTheme="majorBidi" w:cstheme="majorBidi"/>
        </w:rPr>
        <w:t xml:space="preserve"> covered under draft provision 2(a)</w:t>
      </w:r>
      <w:r w:rsidR="00B603D8">
        <w:rPr>
          <w:rFonts w:asciiTheme="majorBidi" w:hAnsiTheme="majorBidi" w:cstheme="majorBidi"/>
        </w:rPr>
        <w:t xml:space="preserve">, the advisory centre </w:t>
      </w:r>
      <w:r w:rsidR="009B7F95">
        <w:rPr>
          <w:rFonts w:asciiTheme="majorBidi" w:hAnsiTheme="majorBidi" w:cstheme="majorBidi"/>
        </w:rPr>
        <w:t>might</w:t>
      </w:r>
      <w:r w:rsidR="00B603D8">
        <w:rPr>
          <w:rFonts w:asciiTheme="majorBidi" w:hAnsiTheme="majorBidi" w:cstheme="majorBidi"/>
        </w:rPr>
        <w:t xml:space="preserve"> </w:t>
      </w:r>
      <w:r w:rsidRPr="000F7DB6">
        <w:rPr>
          <w:rFonts w:asciiTheme="majorBidi" w:hAnsiTheme="majorBidi" w:cstheme="majorBidi"/>
        </w:rPr>
        <w:t xml:space="preserve">act as a platform </w:t>
      </w:r>
      <w:r w:rsidRPr="008278A4">
        <w:rPr>
          <w:rFonts w:asciiTheme="majorBidi" w:hAnsiTheme="majorBidi" w:cstheme="majorBidi"/>
        </w:rPr>
        <w:t>for sharing best practices and information in this area</w:t>
      </w:r>
      <w:r w:rsidR="00860830">
        <w:rPr>
          <w:rFonts w:asciiTheme="majorBidi" w:hAnsiTheme="majorBidi" w:cstheme="majorBidi"/>
        </w:rPr>
        <w:t xml:space="preserve">, </w:t>
      </w:r>
      <w:r w:rsidR="00B603D8">
        <w:rPr>
          <w:rFonts w:asciiTheme="majorBidi" w:hAnsiTheme="majorBidi" w:cstheme="majorBidi"/>
        </w:rPr>
        <w:t>with the objective to also avoid overlaps</w:t>
      </w:r>
      <w:r w:rsidRPr="000F7DB6">
        <w:rPr>
          <w:rFonts w:asciiTheme="majorBidi" w:hAnsiTheme="majorBidi" w:cstheme="majorBidi"/>
        </w:rPr>
        <w:t>.</w:t>
      </w:r>
    </w:p>
    <w:p w14:paraId="343966E8" w14:textId="1BE2028C" w:rsidR="00302A12" w:rsidRPr="00280223" w:rsidRDefault="00280223" w:rsidP="00D56BCD">
      <w:pPr>
        <w:pStyle w:val="SingleTxt"/>
        <w:tabs>
          <w:tab w:val="clear" w:pos="1267"/>
          <w:tab w:val="clear" w:pos="1742"/>
          <w:tab w:val="left" w:pos="709"/>
          <w:tab w:val="left" w:pos="1418"/>
          <w:tab w:val="left" w:pos="2127"/>
        </w:tabs>
        <w:ind w:left="1642" w:firstLine="154"/>
        <w:rPr>
          <w:rFonts w:asciiTheme="majorBidi" w:hAnsiTheme="majorBidi" w:cstheme="majorBidi"/>
          <w:b/>
          <w:bCs/>
        </w:rPr>
      </w:pPr>
      <w:r w:rsidRPr="00001006">
        <w:rPr>
          <w:rFonts w:asciiTheme="majorBidi" w:hAnsiTheme="majorBidi" w:cstheme="majorBidi"/>
          <w:b/>
          <w:bCs/>
        </w:rPr>
        <w:t>2</w:t>
      </w:r>
      <w:r w:rsidR="00302A12" w:rsidRPr="00001006">
        <w:rPr>
          <w:rFonts w:asciiTheme="majorBidi" w:hAnsiTheme="majorBidi" w:cstheme="majorBidi"/>
          <w:b/>
          <w:bCs/>
        </w:rPr>
        <w:t xml:space="preserve">. Mediation and other alternative dispute resolution (ADR) </w:t>
      </w:r>
      <w:r w:rsidR="0006052B" w:rsidRPr="00001006">
        <w:rPr>
          <w:rFonts w:asciiTheme="majorBidi" w:hAnsiTheme="majorBidi" w:cstheme="majorBidi"/>
          <w:b/>
          <w:bCs/>
        </w:rPr>
        <w:t>services</w:t>
      </w:r>
    </w:p>
    <w:p w14:paraId="75DCC156" w14:textId="5BBF5462" w:rsidR="00FA15DF" w:rsidRDefault="00FA15DF" w:rsidP="00FA15DF">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lang w:val="en-US"/>
        </w:rPr>
        <w:t>The Working Group may wish to consider d</w:t>
      </w:r>
      <w:r w:rsidRPr="008C3C79">
        <w:rPr>
          <w:rFonts w:asciiTheme="majorBidi" w:hAnsiTheme="majorBidi" w:cstheme="majorBidi"/>
          <w:lang w:val="en-US"/>
        </w:rPr>
        <w:t xml:space="preserve">raft provision </w:t>
      </w:r>
      <w:r>
        <w:rPr>
          <w:rFonts w:asciiTheme="majorBidi" w:hAnsiTheme="majorBidi" w:cstheme="majorBidi"/>
          <w:lang w:val="en-US"/>
        </w:rPr>
        <w:t>2(b), which</w:t>
      </w:r>
      <w:r w:rsidRPr="008C3C79">
        <w:rPr>
          <w:rFonts w:asciiTheme="majorBidi" w:hAnsiTheme="majorBidi" w:cstheme="majorBidi"/>
          <w:lang w:val="en-US"/>
        </w:rPr>
        <w:t xml:space="preserve"> is based on the understanding that disputes could be avoided or settled through negotiation or mediation, where </w:t>
      </w:r>
      <w:r>
        <w:rPr>
          <w:rFonts w:asciiTheme="majorBidi" w:hAnsiTheme="majorBidi" w:cstheme="majorBidi"/>
          <w:lang w:val="en-US"/>
        </w:rPr>
        <w:t>parties to ISDS</w:t>
      </w:r>
      <w:r w:rsidRPr="008C3C79">
        <w:rPr>
          <w:rFonts w:asciiTheme="majorBidi" w:hAnsiTheme="majorBidi" w:cstheme="majorBidi"/>
          <w:lang w:val="en-US"/>
        </w:rPr>
        <w:t xml:space="preserve"> may benefit </w:t>
      </w:r>
      <w:r>
        <w:rPr>
          <w:rFonts w:asciiTheme="majorBidi" w:hAnsiTheme="majorBidi" w:cstheme="majorBidi"/>
          <w:lang w:val="en-US"/>
        </w:rPr>
        <w:t>from</w:t>
      </w:r>
      <w:r w:rsidRPr="008C3C79">
        <w:rPr>
          <w:rFonts w:asciiTheme="majorBidi" w:hAnsiTheme="majorBidi" w:cstheme="majorBidi"/>
          <w:lang w:val="en-US"/>
        </w:rPr>
        <w:t xml:space="preserve"> advice and ADR services before the disputes escalate into formal proceedings </w:t>
      </w:r>
      <w:r w:rsidRPr="008C3C79">
        <w:rPr>
          <w:rFonts w:asciiTheme="majorBidi" w:hAnsiTheme="majorBidi" w:cstheme="majorBidi"/>
        </w:rPr>
        <w:t>such</w:t>
      </w:r>
      <w:r w:rsidRPr="008C3C79">
        <w:rPr>
          <w:rFonts w:asciiTheme="majorBidi" w:hAnsiTheme="majorBidi" w:cstheme="majorBidi"/>
          <w:lang w:val="en-US"/>
        </w:rPr>
        <w:t xml:space="preserve"> as arbitration.</w:t>
      </w:r>
      <w:r w:rsidRPr="008C3C79">
        <w:rPr>
          <w:rFonts w:asciiTheme="majorBidi" w:hAnsiTheme="majorBidi" w:cstheme="majorBidi"/>
        </w:rPr>
        <w:t xml:space="preserve"> It contains t</w:t>
      </w:r>
      <w:r w:rsidR="009B7F95">
        <w:rPr>
          <w:rFonts w:asciiTheme="majorBidi" w:hAnsiTheme="majorBidi" w:cstheme="majorBidi"/>
        </w:rPr>
        <w:t>hree</w:t>
      </w:r>
      <w:r w:rsidRPr="008C3C79">
        <w:rPr>
          <w:rFonts w:asciiTheme="majorBidi" w:hAnsiTheme="majorBidi" w:cstheme="majorBidi"/>
        </w:rPr>
        <w:t xml:space="preserve"> options. </w:t>
      </w:r>
    </w:p>
    <w:p w14:paraId="4D9AD783" w14:textId="61DE1F05" w:rsidR="00FA15DF" w:rsidRPr="00FA15DF" w:rsidRDefault="00FA15DF" w:rsidP="00FA15DF">
      <w:pPr>
        <w:pStyle w:val="SingleTxt"/>
        <w:tabs>
          <w:tab w:val="clear" w:pos="1742"/>
          <w:tab w:val="clear" w:pos="2218"/>
          <w:tab w:val="left" w:pos="1701"/>
          <w:tab w:val="num" w:pos="3126"/>
        </w:tabs>
        <w:ind w:left="1276"/>
        <w:rPr>
          <w:rFonts w:asciiTheme="majorBidi" w:hAnsiTheme="majorBidi" w:cstheme="majorBidi"/>
          <w:b/>
          <w:bCs/>
          <w:i/>
          <w:iCs/>
        </w:rPr>
      </w:pPr>
      <w:r w:rsidRPr="00FA15DF">
        <w:rPr>
          <w:rFonts w:asciiTheme="majorBidi" w:hAnsiTheme="majorBidi" w:cstheme="majorBidi"/>
          <w:b/>
          <w:bCs/>
          <w:i/>
          <w:iCs/>
        </w:rPr>
        <w:t>Draft provision 2(b)</w:t>
      </w:r>
    </w:p>
    <w:p w14:paraId="0C56A744" w14:textId="241D76B5" w:rsidR="00956142" w:rsidRPr="008C3C79" w:rsidRDefault="00956142" w:rsidP="00956142">
      <w:pPr>
        <w:pStyle w:val="SingleTxt"/>
        <w:tabs>
          <w:tab w:val="clear" w:pos="1267"/>
          <w:tab w:val="left" w:pos="709"/>
          <w:tab w:val="left" w:pos="1701"/>
          <w:tab w:val="left" w:pos="2127"/>
        </w:tabs>
        <w:rPr>
          <w:rFonts w:asciiTheme="majorBidi" w:hAnsiTheme="majorBidi" w:cstheme="majorBidi"/>
          <w:i/>
          <w:iCs/>
        </w:rPr>
      </w:pPr>
      <w:r>
        <w:rPr>
          <w:rFonts w:asciiTheme="majorBidi" w:hAnsiTheme="majorBidi" w:cstheme="majorBidi"/>
          <w:i/>
          <w:iCs/>
        </w:rPr>
        <w:t>[2. T</w:t>
      </w:r>
      <w:r w:rsidRPr="008C3C79">
        <w:rPr>
          <w:rFonts w:asciiTheme="majorBidi" w:hAnsiTheme="majorBidi" w:cstheme="majorBidi"/>
          <w:i/>
          <w:iCs/>
        </w:rPr>
        <w:t>he Centre shall</w:t>
      </w:r>
      <w:r>
        <w:rPr>
          <w:rFonts w:asciiTheme="majorBidi" w:hAnsiTheme="majorBidi" w:cstheme="majorBidi"/>
          <w:i/>
          <w:iCs/>
        </w:rPr>
        <w:t xml:space="preserve"> provide the following services</w:t>
      </w:r>
      <w:r w:rsidRPr="008C3C79">
        <w:rPr>
          <w:rFonts w:asciiTheme="majorBidi" w:hAnsiTheme="majorBidi" w:cstheme="majorBidi"/>
          <w:i/>
          <w:iCs/>
        </w:rPr>
        <w:t>:</w:t>
      </w:r>
      <w:r>
        <w:rPr>
          <w:rFonts w:asciiTheme="majorBidi" w:hAnsiTheme="majorBidi" w:cstheme="majorBidi"/>
          <w:i/>
          <w:iCs/>
        </w:rPr>
        <w:t>]</w:t>
      </w:r>
    </w:p>
    <w:p w14:paraId="189F5FC2" w14:textId="607E7F82" w:rsidR="00956142" w:rsidRDefault="00956142" w:rsidP="009B7F95">
      <w:pPr>
        <w:pStyle w:val="SingleTxt"/>
        <w:numPr>
          <w:ilvl w:val="0"/>
          <w:numId w:val="27"/>
        </w:numPr>
        <w:tabs>
          <w:tab w:val="left" w:pos="709"/>
          <w:tab w:val="left" w:pos="1701"/>
          <w:tab w:val="left" w:pos="2127"/>
        </w:tabs>
        <w:rPr>
          <w:rFonts w:asciiTheme="majorBidi" w:hAnsiTheme="majorBidi" w:cstheme="majorBidi"/>
          <w:i/>
          <w:iCs/>
        </w:rPr>
      </w:pPr>
      <w:r>
        <w:rPr>
          <w:rFonts w:asciiTheme="majorBidi" w:hAnsiTheme="majorBidi" w:cstheme="majorBidi"/>
          <w:i/>
          <w:iCs/>
        </w:rPr>
        <w:t>Alternative dispute resolution, by:</w:t>
      </w:r>
    </w:p>
    <w:p w14:paraId="09217EF6" w14:textId="27799801" w:rsidR="00956142" w:rsidRDefault="00956142" w:rsidP="00956142">
      <w:pPr>
        <w:pStyle w:val="SingleTxt"/>
        <w:tabs>
          <w:tab w:val="left" w:pos="709"/>
          <w:tab w:val="left" w:pos="1701"/>
          <w:tab w:val="left" w:pos="2127"/>
        </w:tabs>
        <w:ind w:left="2952"/>
        <w:rPr>
          <w:rFonts w:asciiTheme="majorBidi" w:hAnsiTheme="majorBidi" w:cstheme="majorBidi"/>
          <w:i/>
          <w:iCs/>
        </w:rPr>
      </w:pPr>
      <w:r w:rsidRPr="00B7534B">
        <w:rPr>
          <w:rFonts w:asciiTheme="majorBidi" w:hAnsiTheme="majorBidi" w:cstheme="majorBidi"/>
          <w:i/>
          <w:iCs/>
        </w:rPr>
        <w:t xml:space="preserve">[Option </w:t>
      </w:r>
      <w:r w:rsidR="00465282">
        <w:rPr>
          <w:rFonts w:asciiTheme="majorBidi" w:hAnsiTheme="majorBidi" w:cstheme="majorBidi"/>
          <w:i/>
          <w:iCs/>
        </w:rPr>
        <w:t>1</w:t>
      </w:r>
      <w:r w:rsidRPr="00B7534B">
        <w:rPr>
          <w:rFonts w:asciiTheme="majorBidi" w:hAnsiTheme="majorBidi" w:cstheme="majorBidi"/>
          <w:i/>
          <w:iCs/>
        </w:rPr>
        <w:t>: Serv</w:t>
      </w:r>
      <w:r>
        <w:rPr>
          <w:rFonts w:asciiTheme="majorBidi" w:hAnsiTheme="majorBidi" w:cstheme="majorBidi"/>
          <w:i/>
          <w:iCs/>
        </w:rPr>
        <w:t>ing</w:t>
      </w:r>
      <w:r w:rsidRPr="00B7534B">
        <w:rPr>
          <w:rFonts w:asciiTheme="majorBidi" w:hAnsiTheme="majorBidi" w:cstheme="majorBidi"/>
          <w:i/>
          <w:iCs/>
        </w:rPr>
        <w:t xml:space="preserve"> as a mediation </w:t>
      </w:r>
      <w:r>
        <w:rPr>
          <w:rFonts w:asciiTheme="majorBidi" w:hAnsiTheme="majorBidi" w:cstheme="majorBidi"/>
          <w:i/>
          <w:iCs/>
        </w:rPr>
        <w:t>centre</w:t>
      </w:r>
      <w:r w:rsidR="00150299">
        <w:rPr>
          <w:rFonts w:asciiTheme="majorBidi" w:hAnsiTheme="majorBidi" w:cstheme="majorBidi"/>
          <w:i/>
          <w:iCs/>
        </w:rPr>
        <w:t>.</w:t>
      </w:r>
      <w:r w:rsidRPr="00B7534B">
        <w:rPr>
          <w:rFonts w:asciiTheme="majorBidi" w:hAnsiTheme="majorBidi" w:cstheme="majorBidi"/>
          <w:i/>
          <w:iCs/>
        </w:rPr>
        <w:t xml:space="preserve">] </w:t>
      </w:r>
    </w:p>
    <w:p w14:paraId="2355F72A" w14:textId="33F7D4DC" w:rsidR="00150299" w:rsidRDefault="00956142" w:rsidP="00956142">
      <w:pPr>
        <w:pStyle w:val="SingleTxt"/>
        <w:tabs>
          <w:tab w:val="left" w:pos="709"/>
          <w:tab w:val="left" w:pos="1701"/>
          <w:tab w:val="left" w:pos="2127"/>
        </w:tabs>
        <w:ind w:left="2952"/>
        <w:rPr>
          <w:rFonts w:asciiTheme="majorBidi" w:hAnsiTheme="majorBidi" w:cstheme="majorBidi"/>
          <w:i/>
          <w:iCs/>
        </w:rPr>
      </w:pPr>
      <w:r w:rsidRPr="00B7534B">
        <w:rPr>
          <w:rFonts w:asciiTheme="majorBidi" w:hAnsiTheme="majorBidi" w:cstheme="majorBidi"/>
          <w:i/>
          <w:iCs/>
        </w:rPr>
        <w:t xml:space="preserve">[Option </w:t>
      </w:r>
      <w:r w:rsidR="00465282">
        <w:rPr>
          <w:rFonts w:asciiTheme="majorBidi" w:hAnsiTheme="majorBidi" w:cstheme="majorBidi"/>
          <w:i/>
          <w:iCs/>
        </w:rPr>
        <w:t>2</w:t>
      </w:r>
      <w:r w:rsidRPr="00B7534B">
        <w:rPr>
          <w:rFonts w:asciiTheme="majorBidi" w:hAnsiTheme="majorBidi" w:cstheme="majorBidi"/>
          <w:i/>
          <w:iCs/>
        </w:rPr>
        <w:t xml:space="preserve">: </w:t>
      </w:r>
      <w:r>
        <w:rPr>
          <w:rFonts w:asciiTheme="majorBidi" w:hAnsiTheme="majorBidi" w:cstheme="majorBidi"/>
          <w:i/>
          <w:iCs/>
        </w:rPr>
        <w:t xml:space="preserve">Providing advice to </w:t>
      </w:r>
      <w:r w:rsidRPr="00B7534B">
        <w:rPr>
          <w:rFonts w:asciiTheme="majorBidi" w:hAnsiTheme="majorBidi" w:cstheme="majorBidi"/>
          <w:i/>
          <w:iCs/>
        </w:rPr>
        <w:t xml:space="preserve">the </w:t>
      </w:r>
      <w:r>
        <w:rPr>
          <w:rFonts w:asciiTheme="majorBidi" w:hAnsiTheme="majorBidi" w:cstheme="majorBidi"/>
          <w:i/>
          <w:iCs/>
        </w:rPr>
        <w:t xml:space="preserve">[State] </w:t>
      </w:r>
      <w:r w:rsidRPr="00B7534B">
        <w:rPr>
          <w:rFonts w:asciiTheme="majorBidi" w:hAnsiTheme="majorBidi" w:cstheme="majorBidi"/>
          <w:i/>
          <w:iCs/>
        </w:rPr>
        <w:t xml:space="preserve">Beneficiaries </w:t>
      </w:r>
      <w:r>
        <w:rPr>
          <w:rFonts w:asciiTheme="majorBidi" w:hAnsiTheme="majorBidi" w:cstheme="majorBidi"/>
          <w:i/>
          <w:iCs/>
        </w:rPr>
        <w:t xml:space="preserve">including on the selection of </w:t>
      </w:r>
      <w:r w:rsidRPr="00B7534B">
        <w:rPr>
          <w:rFonts w:asciiTheme="majorBidi" w:hAnsiTheme="majorBidi" w:cstheme="majorBidi"/>
          <w:i/>
          <w:iCs/>
        </w:rPr>
        <w:t xml:space="preserve">the most appropriate dispute resolution method, and </w:t>
      </w:r>
      <w:r>
        <w:rPr>
          <w:rFonts w:asciiTheme="majorBidi" w:hAnsiTheme="majorBidi" w:cstheme="majorBidi"/>
          <w:i/>
          <w:iCs/>
        </w:rPr>
        <w:t xml:space="preserve">other </w:t>
      </w:r>
      <w:r w:rsidRPr="00B7534B">
        <w:rPr>
          <w:rFonts w:asciiTheme="majorBidi" w:hAnsiTheme="majorBidi" w:cstheme="majorBidi"/>
          <w:i/>
          <w:iCs/>
        </w:rPr>
        <w:t>advisory services</w:t>
      </w:r>
      <w:r>
        <w:rPr>
          <w:rFonts w:asciiTheme="majorBidi" w:hAnsiTheme="majorBidi" w:cstheme="majorBidi"/>
          <w:i/>
          <w:iCs/>
        </w:rPr>
        <w:t xml:space="preserve"> in relation to ADR in ISDS</w:t>
      </w:r>
      <w:r w:rsidR="00150299">
        <w:rPr>
          <w:rFonts w:asciiTheme="majorBidi" w:hAnsiTheme="majorBidi" w:cstheme="majorBidi"/>
          <w:i/>
          <w:iCs/>
        </w:rPr>
        <w:t>.]</w:t>
      </w:r>
    </w:p>
    <w:p w14:paraId="35295EFB" w14:textId="659F6B57" w:rsidR="00956142" w:rsidRPr="00B7534B" w:rsidRDefault="00150299" w:rsidP="00956142">
      <w:pPr>
        <w:pStyle w:val="SingleTxt"/>
        <w:tabs>
          <w:tab w:val="left" w:pos="709"/>
          <w:tab w:val="left" w:pos="1701"/>
          <w:tab w:val="left" w:pos="2127"/>
        </w:tabs>
        <w:ind w:left="2952"/>
        <w:rPr>
          <w:rFonts w:asciiTheme="majorBidi" w:hAnsiTheme="majorBidi" w:cstheme="majorBidi"/>
          <w:i/>
          <w:iCs/>
        </w:rPr>
      </w:pPr>
      <w:r>
        <w:rPr>
          <w:rFonts w:asciiTheme="majorBidi" w:hAnsiTheme="majorBidi" w:cstheme="majorBidi"/>
          <w:i/>
          <w:iCs/>
        </w:rPr>
        <w:t>[Option 3:</w:t>
      </w:r>
      <w:r w:rsidRPr="00150299">
        <w:t xml:space="preserve"> </w:t>
      </w:r>
      <w:r w:rsidRPr="00726882">
        <w:rPr>
          <w:i/>
          <w:iCs/>
        </w:rPr>
        <w:t>Represent</w:t>
      </w:r>
      <w:r w:rsidR="009B7F95">
        <w:rPr>
          <w:i/>
          <w:iCs/>
        </w:rPr>
        <w:t>ing</w:t>
      </w:r>
      <w:r w:rsidRPr="00726882">
        <w:rPr>
          <w:i/>
          <w:iCs/>
        </w:rPr>
        <w:t xml:space="preserve"> or assist</w:t>
      </w:r>
      <w:r w:rsidR="009B7F95">
        <w:rPr>
          <w:i/>
          <w:iCs/>
        </w:rPr>
        <w:t>ing</w:t>
      </w:r>
      <w:r w:rsidRPr="00726882">
        <w:rPr>
          <w:i/>
          <w:iCs/>
        </w:rPr>
        <w:t xml:space="preserve"> State Beneficiaries in a mediation procedure.</w:t>
      </w:r>
      <w:r w:rsidR="00956142">
        <w:rPr>
          <w:rFonts w:asciiTheme="majorBidi" w:hAnsiTheme="majorBidi" w:cstheme="majorBidi"/>
          <w:i/>
          <w:iCs/>
        </w:rPr>
        <w:t>]</w:t>
      </w:r>
      <w:r w:rsidR="00956142" w:rsidRPr="00B7534B">
        <w:rPr>
          <w:rFonts w:asciiTheme="majorBidi" w:hAnsiTheme="majorBidi" w:cstheme="majorBidi"/>
          <w:i/>
          <w:iCs/>
        </w:rPr>
        <w:t xml:space="preserve"> </w:t>
      </w:r>
    </w:p>
    <w:p w14:paraId="48CD9FA8" w14:textId="182B8C78" w:rsidR="00FA15DF" w:rsidRPr="00FA15DF" w:rsidRDefault="00FA15DF" w:rsidP="00FA15DF">
      <w:pPr>
        <w:pStyle w:val="SingleTxt"/>
        <w:tabs>
          <w:tab w:val="clear" w:pos="1742"/>
          <w:tab w:val="clear" w:pos="2218"/>
          <w:tab w:val="left" w:pos="1701"/>
          <w:tab w:val="num" w:pos="3126"/>
        </w:tabs>
        <w:ind w:left="1276"/>
        <w:rPr>
          <w:rFonts w:asciiTheme="majorBidi" w:hAnsiTheme="majorBidi" w:cstheme="majorBidi"/>
          <w:b/>
          <w:bCs/>
          <w:i/>
          <w:iCs/>
        </w:rPr>
      </w:pPr>
      <w:r w:rsidRPr="00FA15DF">
        <w:rPr>
          <w:rFonts w:asciiTheme="majorBidi" w:hAnsiTheme="majorBidi" w:cstheme="majorBidi"/>
          <w:b/>
          <w:bCs/>
          <w:i/>
          <w:iCs/>
        </w:rPr>
        <w:t>Comments</w:t>
      </w:r>
    </w:p>
    <w:p w14:paraId="192D950C" w14:textId="2A1484DD" w:rsidR="00302A12" w:rsidRPr="008C3C79" w:rsidRDefault="00302A12" w:rsidP="00302A12">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The Working Group may wish to consider whether an advisory centre might be established as a facility </w:t>
      </w:r>
      <w:r w:rsidRPr="008278A4">
        <w:rPr>
          <w:rFonts w:asciiTheme="majorBidi" w:hAnsiTheme="majorBidi" w:cstheme="majorBidi"/>
        </w:rPr>
        <w:t>to offer alternative dispute resolution (ADR) services and support early settlement of disputes, in particular during the cooling-off period</w:t>
      </w:r>
      <w:r w:rsidRPr="008C3C79">
        <w:rPr>
          <w:rFonts w:asciiTheme="majorBidi" w:hAnsiTheme="majorBidi" w:cstheme="majorBidi"/>
        </w:rPr>
        <w:t xml:space="preserve">, which is foreseen in a majority of </w:t>
      </w:r>
      <w:r w:rsidR="00F300F1">
        <w:rPr>
          <w:rFonts w:asciiTheme="majorBidi" w:hAnsiTheme="majorBidi" w:cstheme="majorBidi"/>
        </w:rPr>
        <w:t xml:space="preserve"> investment </w:t>
      </w:r>
      <w:r w:rsidRPr="008C3C79">
        <w:rPr>
          <w:rFonts w:asciiTheme="majorBidi" w:hAnsiTheme="majorBidi" w:cstheme="majorBidi"/>
        </w:rPr>
        <w:t xml:space="preserve">treaties. In addition, </w:t>
      </w:r>
      <w:r w:rsidRPr="008278A4">
        <w:rPr>
          <w:rFonts w:asciiTheme="majorBidi" w:hAnsiTheme="majorBidi" w:cstheme="majorBidi"/>
        </w:rPr>
        <w:t>an advisory centre might play an important role with regards to risk assessmen</w:t>
      </w:r>
      <w:r w:rsidRPr="008C3C79">
        <w:rPr>
          <w:rFonts w:asciiTheme="majorBidi" w:hAnsiTheme="majorBidi" w:cstheme="majorBidi"/>
        </w:rPr>
        <w:t>t (A/CN.9/1004, para. 44), which could include an analysis of the case, its weaknesses and strengths, the choice of the appropriate dispute resolution method (and whether</w:t>
      </w:r>
      <w:r w:rsidR="008278A4">
        <w:rPr>
          <w:rFonts w:asciiTheme="majorBidi" w:hAnsiTheme="majorBidi" w:cstheme="majorBidi"/>
        </w:rPr>
        <w:t>,</w:t>
      </w:r>
      <w:r w:rsidR="00876831">
        <w:rPr>
          <w:rFonts w:asciiTheme="majorBidi" w:hAnsiTheme="majorBidi" w:cstheme="majorBidi"/>
        </w:rPr>
        <w:t xml:space="preserve"> for instance,</w:t>
      </w:r>
      <w:r w:rsidRPr="008C3C79">
        <w:rPr>
          <w:rFonts w:asciiTheme="majorBidi" w:hAnsiTheme="majorBidi" w:cstheme="majorBidi"/>
        </w:rPr>
        <w:t xml:space="preserve"> it might be particularly suitable for mediation, </w:t>
      </w:r>
      <w:r w:rsidR="00876831">
        <w:rPr>
          <w:rFonts w:asciiTheme="majorBidi" w:hAnsiTheme="majorBidi" w:cstheme="majorBidi"/>
        </w:rPr>
        <w:t xml:space="preserve">and </w:t>
      </w:r>
      <w:r w:rsidRPr="008C3C79">
        <w:rPr>
          <w:rFonts w:asciiTheme="majorBidi" w:hAnsiTheme="majorBidi" w:cstheme="majorBidi"/>
        </w:rPr>
        <w:t>what might be the impediments related thereto), and a</w:t>
      </w:r>
      <w:r w:rsidR="00876831">
        <w:rPr>
          <w:rFonts w:asciiTheme="majorBidi" w:hAnsiTheme="majorBidi" w:cstheme="majorBidi"/>
        </w:rPr>
        <w:t xml:space="preserve">n evaluation of </w:t>
      </w:r>
      <w:r w:rsidRPr="008C3C79">
        <w:rPr>
          <w:rFonts w:asciiTheme="majorBidi" w:hAnsiTheme="majorBidi" w:cstheme="majorBidi"/>
        </w:rPr>
        <w:t xml:space="preserve">the necessary resources to defend the case. </w:t>
      </w:r>
    </w:p>
    <w:p w14:paraId="500F93A5" w14:textId="3A5004E4" w:rsidR="00893CD7" w:rsidRDefault="00302A12" w:rsidP="00302A12">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In option </w:t>
      </w:r>
      <w:r w:rsidR="00465282">
        <w:rPr>
          <w:rFonts w:asciiTheme="majorBidi" w:hAnsiTheme="majorBidi" w:cstheme="majorBidi"/>
        </w:rPr>
        <w:t>1</w:t>
      </w:r>
      <w:r w:rsidRPr="008C3C79">
        <w:rPr>
          <w:rFonts w:asciiTheme="majorBidi" w:hAnsiTheme="majorBidi" w:cstheme="majorBidi"/>
        </w:rPr>
        <w:t xml:space="preserve">, the centre would perform </w:t>
      </w:r>
      <w:r w:rsidRPr="008278A4">
        <w:rPr>
          <w:rFonts w:asciiTheme="majorBidi" w:hAnsiTheme="majorBidi" w:cstheme="majorBidi"/>
        </w:rPr>
        <w:t>functions of a mediation institution by administering</w:t>
      </w:r>
      <w:r w:rsidR="00F300F1">
        <w:rPr>
          <w:rFonts w:asciiTheme="majorBidi" w:hAnsiTheme="majorBidi" w:cstheme="majorBidi"/>
        </w:rPr>
        <w:t xml:space="preserve"> and</w:t>
      </w:r>
      <w:r w:rsidRPr="008278A4">
        <w:rPr>
          <w:rFonts w:asciiTheme="majorBidi" w:hAnsiTheme="majorBidi" w:cstheme="majorBidi"/>
        </w:rPr>
        <w:t xml:space="preserve"> facilitating mediation.</w:t>
      </w:r>
      <w:r w:rsidRPr="008C3C79">
        <w:rPr>
          <w:rFonts w:asciiTheme="majorBidi" w:hAnsiTheme="majorBidi" w:cstheme="majorBidi"/>
        </w:rPr>
        <w:t xml:space="preserve"> Such services are however already </w:t>
      </w:r>
      <w:r>
        <w:t xml:space="preserve">partly and regionally </w:t>
      </w:r>
      <w:r w:rsidRPr="008C3C79">
        <w:rPr>
          <w:rFonts w:asciiTheme="majorBidi" w:hAnsiTheme="majorBidi" w:cstheme="majorBidi"/>
        </w:rPr>
        <w:t xml:space="preserve">available or are currently </w:t>
      </w:r>
      <w:r w:rsidR="00876831">
        <w:rPr>
          <w:rFonts w:asciiTheme="majorBidi" w:hAnsiTheme="majorBidi" w:cstheme="majorBidi"/>
        </w:rPr>
        <w:t xml:space="preserve">being </w:t>
      </w:r>
      <w:r w:rsidRPr="008C3C79">
        <w:rPr>
          <w:rFonts w:asciiTheme="majorBidi" w:hAnsiTheme="majorBidi" w:cstheme="majorBidi"/>
        </w:rPr>
        <w:t xml:space="preserve">developed. </w:t>
      </w:r>
      <w:r>
        <w:rPr>
          <w:rFonts w:asciiTheme="majorBidi" w:hAnsiTheme="majorBidi" w:cstheme="majorBidi"/>
        </w:rPr>
        <w:t xml:space="preserve">For example, in the area of </w:t>
      </w:r>
      <w:r>
        <w:rPr>
          <w:rFonts w:asciiTheme="majorBidi" w:hAnsiTheme="majorBidi" w:cstheme="majorBidi"/>
        </w:rPr>
        <w:lastRenderedPageBreak/>
        <w:t xml:space="preserve">energy disputes within the European Union and candidate States, the </w:t>
      </w:r>
      <w:r w:rsidRPr="00791494">
        <w:rPr>
          <w:rFonts w:asciiTheme="majorBidi" w:hAnsiTheme="majorBidi" w:cstheme="majorBidi"/>
        </w:rPr>
        <w:t>Energy Community Secretariat's Dispute Resolution and Negotiation Centre</w:t>
      </w:r>
      <w:r>
        <w:rPr>
          <w:rFonts w:asciiTheme="majorBidi" w:hAnsiTheme="majorBidi" w:cstheme="majorBidi"/>
        </w:rPr>
        <w:t xml:space="preserve"> foresees such type of services. Likewise, t</w:t>
      </w:r>
      <w:r w:rsidRPr="008C3C79">
        <w:rPr>
          <w:rFonts w:asciiTheme="majorBidi" w:hAnsiTheme="majorBidi" w:cstheme="majorBidi"/>
        </w:rPr>
        <w:t xml:space="preserve">he newly drafted ICSID mediation rules are open to any States, without </w:t>
      </w:r>
      <w:r w:rsidR="00F300F1">
        <w:rPr>
          <w:rFonts w:asciiTheme="majorBidi" w:hAnsiTheme="majorBidi" w:cstheme="majorBidi"/>
        </w:rPr>
        <w:t>the pre-requisite of being a Party</w:t>
      </w:r>
      <w:r w:rsidRPr="008C3C79">
        <w:rPr>
          <w:rFonts w:asciiTheme="majorBidi" w:hAnsiTheme="majorBidi" w:cstheme="majorBidi"/>
        </w:rPr>
        <w:t xml:space="preserve"> to the ICSID Convention. </w:t>
      </w:r>
    </w:p>
    <w:p w14:paraId="36C16481" w14:textId="1C6EEAD7" w:rsidR="00302A12" w:rsidRDefault="00302A12" w:rsidP="00302A12">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In option </w:t>
      </w:r>
      <w:r w:rsidR="00465282">
        <w:rPr>
          <w:rFonts w:asciiTheme="majorBidi" w:hAnsiTheme="majorBidi" w:cstheme="majorBidi"/>
        </w:rPr>
        <w:t>2</w:t>
      </w:r>
      <w:r w:rsidRPr="008C3C79">
        <w:rPr>
          <w:rFonts w:asciiTheme="majorBidi" w:hAnsiTheme="majorBidi" w:cstheme="majorBidi"/>
        </w:rPr>
        <w:t xml:space="preserve">, the centre would provide </w:t>
      </w:r>
      <w:r w:rsidRPr="008278A4">
        <w:rPr>
          <w:rFonts w:asciiTheme="majorBidi" w:hAnsiTheme="majorBidi" w:cstheme="majorBidi"/>
        </w:rPr>
        <w:t xml:space="preserve">advisory services to </w:t>
      </w:r>
      <w:r w:rsidR="00F300F1">
        <w:rPr>
          <w:rFonts w:asciiTheme="majorBidi" w:hAnsiTheme="majorBidi" w:cstheme="majorBidi"/>
        </w:rPr>
        <w:t xml:space="preserve">the </w:t>
      </w:r>
      <w:r w:rsidR="00EF36BA">
        <w:rPr>
          <w:rFonts w:asciiTheme="majorBidi" w:hAnsiTheme="majorBidi" w:cstheme="majorBidi"/>
        </w:rPr>
        <w:t>b</w:t>
      </w:r>
      <w:r w:rsidR="00F300F1">
        <w:rPr>
          <w:rFonts w:asciiTheme="majorBidi" w:hAnsiTheme="majorBidi" w:cstheme="majorBidi"/>
        </w:rPr>
        <w:t>eneficiaries</w:t>
      </w:r>
      <w:r w:rsidRPr="008C3C79">
        <w:rPr>
          <w:rFonts w:asciiTheme="majorBidi" w:hAnsiTheme="majorBidi" w:cstheme="majorBidi"/>
        </w:rPr>
        <w:t xml:space="preserve">. Such services would include an assessment of the strengths and weaknesses of a case on a prima facie basis, </w:t>
      </w:r>
      <w:r w:rsidR="00EF36BA">
        <w:rPr>
          <w:rFonts w:asciiTheme="majorBidi" w:hAnsiTheme="majorBidi" w:cstheme="majorBidi"/>
        </w:rPr>
        <w:t xml:space="preserve">and </w:t>
      </w:r>
      <w:r w:rsidRPr="008C3C79">
        <w:rPr>
          <w:rFonts w:asciiTheme="majorBidi" w:hAnsiTheme="majorBidi" w:cstheme="majorBidi"/>
        </w:rPr>
        <w:t xml:space="preserve">identification of the strategy and course of action to adopt, </w:t>
      </w:r>
      <w:r w:rsidR="008C6448">
        <w:rPr>
          <w:rFonts w:asciiTheme="majorBidi" w:hAnsiTheme="majorBidi" w:cstheme="majorBidi"/>
        </w:rPr>
        <w:t>such as</w:t>
      </w:r>
      <w:r w:rsidR="00876831" w:rsidRPr="008C3C79">
        <w:rPr>
          <w:rFonts w:asciiTheme="majorBidi" w:hAnsiTheme="majorBidi" w:cstheme="majorBidi"/>
        </w:rPr>
        <w:t xml:space="preserve"> </w:t>
      </w:r>
      <w:r w:rsidRPr="008C3C79">
        <w:rPr>
          <w:rFonts w:asciiTheme="majorBidi" w:hAnsiTheme="majorBidi" w:cstheme="majorBidi"/>
        </w:rPr>
        <w:t xml:space="preserve">whether </w:t>
      </w:r>
      <w:r w:rsidR="008C6448">
        <w:rPr>
          <w:rFonts w:asciiTheme="majorBidi" w:hAnsiTheme="majorBidi" w:cstheme="majorBidi"/>
        </w:rPr>
        <w:t xml:space="preserve">mediation </w:t>
      </w:r>
      <w:r w:rsidRPr="008C3C79">
        <w:rPr>
          <w:rFonts w:asciiTheme="majorBidi" w:hAnsiTheme="majorBidi" w:cstheme="majorBidi"/>
        </w:rPr>
        <w:t xml:space="preserve">might be an option </w:t>
      </w:r>
      <w:r w:rsidR="008C6448" w:rsidRPr="008C3C79">
        <w:rPr>
          <w:rFonts w:asciiTheme="majorBidi" w:hAnsiTheme="majorBidi" w:cstheme="majorBidi"/>
        </w:rPr>
        <w:t>and</w:t>
      </w:r>
      <w:r w:rsidR="008C6448">
        <w:rPr>
          <w:rFonts w:asciiTheme="majorBidi" w:hAnsiTheme="majorBidi" w:cstheme="majorBidi"/>
        </w:rPr>
        <w:t xml:space="preserve"> how </w:t>
      </w:r>
      <w:r w:rsidRPr="008C3C79">
        <w:rPr>
          <w:rFonts w:asciiTheme="majorBidi" w:hAnsiTheme="majorBidi" w:cstheme="majorBidi"/>
        </w:rPr>
        <w:t xml:space="preserve">to properly prepare for the mediation procedure, including counselling the </w:t>
      </w:r>
      <w:r w:rsidR="00EF36BA">
        <w:rPr>
          <w:rFonts w:asciiTheme="majorBidi" w:hAnsiTheme="majorBidi" w:cstheme="majorBidi"/>
        </w:rPr>
        <w:t>b</w:t>
      </w:r>
      <w:r w:rsidR="00F300F1">
        <w:rPr>
          <w:rFonts w:asciiTheme="majorBidi" w:hAnsiTheme="majorBidi" w:cstheme="majorBidi"/>
        </w:rPr>
        <w:t>eneficiary</w:t>
      </w:r>
      <w:r w:rsidRPr="008C3C79">
        <w:rPr>
          <w:rFonts w:asciiTheme="majorBidi" w:hAnsiTheme="majorBidi" w:cstheme="majorBidi"/>
        </w:rPr>
        <w:t xml:space="preserve"> during the mediation</w:t>
      </w:r>
      <w:r w:rsidR="00113AFE">
        <w:rPr>
          <w:rFonts w:asciiTheme="majorBidi" w:hAnsiTheme="majorBidi" w:cstheme="majorBidi"/>
        </w:rPr>
        <w:t>.</w:t>
      </w:r>
    </w:p>
    <w:p w14:paraId="6633FB5E" w14:textId="6FEE840D" w:rsidR="00150299" w:rsidRDefault="00150299" w:rsidP="00302A12">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In option 3, the centre would represent and assist the State in mediation. Such option, if retained, could be also merged under draft provision 2(c) below.</w:t>
      </w:r>
    </w:p>
    <w:p w14:paraId="2C4CE128" w14:textId="6328C1EC" w:rsidR="009B7F95" w:rsidRPr="008C3C79" w:rsidRDefault="009B7F95" w:rsidP="00302A12">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In addition to those services, the centre might also act as a platform for exchange of experience and expertise in that field, as provided for under draft provision 1(c)(ii).</w:t>
      </w:r>
    </w:p>
    <w:p w14:paraId="77EBF193" w14:textId="6D47BB19" w:rsidR="00465282" w:rsidRDefault="00280223" w:rsidP="00D56BCD">
      <w:pPr>
        <w:pStyle w:val="SingleTxt"/>
        <w:tabs>
          <w:tab w:val="clear" w:pos="1742"/>
          <w:tab w:val="left" w:pos="709"/>
          <w:tab w:val="left" w:pos="2127"/>
        </w:tabs>
        <w:ind w:left="1642" w:firstLine="154"/>
        <w:rPr>
          <w:rFonts w:asciiTheme="majorBidi" w:hAnsiTheme="majorBidi" w:cstheme="majorBidi"/>
          <w:b/>
          <w:bCs/>
        </w:rPr>
      </w:pPr>
      <w:r w:rsidRPr="00001006">
        <w:rPr>
          <w:rFonts w:asciiTheme="majorBidi" w:hAnsiTheme="majorBidi" w:cstheme="majorBidi"/>
          <w:b/>
          <w:bCs/>
        </w:rPr>
        <w:t>3</w:t>
      </w:r>
      <w:r w:rsidR="00A72D48" w:rsidRPr="00001006">
        <w:rPr>
          <w:rFonts w:asciiTheme="majorBidi" w:hAnsiTheme="majorBidi" w:cstheme="majorBidi"/>
          <w:b/>
          <w:bCs/>
        </w:rPr>
        <w:t xml:space="preserve">. </w:t>
      </w:r>
      <w:r w:rsidR="00150299">
        <w:rPr>
          <w:rFonts w:asciiTheme="majorBidi" w:hAnsiTheme="majorBidi" w:cstheme="majorBidi"/>
          <w:b/>
          <w:bCs/>
        </w:rPr>
        <w:t xml:space="preserve">Representation </w:t>
      </w:r>
      <w:r w:rsidR="00FA49C8">
        <w:rPr>
          <w:rFonts w:asciiTheme="majorBidi" w:hAnsiTheme="majorBidi" w:cstheme="majorBidi"/>
          <w:b/>
          <w:bCs/>
        </w:rPr>
        <w:t xml:space="preserve">and assistance </w:t>
      </w:r>
      <w:r w:rsidR="00302A12" w:rsidRPr="00001006">
        <w:rPr>
          <w:rFonts w:asciiTheme="majorBidi" w:hAnsiTheme="majorBidi" w:cstheme="majorBidi"/>
          <w:b/>
          <w:bCs/>
        </w:rPr>
        <w:t>services</w:t>
      </w:r>
      <w:r w:rsidR="00FA49C8">
        <w:rPr>
          <w:rFonts w:asciiTheme="majorBidi" w:hAnsiTheme="majorBidi" w:cstheme="majorBidi"/>
          <w:b/>
          <w:bCs/>
        </w:rPr>
        <w:t xml:space="preserve"> in ISDS</w:t>
      </w:r>
    </w:p>
    <w:p w14:paraId="1EF77473" w14:textId="30EE3A9D" w:rsidR="00465282" w:rsidRDefault="00465282" w:rsidP="00465282">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465282">
        <w:rPr>
          <w:rFonts w:asciiTheme="majorBidi" w:hAnsiTheme="majorBidi" w:cstheme="majorBidi"/>
        </w:rPr>
        <w:t xml:space="preserve">The Working Group may wish to consider the following draft provision </w:t>
      </w:r>
      <w:r>
        <w:rPr>
          <w:rFonts w:asciiTheme="majorBidi" w:hAnsiTheme="majorBidi" w:cstheme="majorBidi"/>
        </w:rPr>
        <w:t xml:space="preserve">2(c) regarding the services of </w:t>
      </w:r>
      <w:r w:rsidR="00FA49C8">
        <w:rPr>
          <w:rFonts w:asciiTheme="majorBidi" w:hAnsiTheme="majorBidi" w:cstheme="majorBidi"/>
        </w:rPr>
        <w:t xml:space="preserve">representation and </w:t>
      </w:r>
      <w:r>
        <w:rPr>
          <w:rFonts w:asciiTheme="majorBidi" w:hAnsiTheme="majorBidi" w:cstheme="majorBidi"/>
        </w:rPr>
        <w:t>assistance in ISDS defence.</w:t>
      </w:r>
    </w:p>
    <w:p w14:paraId="72A18397" w14:textId="38A794A6" w:rsidR="00465282" w:rsidRPr="00FA15DF" w:rsidRDefault="00465282" w:rsidP="00465282">
      <w:pPr>
        <w:pStyle w:val="SingleTxt"/>
        <w:tabs>
          <w:tab w:val="clear" w:pos="1742"/>
          <w:tab w:val="clear" w:pos="2218"/>
          <w:tab w:val="left" w:pos="1701"/>
        </w:tabs>
        <w:ind w:left="1296"/>
        <w:rPr>
          <w:rFonts w:asciiTheme="majorBidi" w:hAnsiTheme="majorBidi" w:cstheme="majorBidi"/>
          <w:b/>
          <w:bCs/>
          <w:i/>
          <w:iCs/>
        </w:rPr>
      </w:pPr>
      <w:r w:rsidRPr="00FA15DF">
        <w:rPr>
          <w:rFonts w:asciiTheme="majorBidi" w:hAnsiTheme="majorBidi" w:cstheme="majorBidi"/>
          <w:b/>
          <w:bCs/>
          <w:i/>
          <w:iCs/>
        </w:rPr>
        <w:t>Draft provision 2(</w:t>
      </w:r>
      <w:r>
        <w:rPr>
          <w:rFonts w:asciiTheme="majorBidi" w:hAnsiTheme="majorBidi" w:cstheme="majorBidi"/>
          <w:b/>
          <w:bCs/>
          <w:i/>
          <w:iCs/>
        </w:rPr>
        <w:t>c</w:t>
      </w:r>
      <w:r w:rsidRPr="00FA15DF">
        <w:rPr>
          <w:rFonts w:asciiTheme="majorBidi" w:hAnsiTheme="majorBidi" w:cstheme="majorBidi"/>
          <w:b/>
          <w:bCs/>
          <w:i/>
          <w:iCs/>
        </w:rPr>
        <w:t>)</w:t>
      </w:r>
    </w:p>
    <w:p w14:paraId="163B131B" w14:textId="7065DE68" w:rsidR="00465282" w:rsidRPr="008C3C79" w:rsidRDefault="00465282" w:rsidP="00465282">
      <w:pPr>
        <w:pStyle w:val="SingleTxt"/>
        <w:tabs>
          <w:tab w:val="clear" w:pos="1267"/>
          <w:tab w:val="left" w:pos="709"/>
          <w:tab w:val="left" w:pos="1701"/>
          <w:tab w:val="left" w:pos="2127"/>
        </w:tabs>
        <w:ind w:left="1644"/>
        <w:rPr>
          <w:rFonts w:asciiTheme="majorBidi" w:hAnsiTheme="majorBidi" w:cstheme="majorBidi"/>
          <w:i/>
          <w:iCs/>
        </w:rPr>
      </w:pPr>
      <w:r>
        <w:rPr>
          <w:rFonts w:asciiTheme="majorBidi" w:hAnsiTheme="majorBidi" w:cstheme="majorBidi"/>
          <w:i/>
          <w:iCs/>
        </w:rPr>
        <w:t>[2. T</w:t>
      </w:r>
      <w:r w:rsidRPr="008C3C79">
        <w:rPr>
          <w:rFonts w:asciiTheme="majorBidi" w:hAnsiTheme="majorBidi" w:cstheme="majorBidi"/>
          <w:i/>
          <w:iCs/>
        </w:rPr>
        <w:t>he Centre shall</w:t>
      </w:r>
      <w:r>
        <w:rPr>
          <w:rFonts w:asciiTheme="majorBidi" w:hAnsiTheme="majorBidi" w:cstheme="majorBidi"/>
          <w:i/>
          <w:iCs/>
        </w:rPr>
        <w:t xml:space="preserve"> provide the following services</w:t>
      </w:r>
      <w:r w:rsidRPr="008C3C79">
        <w:rPr>
          <w:rFonts w:asciiTheme="majorBidi" w:hAnsiTheme="majorBidi" w:cstheme="majorBidi"/>
          <w:i/>
          <w:iCs/>
        </w:rPr>
        <w:t>:</w:t>
      </w:r>
      <w:r>
        <w:rPr>
          <w:rFonts w:asciiTheme="majorBidi" w:hAnsiTheme="majorBidi" w:cstheme="majorBidi"/>
          <w:i/>
          <w:iCs/>
        </w:rPr>
        <w:t>]</w:t>
      </w:r>
    </w:p>
    <w:p w14:paraId="1EAF5EE6" w14:textId="7E98A764" w:rsidR="00465282" w:rsidRPr="008716A0" w:rsidRDefault="00465282" w:rsidP="00465282">
      <w:pPr>
        <w:pStyle w:val="SingleTxt"/>
        <w:tabs>
          <w:tab w:val="left" w:pos="709"/>
          <w:tab w:val="left" w:pos="1701"/>
          <w:tab w:val="left" w:pos="2127"/>
        </w:tabs>
        <w:ind w:left="2952"/>
        <w:rPr>
          <w:rFonts w:asciiTheme="majorBidi" w:hAnsiTheme="majorBidi" w:cstheme="majorBidi"/>
          <w:i/>
          <w:iCs/>
        </w:rPr>
      </w:pPr>
      <w:r>
        <w:rPr>
          <w:rFonts w:asciiTheme="majorBidi" w:hAnsiTheme="majorBidi" w:cstheme="majorBidi"/>
          <w:i/>
          <w:iCs/>
        </w:rPr>
        <w:t xml:space="preserve">c) </w:t>
      </w:r>
      <w:r w:rsidR="00FA49C8">
        <w:rPr>
          <w:rFonts w:asciiTheme="majorBidi" w:hAnsiTheme="majorBidi" w:cstheme="majorBidi"/>
          <w:i/>
          <w:iCs/>
        </w:rPr>
        <w:t>Assistance to</w:t>
      </w:r>
      <w:r w:rsidRPr="00B7534B">
        <w:rPr>
          <w:rFonts w:asciiTheme="majorBidi" w:hAnsiTheme="majorBidi" w:cstheme="majorBidi"/>
          <w:i/>
          <w:iCs/>
        </w:rPr>
        <w:t xml:space="preserve"> State </w:t>
      </w:r>
      <w:r>
        <w:rPr>
          <w:rFonts w:asciiTheme="majorBidi" w:hAnsiTheme="majorBidi" w:cstheme="majorBidi"/>
          <w:i/>
          <w:iCs/>
        </w:rPr>
        <w:t>Beneficiaries</w:t>
      </w:r>
      <w:r w:rsidRPr="00B7534B">
        <w:rPr>
          <w:rFonts w:asciiTheme="majorBidi" w:hAnsiTheme="majorBidi" w:cstheme="majorBidi"/>
          <w:i/>
          <w:iCs/>
        </w:rPr>
        <w:t xml:space="preserve"> in investor-State dispute settlement proceedings, which includes:</w:t>
      </w:r>
      <w:r w:rsidRPr="008716A0">
        <w:rPr>
          <w:i/>
          <w:iCs/>
        </w:rPr>
        <w:t xml:space="preserve"> </w:t>
      </w:r>
    </w:p>
    <w:p w14:paraId="4E7C3C15" w14:textId="0EB75126" w:rsidR="00FA49C8" w:rsidRDefault="00465282" w:rsidP="00465282">
      <w:pPr>
        <w:pStyle w:val="SingleTxt"/>
        <w:tabs>
          <w:tab w:val="left" w:pos="709"/>
          <w:tab w:val="left" w:pos="1701"/>
          <w:tab w:val="left" w:pos="2127"/>
        </w:tabs>
        <w:ind w:left="3231"/>
        <w:rPr>
          <w:i/>
          <w:iCs/>
        </w:rPr>
      </w:pPr>
      <w:r w:rsidRPr="008716A0">
        <w:rPr>
          <w:i/>
          <w:iCs/>
        </w:rPr>
        <w:t xml:space="preserve">(i) </w:t>
      </w:r>
      <w:r w:rsidR="00FA49C8">
        <w:rPr>
          <w:i/>
          <w:iCs/>
        </w:rPr>
        <w:t xml:space="preserve">Representation of State beneficiaries </w:t>
      </w:r>
      <w:r w:rsidR="00FA49C8" w:rsidRPr="00B7534B">
        <w:rPr>
          <w:rFonts w:asciiTheme="majorBidi" w:hAnsiTheme="majorBidi" w:cstheme="majorBidi"/>
          <w:i/>
          <w:iCs/>
        </w:rPr>
        <w:t>before any international forum and under any procedural rules</w:t>
      </w:r>
      <w:r w:rsidR="00FA49C8">
        <w:rPr>
          <w:i/>
          <w:iCs/>
        </w:rPr>
        <w:t>, including</w:t>
      </w:r>
      <w:r w:rsidR="00FA49C8" w:rsidRPr="00FA49C8">
        <w:rPr>
          <w:i/>
          <w:iCs/>
        </w:rPr>
        <w:t xml:space="preserve"> </w:t>
      </w:r>
      <w:r w:rsidR="00FA49C8" w:rsidRPr="00726882">
        <w:rPr>
          <w:i/>
          <w:iCs/>
        </w:rPr>
        <w:t xml:space="preserve">jointly </w:t>
      </w:r>
      <w:r w:rsidR="00FA49C8">
        <w:rPr>
          <w:i/>
          <w:iCs/>
        </w:rPr>
        <w:t>with</w:t>
      </w:r>
      <w:r w:rsidR="00FA49C8" w:rsidRPr="00726882">
        <w:rPr>
          <w:i/>
          <w:iCs/>
        </w:rPr>
        <w:t xml:space="preserve"> the </w:t>
      </w:r>
      <w:r w:rsidR="008771CF" w:rsidRPr="00726882">
        <w:rPr>
          <w:i/>
          <w:iCs/>
        </w:rPr>
        <w:t>defence</w:t>
      </w:r>
      <w:r w:rsidR="00FA49C8" w:rsidRPr="00726882">
        <w:rPr>
          <w:i/>
          <w:iCs/>
        </w:rPr>
        <w:t xml:space="preserve"> team</w:t>
      </w:r>
      <w:r w:rsidR="00FA49C8" w:rsidRPr="00FA49C8">
        <w:rPr>
          <w:i/>
          <w:iCs/>
        </w:rPr>
        <w:t xml:space="preserve"> </w:t>
      </w:r>
      <w:r w:rsidR="00FA49C8" w:rsidRPr="00AB3369">
        <w:rPr>
          <w:i/>
          <w:iCs/>
        </w:rPr>
        <w:t>the State Beneficiary</w:t>
      </w:r>
      <w:r w:rsidR="00FA49C8" w:rsidRPr="00FA49C8">
        <w:rPr>
          <w:i/>
          <w:iCs/>
        </w:rPr>
        <w:t xml:space="preserve"> </w:t>
      </w:r>
      <w:r w:rsidR="00FA49C8">
        <w:rPr>
          <w:i/>
          <w:iCs/>
        </w:rPr>
        <w:t>where so requested by such Beneficiary;</w:t>
      </w:r>
    </w:p>
    <w:p w14:paraId="0E024366" w14:textId="13B5A79D" w:rsidR="00465282" w:rsidRDefault="00FA49C8" w:rsidP="00465282">
      <w:pPr>
        <w:pStyle w:val="SingleTxt"/>
        <w:tabs>
          <w:tab w:val="left" w:pos="709"/>
          <w:tab w:val="left" w:pos="1701"/>
          <w:tab w:val="left" w:pos="2127"/>
        </w:tabs>
        <w:ind w:left="3231"/>
        <w:rPr>
          <w:i/>
          <w:iCs/>
        </w:rPr>
      </w:pPr>
      <w:r>
        <w:rPr>
          <w:i/>
          <w:iCs/>
        </w:rPr>
        <w:t xml:space="preserve">(ii) </w:t>
      </w:r>
      <w:r w:rsidR="00465282">
        <w:rPr>
          <w:i/>
          <w:iCs/>
        </w:rPr>
        <w:t>A</w:t>
      </w:r>
      <w:r w:rsidR="00465282" w:rsidRPr="008716A0">
        <w:rPr>
          <w:i/>
          <w:iCs/>
        </w:rPr>
        <w:t xml:space="preserve">ssistance </w:t>
      </w:r>
      <w:r>
        <w:rPr>
          <w:i/>
          <w:iCs/>
        </w:rPr>
        <w:t xml:space="preserve">and support </w:t>
      </w:r>
      <w:r w:rsidR="00465282" w:rsidRPr="008716A0">
        <w:rPr>
          <w:i/>
          <w:iCs/>
        </w:rPr>
        <w:t>in organizing the defence, including for</w:t>
      </w:r>
      <w:r w:rsidR="00465282" w:rsidRPr="00B7534B">
        <w:rPr>
          <w:i/>
          <w:iCs/>
        </w:rPr>
        <w:t xml:space="preserve">: </w:t>
      </w:r>
    </w:p>
    <w:p w14:paraId="403F6C79" w14:textId="5049FE96" w:rsidR="00465282" w:rsidRDefault="00465282" w:rsidP="00465282">
      <w:pPr>
        <w:pStyle w:val="SingleTxt"/>
        <w:tabs>
          <w:tab w:val="left" w:pos="709"/>
          <w:tab w:val="left" w:pos="1701"/>
          <w:tab w:val="left" w:pos="2127"/>
        </w:tabs>
        <w:ind w:left="3515"/>
        <w:rPr>
          <w:i/>
          <w:iCs/>
        </w:rPr>
      </w:pPr>
      <w:r>
        <w:rPr>
          <w:i/>
          <w:iCs/>
        </w:rPr>
        <w:t>-</w:t>
      </w:r>
      <w:r w:rsidRPr="008716A0">
        <w:rPr>
          <w:i/>
          <w:iCs/>
        </w:rPr>
        <w:t xml:space="preserve"> </w:t>
      </w:r>
      <w:r>
        <w:rPr>
          <w:i/>
          <w:iCs/>
        </w:rPr>
        <w:t>T</w:t>
      </w:r>
      <w:r w:rsidRPr="008716A0">
        <w:rPr>
          <w:i/>
          <w:iCs/>
        </w:rPr>
        <w:t xml:space="preserve">he preparation of the defence of investment disputes; </w:t>
      </w:r>
    </w:p>
    <w:p w14:paraId="48DFE3BD" w14:textId="62C05825" w:rsidR="00465282" w:rsidRDefault="00465282" w:rsidP="00465282">
      <w:pPr>
        <w:pStyle w:val="SingleTxt"/>
        <w:tabs>
          <w:tab w:val="left" w:pos="709"/>
          <w:tab w:val="left" w:pos="1701"/>
          <w:tab w:val="left" w:pos="2127"/>
        </w:tabs>
        <w:ind w:left="3515"/>
        <w:rPr>
          <w:i/>
          <w:iCs/>
        </w:rPr>
      </w:pPr>
      <w:r>
        <w:rPr>
          <w:i/>
          <w:iCs/>
        </w:rPr>
        <w:t>-</w:t>
      </w:r>
      <w:r w:rsidRPr="008716A0">
        <w:rPr>
          <w:i/>
          <w:iCs/>
        </w:rPr>
        <w:t xml:space="preserve"> </w:t>
      </w:r>
      <w:r>
        <w:rPr>
          <w:i/>
          <w:iCs/>
        </w:rPr>
        <w:t>T</w:t>
      </w:r>
      <w:r w:rsidRPr="008716A0">
        <w:rPr>
          <w:i/>
          <w:iCs/>
        </w:rPr>
        <w:t xml:space="preserve">he early assessment of the risks associated with a given claim, so as to permit identification of the strategy and course of action to adopt; </w:t>
      </w:r>
    </w:p>
    <w:p w14:paraId="2EC04FF9" w14:textId="415AB17F" w:rsidR="00465282" w:rsidRDefault="00465282" w:rsidP="00465282">
      <w:pPr>
        <w:pStyle w:val="SingleTxt"/>
        <w:tabs>
          <w:tab w:val="left" w:pos="709"/>
          <w:tab w:val="left" w:pos="1701"/>
          <w:tab w:val="left" w:pos="2127"/>
        </w:tabs>
        <w:ind w:left="3515"/>
        <w:rPr>
          <w:i/>
          <w:iCs/>
        </w:rPr>
      </w:pPr>
      <w:r>
        <w:rPr>
          <w:i/>
          <w:iCs/>
        </w:rPr>
        <w:t>-</w:t>
      </w:r>
      <w:r w:rsidRPr="008716A0">
        <w:rPr>
          <w:i/>
          <w:iCs/>
        </w:rPr>
        <w:t xml:space="preserve"> </w:t>
      </w:r>
      <w:r>
        <w:rPr>
          <w:i/>
          <w:iCs/>
        </w:rPr>
        <w:t>T</w:t>
      </w:r>
      <w:r w:rsidRPr="008716A0">
        <w:rPr>
          <w:i/>
          <w:iCs/>
        </w:rPr>
        <w:t>he determination of the financial implications and earmarking of a budget for the defence of a case;</w:t>
      </w:r>
      <w:r>
        <w:rPr>
          <w:i/>
          <w:iCs/>
        </w:rPr>
        <w:t xml:space="preserve"> </w:t>
      </w:r>
    </w:p>
    <w:p w14:paraId="5E724EA2" w14:textId="075F3B0E" w:rsidR="00465282" w:rsidRDefault="00465282" w:rsidP="00465282">
      <w:pPr>
        <w:pStyle w:val="SingleTxt"/>
        <w:tabs>
          <w:tab w:val="left" w:pos="709"/>
          <w:tab w:val="left" w:pos="1701"/>
          <w:tab w:val="left" w:pos="2127"/>
        </w:tabs>
        <w:ind w:left="3458"/>
        <w:rPr>
          <w:i/>
          <w:iCs/>
        </w:rPr>
      </w:pPr>
      <w:r>
        <w:rPr>
          <w:i/>
          <w:iCs/>
        </w:rPr>
        <w:t>-</w:t>
      </w:r>
      <w:r w:rsidRPr="00B7534B">
        <w:rPr>
          <w:i/>
          <w:iCs/>
        </w:rPr>
        <w:t xml:space="preserve"> </w:t>
      </w:r>
      <w:r>
        <w:rPr>
          <w:i/>
          <w:iCs/>
        </w:rPr>
        <w:t>T</w:t>
      </w:r>
      <w:r w:rsidRPr="00B7534B">
        <w:rPr>
          <w:i/>
          <w:iCs/>
        </w:rPr>
        <w:t xml:space="preserve">he </w:t>
      </w:r>
      <w:r w:rsidRPr="008716A0">
        <w:rPr>
          <w:i/>
          <w:iCs/>
        </w:rPr>
        <w:t>selection and appointment of arbitrators/adjudicators;</w:t>
      </w:r>
      <w:r>
        <w:rPr>
          <w:i/>
          <w:iCs/>
        </w:rPr>
        <w:t xml:space="preserve"> </w:t>
      </w:r>
    </w:p>
    <w:p w14:paraId="7F3627B2" w14:textId="3F4FB2C9" w:rsidR="00465282" w:rsidRDefault="00465282" w:rsidP="00465282">
      <w:pPr>
        <w:pStyle w:val="SingleTxt"/>
        <w:tabs>
          <w:tab w:val="left" w:pos="709"/>
          <w:tab w:val="left" w:pos="1701"/>
          <w:tab w:val="left" w:pos="2127"/>
        </w:tabs>
        <w:ind w:left="3458"/>
        <w:rPr>
          <w:i/>
          <w:iCs/>
        </w:rPr>
      </w:pPr>
      <w:r>
        <w:rPr>
          <w:i/>
          <w:iCs/>
        </w:rPr>
        <w:t>-</w:t>
      </w:r>
      <w:r w:rsidRPr="008716A0">
        <w:rPr>
          <w:i/>
          <w:iCs/>
        </w:rPr>
        <w:t xml:space="preserve"> </w:t>
      </w:r>
      <w:r>
        <w:rPr>
          <w:i/>
          <w:iCs/>
        </w:rPr>
        <w:t xml:space="preserve">The preparation of </w:t>
      </w:r>
      <w:r w:rsidRPr="008716A0">
        <w:rPr>
          <w:i/>
          <w:iCs/>
        </w:rPr>
        <w:t>written statements, and documentary evidence; and</w:t>
      </w:r>
      <w:r>
        <w:rPr>
          <w:i/>
          <w:iCs/>
        </w:rPr>
        <w:t xml:space="preserve"> </w:t>
      </w:r>
    </w:p>
    <w:p w14:paraId="3124897D" w14:textId="47AF7DB5" w:rsidR="00465282" w:rsidRPr="00B7534B" w:rsidRDefault="00465282" w:rsidP="00465282">
      <w:pPr>
        <w:pStyle w:val="SingleTxt"/>
        <w:tabs>
          <w:tab w:val="left" w:pos="709"/>
          <w:tab w:val="left" w:pos="1701"/>
          <w:tab w:val="left" w:pos="2127"/>
        </w:tabs>
        <w:ind w:left="3458"/>
        <w:rPr>
          <w:rFonts w:asciiTheme="majorBidi" w:hAnsiTheme="majorBidi" w:cstheme="majorBidi"/>
          <w:i/>
          <w:iCs/>
        </w:rPr>
      </w:pPr>
      <w:r>
        <w:rPr>
          <w:i/>
          <w:iCs/>
        </w:rPr>
        <w:t>- Technical support on substantial and procedural conduct of ISDS.</w:t>
      </w:r>
      <w:r w:rsidRPr="00B7534B">
        <w:rPr>
          <w:rFonts w:asciiTheme="majorBidi" w:hAnsiTheme="majorBidi" w:cstheme="majorBidi"/>
          <w:i/>
          <w:iCs/>
        </w:rPr>
        <w:t xml:space="preserve"> </w:t>
      </w:r>
    </w:p>
    <w:p w14:paraId="19F9CE51" w14:textId="274B3BE3" w:rsidR="00302A12" w:rsidRPr="00465282" w:rsidRDefault="00302A12" w:rsidP="00465282">
      <w:pPr>
        <w:pStyle w:val="SingleTxt"/>
        <w:tabs>
          <w:tab w:val="clear" w:pos="1742"/>
          <w:tab w:val="clear" w:pos="2218"/>
          <w:tab w:val="left" w:pos="1701"/>
        </w:tabs>
        <w:ind w:left="1276"/>
        <w:rPr>
          <w:rFonts w:asciiTheme="majorBidi" w:hAnsiTheme="majorBidi" w:cstheme="majorBidi"/>
          <w:b/>
          <w:bCs/>
          <w:i/>
          <w:iCs/>
        </w:rPr>
      </w:pPr>
      <w:r w:rsidRPr="00465282">
        <w:rPr>
          <w:rFonts w:asciiTheme="majorBidi" w:hAnsiTheme="majorBidi" w:cstheme="majorBidi"/>
          <w:b/>
          <w:bCs/>
          <w:i/>
          <w:iCs/>
        </w:rPr>
        <w:t xml:space="preserve"> </w:t>
      </w:r>
      <w:r w:rsidR="00465282" w:rsidRPr="00465282">
        <w:rPr>
          <w:rFonts w:asciiTheme="majorBidi" w:hAnsiTheme="majorBidi" w:cstheme="majorBidi"/>
          <w:b/>
          <w:bCs/>
          <w:i/>
          <w:iCs/>
        </w:rPr>
        <w:t>Comments</w:t>
      </w:r>
    </w:p>
    <w:p w14:paraId="552C3C47" w14:textId="60358B4B" w:rsidR="00CA518D" w:rsidRPr="00CA518D" w:rsidRDefault="00CA518D" w:rsidP="00CA518D">
      <w:pPr>
        <w:pStyle w:val="SingleTxt"/>
        <w:numPr>
          <w:ilvl w:val="2"/>
          <w:numId w:val="15"/>
        </w:numPr>
        <w:tabs>
          <w:tab w:val="clear" w:pos="1742"/>
          <w:tab w:val="left" w:pos="709"/>
          <w:tab w:val="left" w:pos="2127"/>
        </w:tabs>
        <w:rPr>
          <w:i/>
          <w:iCs/>
        </w:rPr>
      </w:pPr>
      <w:r w:rsidRPr="00CA518D">
        <w:rPr>
          <w:i/>
          <w:iCs/>
        </w:rPr>
        <w:t>General remarks</w:t>
      </w:r>
    </w:p>
    <w:p w14:paraId="457E6BC9" w14:textId="6B610294" w:rsidR="00CA518D" w:rsidRPr="008C3C79" w:rsidRDefault="00CA518D" w:rsidP="00CA518D">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Assistance and support in ISDS defence aim at assisting State</w:t>
      </w:r>
      <w:r w:rsidR="00EF36BA">
        <w:rPr>
          <w:rFonts w:asciiTheme="majorBidi" w:hAnsiTheme="majorBidi" w:cstheme="majorBidi"/>
        </w:rPr>
        <w:t xml:space="preserve"> beneficiaries</w:t>
      </w:r>
      <w:r w:rsidRPr="008C3C79">
        <w:rPr>
          <w:rFonts w:asciiTheme="majorBidi" w:hAnsiTheme="majorBidi" w:cstheme="majorBidi"/>
        </w:rPr>
        <w:t xml:space="preserve"> to avoid or minimize liability and/or reduce the defence costs and could potentially increase the legitimacy of the ISDS </w:t>
      </w:r>
      <w:r w:rsidR="008C6448">
        <w:rPr>
          <w:rFonts w:asciiTheme="majorBidi" w:hAnsiTheme="majorBidi" w:cstheme="majorBidi"/>
        </w:rPr>
        <w:t xml:space="preserve">regime </w:t>
      </w:r>
      <w:r>
        <w:rPr>
          <w:rFonts w:asciiTheme="majorBidi" w:hAnsiTheme="majorBidi" w:cstheme="majorBidi"/>
        </w:rPr>
        <w:t>by establishing a level playing</w:t>
      </w:r>
      <w:r w:rsidRPr="008C3C79">
        <w:rPr>
          <w:rFonts w:asciiTheme="majorBidi" w:hAnsiTheme="majorBidi" w:cstheme="majorBidi"/>
        </w:rPr>
        <w:t xml:space="preserve">. While it was noted that assistance and support in the initial stages of organizing the defence  might impose a significant burden on the advisory centre, it was highlighted that such service might be necessary, particularly for </w:t>
      </w:r>
      <w:r w:rsidR="00E07BEE">
        <w:rPr>
          <w:rFonts w:asciiTheme="majorBidi" w:hAnsiTheme="majorBidi" w:cstheme="majorBidi"/>
        </w:rPr>
        <w:t xml:space="preserve">LDCs </w:t>
      </w:r>
      <w:r w:rsidRPr="008C3C79">
        <w:rPr>
          <w:rFonts w:asciiTheme="majorBidi" w:hAnsiTheme="majorBidi" w:cstheme="majorBidi"/>
        </w:rPr>
        <w:t>and</w:t>
      </w:r>
      <w:r w:rsidR="00582F1E">
        <w:rPr>
          <w:rFonts w:asciiTheme="majorBidi" w:hAnsiTheme="majorBidi" w:cstheme="majorBidi"/>
        </w:rPr>
        <w:t>,</w:t>
      </w:r>
      <w:r w:rsidRPr="008C3C79">
        <w:rPr>
          <w:rFonts w:asciiTheme="majorBidi" w:hAnsiTheme="majorBidi" w:cstheme="majorBidi"/>
        </w:rPr>
        <w:t xml:space="preserve"> for example, in expedited or emergency proceedings (A/CN.9/1004, para. 45). Indeed, when it comes to international arbitration proceedings, there are currently no existing services </w:t>
      </w:r>
      <w:r w:rsidRPr="008C3C79">
        <w:rPr>
          <w:rFonts w:asciiTheme="majorBidi" w:hAnsiTheme="majorBidi" w:cstheme="majorBidi"/>
        </w:rPr>
        <w:lastRenderedPageBreak/>
        <w:t xml:space="preserve">available to support </w:t>
      </w:r>
      <w:r w:rsidRPr="008278A4">
        <w:rPr>
          <w:rFonts w:asciiTheme="majorBidi" w:hAnsiTheme="majorBidi" w:cstheme="majorBidi"/>
        </w:rPr>
        <w:t>under-resourced respondent governments</w:t>
      </w:r>
      <w:r w:rsidRPr="008C3C79">
        <w:rPr>
          <w:rFonts w:asciiTheme="majorBidi" w:hAnsiTheme="majorBidi" w:cstheme="majorBidi"/>
        </w:rPr>
        <w:t xml:space="preserve"> that do not have the human and financial resources to defend themselves adequately. </w:t>
      </w:r>
    </w:p>
    <w:p w14:paraId="0B57E1CF" w14:textId="53DC3F13" w:rsidR="00CA518D" w:rsidRPr="00581678" w:rsidRDefault="00CA518D" w:rsidP="00581678">
      <w:pPr>
        <w:pStyle w:val="SingleTxt"/>
        <w:numPr>
          <w:ilvl w:val="2"/>
          <w:numId w:val="6"/>
        </w:numPr>
        <w:tabs>
          <w:tab w:val="clear" w:pos="1742"/>
          <w:tab w:val="clear" w:pos="2218"/>
          <w:tab w:val="left" w:pos="1701"/>
          <w:tab w:val="num" w:pos="1728"/>
        </w:tabs>
        <w:ind w:left="1276" w:firstLine="0"/>
        <w:rPr>
          <w:rFonts w:asciiTheme="majorBidi" w:hAnsiTheme="majorBidi" w:cstheme="majorBidi"/>
          <w:b/>
          <w:bCs/>
          <w:i/>
          <w:iCs/>
        </w:rPr>
      </w:pPr>
      <w:r w:rsidRPr="00581678">
        <w:rPr>
          <w:rFonts w:asciiTheme="majorBidi" w:hAnsiTheme="majorBidi" w:cstheme="majorBidi"/>
        </w:rPr>
        <w:t xml:space="preserve">The centre could provide the services in close cooperation with </w:t>
      </w:r>
      <w:r w:rsidR="00F766C0">
        <w:rPr>
          <w:rFonts w:asciiTheme="majorBidi" w:hAnsiTheme="majorBidi" w:cstheme="majorBidi"/>
        </w:rPr>
        <w:t>g</w:t>
      </w:r>
      <w:r w:rsidRPr="00581678">
        <w:rPr>
          <w:rFonts w:asciiTheme="majorBidi" w:hAnsiTheme="majorBidi" w:cstheme="majorBidi"/>
        </w:rPr>
        <w:t>overnment officials so as to</w:t>
      </w:r>
      <w:r w:rsidRPr="001E5D16">
        <w:rPr>
          <w:rFonts w:asciiTheme="majorBidi" w:hAnsiTheme="majorBidi" w:cstheme="majorBidi"/>
        </w:rPr>
        <w:t xml:space="preserve"> ensure that the </w:t>
      </w:r>
      <w:r w:rsidRPr="00B7534B">
        <w:rPr>
          <w:rFonts w:asciiTheme="majorBidi" w:hAnsiTheme="majorBidi" w:cstheme="majorBidi"/>
        </w:rPr>
        <w:t>line of defence is compatible with the State’s overall approach to</w:t>
      </w:r>
      <w:r w:rsidR="008C6448" w:rsidRPr="00581678">
        <w:rPr>
          <w:rFonts w:asciiTheme="majorBidi" w:hAnsiTheme="majorBidi" w:cstheme="majorBidi"/>
        </w:rPr>
        <w:t>,</w:t>
      </w:r>
      <w:r w:rsidRPr="00581678">
        <w:rPr>
          <w:rFonts w:asciiTheme="majorBidi" w:hAnsiTheme="majorBidi" w:cstheme="majorBidi"/>
        </w:rPr>
        <w:t xml:space="preserve"> </w:t>
      </w:r>
      <w:r w:rsidR="0010158D" w:rsidRPr="00581678">
        <w:rPr>
          <w:rFonts w:asciiTheme="majorBidi" w:hAnsiTheme="majorBidi" w:cstheme="majorBidi"/>
        </w:rPr>
        <w:t>and interpretation of</w:t>
      </w:r>
      <w:r w:rsidR="008C6448" w:rsidRPr="00581678">
        <w:rPr>
          <w:rFonts w:asciiTheme="majorBidi" w:hAnsiTheme="majorBidi" w:cstheme="majorBidi"/>
        </w:rPr>
        <w:t>,</w:t>
      </w:r>
      <w:r w:rsidR="0010158D" w:rsidRPr="00581678">
        <w:rPr>
          <w:rFonts w:asciiTheme="majorBidi" w:hAnsiTheme="majorBidi" w:cstheme="majorBidi"/>
        </w:rPr>
        <w:t xml:space="preserve"> </w:t>
      </w:r>
      <w:r w:rsidRPr="00581678">
        <w:rPr>
          <w:rFonts w:asciiTheme="majorBidi" w:hAnsiTheme="majorBidi" w:cstheme="majorBidi"/>
        </w:rPr>
        <w:t>it</w:t>
      </w:r>
      <w:r w:rsidR="0071007F" w:rsidRPr="00581678">
        <w:rPr>
          <w:rFonts w:asciiTheme="majorBidi" w:hAnsiTheme="majorBidi" w:cstheme="majorBidi"/>
        </w:rPr>
        <w:t>s</w:t>
      </w:r>
      <w:r w:rsidRPr="00581678">
        <w:rPr>
          <w:rFonts w:asciiTheme="majorBidi" w:hAnsiTheme="majorBidi" w:cstheme="majorBidi"/>
        </w:rPr>
        <w:t xml:space="preserve"> investment </w:t>
      </w:r>
      <w:r w:rsidR="004C6AB2" w:rsidRPr="00581678">
        <w:rPr>
          <w:rFonts w:asciiTheme="majorBidi" w:hAnsiTheme="majorBidi" w:cstheme="majorBidi"/>
        </w:rPr>
        <w:t>commitments</w:t>
      </w:r>
      <w:r w:rsidRPr="00581678">
        <w:rPr>
          <w:rFonts w:asciiTheme="majorBidi" w:hAnsiTheme="majorBidi" w:cstheme="majorBidi"/>
        </w:rPr>
        <w:t>,</w:t>
      </w:r>
      <w:r w:rsidR="00B06BF7" w:rsidRPr="00581678">
        <w:rPr>
          <w:rFonts w:asciiTheme="majorBidi" w:hAnsiTheme="majorBidi" w:cstheme="majorBidi"/>
        </w:rPr>
        <w:t xml:space="preserve"> (such as treaties, contracts or legislation)</w:t>
      </w:r>
      <w:r w:rsidRPr="00581678">
        <w:rPr>
          <w:rFonts w:asciiTheme="majorBidi" w:hAnsiTheme="majorBidi" w:cstheme="majorBidi"/>
        </w:rPr>
        <w:t xml:space="preserve"> as well as to establish credibility before the ISDS tribunal through high-quality legal services (A/CN.9/WG.III/WP.168, para 18). </w:t>
      </w:r>
    </w:p>
    <w:p w14:paraId="0A961379" w14:textId="327660CC" w:rsidR="00CA518D" w:rsidRPr="008278A4" w:rsidRDefault="001B726C" w:rsidP="00CA518D">
      <w:pPr>
        <w:pStyle w:val="SingleTxt"/>
        <w:numPr>
          <w:ilvl w:val="2"/>
          <w:numId w:val="15"/>
        </w:numPr>
        <w:tabs>
          <w:tab w:val="clear" w:pos="1742"/>
          <w:tab w:val="left" w:pos="709"/>
          <w:tab w:val="left" w:pos="2127"/>
        </w:tabs>
        <w:rPr>
          <w:i/>
          <w:iCs/>
        </w:rPr>
      </w:pPr>
      <w:r>
        <w:rPr>
          <w:i/>
          <w:iCs/>
        </w:rPr>
        <w:t>Representation services</w:t>
      </w:r>
      <w:r w:rsidR="002D010C" w:rsidRPr="008278A4">
        <w:rPr>
          <w:i/>
          <w:iCs/>
        </w:rPr>
        <w:t xml:space="preserve"> </w:t>
      </w:r>
    </w:p>
    <w:p w14:paraId="76DB30F2" w14:textId="3D56949E" w:rsidR="00CA518D" w:rsidRDefault="002D010C" w:rsidP="00CA518D">
      <w:pPr>
        <w:pStyle w:val="SingleTxt"/>
        <w:numPr>
          <w:ilvl w:val="2"/>
          <w:numId w:val="6"/>
        </w:numPr>
        <w:tabs>
          <w:tab w:val="clear" w:pos="1742"/>
          <w:tab w:val="clear" w:pos="2218"/>
          <w:tab w:val="left" w:pos="1701"/>
          <w:tab w:val="num" w:pos="1728"/>
        </w:tabs>
        <w:ind w:left="1276" w:firstLine="0"/>
      </w:pPr>
      <w:r>
        <w:t xml:space="preserve">States have traditionally adopted three different approaches to the defence of their </w:t>
      </w:r>
      <w:r w:rsidRPr="00CA518D">
        <w:rPr>
          <w:rFonts w:asciiTheme="majorBidi" w:hAnsiTheme="majorBidi" w:cstheme="majorBidi"/>
        </w:rPr>
        <w:t>interests</w:t>
      </w:r>
      <w:r>
        <w:t xml:space="preserve"> in ISDS cases. Some States organize their defence through a dedicated in-house team. Other States use a combination of an in-house team working in various degrees of cooperation with outside counsel. The vast majority of States outsource their defence to outside counsel</w:t>
      </w:r>
      <w:r w:rsidR="00CA518D">
        <w:t xml:space="preserve"> (see document A/CN.9/WG.III/WP.168, paras. 8 and 9)</w:t>
      </w:r>
      <w:r>
        <w:t xml:space="preserve">. </w:t>
      </w:r>
    </w:p>
    <w:p w14:paraId="3D903835" w14:textId="62E90A6E" w:rsidR="006439F2" w:rsidRPr="008278A4" w:rsidRDefault="006439F2" w:rsidP="00CA518D">
      <w:pPr>
        <w:pStyle w:val="SingleTxt"/>
        <w:numPr>
          <w:ilvl w:val="2"/>
          <w:numId w:val="6"/>
        </w:numPr>
        <w:tabs>
          <w:tab w:val="clear" w:pos="1742"/>
          <w:tab w:val="clear" w:pos="2218"/>
          <w:tab w:val="left" w:pos="1701"/>
          <w:tab w:val="num" w:pos="1728"/>
        </w:tabs>
        <w:ind w:left="1276" w:firstLine="0"/>
      </w:pPr>
      <w:r>
        <w:t xml:space="preserve">Recognizing </w:t>
      </w:r>
      <w:r w:rsidR="00AB7BEB">
        <w:t xml:space="preserve">these different approaches, </w:t>
      </w:r>
      <w:r w:rsidR="00A83142">
        <w:t xml:space="preserve">the Working Group may wish to consider </w:t>
      </w:r>
      <w:r w:rsidR="00DA60F5">
        <w:t xml:space="preserve">three </w:t>
      </w:r>
      <w:r w:rsidR="00555793">
        <w:t>possible</w:t>
      </w:r>
      <w:r w:rsidR="00A83142">
        <w:t xml:space="preserve"> </w:t>
      </w:r>
      <w:r w:rsidR="00AA7ABC">
        <w:t>“</w:t>
      </w:r>
      <w:r w:rsidR="00A83142" w:rsidRPr="008278A4">
        <w:t>service models</w:t>
      </w:r>
      <w:r w:rsidR="00AA7ABC" w:rsidRPr="008278A4">
        <w:t>”</w:t>
      </w:r>
      <w:r w:rsidR="00DA60F5" w:rsidRPr="008278A4">
        <w:t>: (i) facilitating</w:t>
      </w:r>
      <w:r w:rsidR="00A73167">
        <w:t>;</w:t>
      </w:r>
      <w:r w:rsidR="00DA60F5" w:rsidRPr="008278A4">
        <w:t xml:space="preserve"> (ii) supporting</w:t>
      </w:r>
      <w:r w:rsidR="00A73167">
        <w:t>;</w:t>
      </w:r>
      <w:r w:rsidR="00DA60F5" w:rsidRPr="008278A4">
        <w:t xml:space="preserve"> and (iii) representing.</w:t>
      </w:r>
    </w:p>
    <w:p w14:paraId="7E6329FF" w14:textId="2EFFE039" w:rsidR="00DA60F5" w:rsidRPr="00CB6CB3" w:rsidRDefault="002850C1" w:rsidP="007A7C47">
      <w:pPr>
        <w:pStyle w:val="SingleTxt"/>
        <w:numPr>
          <w:ilvl w:val="2"/>
          <w:numId w:val="6"/>
        </w:numPr>
        <w:tabs>
          <w:tab w:val="clear" w:pos="1742"/>
          <w:tab w:val="clear" w:pos="2218"/>
          <w:tab w:val="left" w:pos="1701"/>
          <w:tab w:val="num" w:pos="1728"/>
        </w:tabs>
        <w:ind w:left="1276" w:firstLine="0"/>
      </w:pPr>
      <w:r w:rsidRPr="00CB6CB3">
        <w:t xml:space="preserve">States </w:t>
      </w:r>
      <w:r w:rsidR="00E56D5A">
        <w:t>that</w:t>
      </w:r>
      <w:r w:rsidRPr="00CB6CB3">
        <w:t xml:space="preserve"> primarily rely on in-house or external counsel may </w:t>
      </w:r>
      <w:r w:rsidR="00275C5B">
        <w:t>wish to avail of</w:t>
      </w:r>
      <w:r w:rsidRPr="00CB6CB3">
        <w:t xml:space="preserve"> </w:t>
      </w:r>
      <w:r w:rsidR="007A7C47" w:rsidRPr="00CB6CB3">
        <w:t xml:space="preserve">facilitation services from an advisory centre.  Such services might include advice on </w:t>
      </w:r>
      <w:r w:rsidR="007A7C47" w:rsidRPr="008278A4">
        <w:t xml:space="preserve">specific </w:t>
      </w:r>
      <w:r w:rsidR="0007294B" w:rsidRPr="008278A4">
        <w:t xml:space="preserve">disputes, such as litigation risks or mitigation measures; advice on dispute resolution options, such as negotiation, settlement, mediation, or arbitration; or strategic </w:t>
      </w:r>
      <w:r w:rsidR="00CB6CB3" w:rsidRPr="008278A4">
        <w:t>arbitration advice, such as arbitrator and counsel selection, available defences, or possible counterclaims</w:t>
      </w:r>
      <w:r w:rsidR="00CB6CB3" w:rsidRPr="00CB6CB3">
        <w:t>.</w:t>
      </w:r>
      <w:r w:rsidR="001B726C">
        <w:t xml:space="preserve"> Draft provision 2(c)(ii) detailed below seeks to address such needs</w:t>
      </w:r>
      <w:r w:rsidR="007A7C47" w:rsidRPr="00CB6CB3">
        <w:t xml:space="preserve"> </w:t>
      </w:r>
    </w:p>
    <w:p w14:paraId="5A0CE681" w14:textId="01E42A49" w:rsidR="007658BC" w:rsidRPr="00C660C3" w:rsidRDefault="00E56D5A" w:rsidP="001B726C">
      <w:pPr>
        <w:pStyle w:val="SingleTxt"/>
        <w:numPr>
          <w:ilvl w:val="2"/>
          <w:numId w:val="6"/>
        </w:numPr>
        <w:tabs>
          <w:tab w:val="clear" w:pos="1742"/>
          <w:tab w:val="clear" w:pos="2218"/>
          <w:tab w:val="left" w:pos="1701"/>
          <w:tab w:val="num" w:pos="1728"/>
        </w:tabs>
        <w:ind w:left="1276" w:firstLine="0"/>
      </w:pPr>
      <w:r>
        <w:t xml:space="preserve">Other </w:t>
      </w:r>
      <w:r w:rsidR="00CB6CB3">
        <w:t>States</w:t>
      </w:r>
      <w:r w:rsidR="00422D2B">
        <w:t>, for reasons of cost-savings, control, or otherwise</w:t>
      </w:r>
      <w:r w:rsidR="00165F6B">
        <w:t>,</w:t>
      </w:r>
      <w:r w:rsidR="00166E4F">
        <w:t xml:space="preserve"> </w:t>
      </w:r>
      <w:r>
        <w:t>may wish to</w:t>
      </w:r>
      <w:r w:rsidR="00CB6CB3">
        <w:t xml:space="preserve"> complement their use of in-house or external counsel </w:t>
      </w:r>
      <w:r w:rsidR="00166E4F">
        <w:t xml:space="preserve">with support services from an advisory centre.  Such States may </w:t>
      </w:r>
      <w:r w:rsidR="00165F6B">
        <w:t xml:space="preserve">desire advice on </w:t>
      </w:r>
      <w:r w:rsidR="00165F6B" w:rsidRPr="008278A4">
        <w:t>some or all aspects of the dispute-resolution process</w:t>
      </w:r>
      <w:r w:rsidR="00BC36F8">
        <w:t xml:space="preserve">.  Support services may be particularly useful for States seeking to </w:t>
      </w:r>
      <w:r w:rsidR="007658BC" w:rsidRPr="008278A4">
        <w:t>establish or build upon existing in-house capacity</w:t>
      </w:r>
      <w:r w:rsidR="007658BC">
        <w:t>.</w:t>
      </w:r>
      <w:r w:rsidR="001B726C">
        <w:t xml:space="preserve"> </w:t>
      </w:r>
      <w:r w:rsidR="007658BC">
        <w:t>Still other States</w:t>
      </w:r>
      <w:r w:rsidR="001A0DDC">
        <w:t>, particularly less developed States that lack in-house capacity or adequate funds for experienced outside counsel,</w:t>
      </w:r>
      <w:r w:rsidR="00723CB4">
        <w:t xml:space="preserve"> or where the occurrence of disputes is rare, </w:t>
      </w:r>
      <w:r w:rsidR="007658BC">
        <w:t xml:space="preserve">may require </w:t>
      </w:r>
      <w:r w:rsidR="001C4447" w:rsidRPr="008278A4">
        <w:t>full</w:t>
      </w:r>
      <w:r w:rsidR="007658BC" w:rsidRPr="008278A4">
        <w:t xml:space="preserve"> representation services from an advisory centre</w:t>
      </w:r>
      <w:r w:rsidR="007658BC">
        <w:t xml:space="preserve">.  </w:t>
      </w:r>
      <w:r w:rsidR="00DA11EB">
        <w:t>Such States may wish for an advisory centre to play a lead</w:t>
      </w:r>
      <w:r w:rsidR="001C4447">
        <w:t xml:space="preserve"> </w:t>
      </w:r>
      <w:r w:rsidR="007E33AB">
        <w:t>role in assisting them with the dispute-resolution process</w:t>
      </w:r>
      <w:r w:rsidR="001B726C">
        <w:t xml:space="preserve">, and the needs of these two categories of States are addressed in draft provision 2(c)(i), which provides that the advisory centre would take an active part in the </w:t>
      </w:r>
      <w:r w:rsidR="008771CF">
        <w:t>defence</w:t>
      </w:r>
      <w:r w:rsidR="001B726C">
        <w:t xml:space="preserve"> of State Beneficiaries</w:t>
      </w:r>
      <w:r w:rsidR="007E33AB">
        <w:t>.</w:t>
      </w:r>
    </w:p>
    <w:p w14:paraId="22E8113B" w14:textId="1C6DFC99" w:rsidR="00302A12" w:rsidRDefault="00302A12" w:rsidP="00CA518D">
      <w:pPr>
        <w:pStyle w:val="SingleTxt"/>
        <w:numPr>
          <w:ilvl w:val="2"/>
          <w:numId w:val="6"/>
        </w:numPr>
        <w:tabs>
          <w:tab w:val="clear" w:pos="1742"/>
          <w:tab w:val="clear" w:pos="2218"/>
          <w:tab w:val="left" w:pos="1701"/>
          <w:tab w:val="num" w:pos="1728"/>
        </w:tabs>
        <w:ind w:left="1276" w:firstLine="0"/>
      </w:pPr>
    </w:p>
    <w:p w14:paraId="46288C51" w14:textId="42804BA1" w:rsidR="00CA518D" w:rsidRPr="00EA4FBF" w:rsidRDefault="001B726C" w:rsidP="00CA518D">
      <w:pPr>
        <w:pStyle w:val="SingleTxt"/>
        <w:numPr>
          <w:ilvl w:val="2"/>
          <w:numId w:val="15"/>
        </w:numPr>
        <w:tabs>
          <w:tab w:val="clear" w:pos="1742"/>
          <w:tab w:val="left" w:pos="709"/>
          <w:tab w:val="left" w:pos="2127"/>
        </w:tabs>
        <w:rPr>
          <w:i/>
          <w:iCs/>
        </w:rPr>
      </w:pPr>
      <w:r>
        <w:rPr>
          <w:i/>
          <w:iCs/>
        </w:rPr>
        <w:t>Assistance and s</w:t>
      </w:r>
      <w:r w:rsidR="002D010C" w:rsidRPr="00EA4FBF">
        <w:rPr>
          <w:i/>
          <w:iCs/>
        </w:rPr>
        <w:t xml:space="preserve">upport during </w:t>
      </w:r>
      <w:r w:rsidR="009D472E">
        <w:rPr>
          <w:i/>
          <w:iCs/>
        </w:rPr>
        <w:t>ISDS</w:t>
      </w:r>
      <w:r w:rsidR="002D010C" w:rsidRPr="00EA4FBF">
        <w:rPr>
          <w:i/>
          <w:iCs/>
        </w:rPr>
        <w:t xml:space="preserve"> proceedings </w:t>
      </w:r>
    </w:p>
    <w:p w14:paraId="2060DCD6" w14:textId="7F1E3C13" w:rsidR="001B726C" w:rsidRPr="00726882" w:rsidRDefault="001B726C" w:rsidP="006E33F5">
      <w:pPr>
        <w:pStyle w:val="SingleTxt"/>
        <w:numPr>
          <w:ilvl w:val="2"/>
          <w:numId w:val="6"/>
        </w:numPr>
        <w:tabs>
          <w:tab w:val="clear" w:pos="1742"/>
          <w:tab w:val="clear" w:pos="2218"/>
          <w:tab w:val="left" w:pos="1701"/>
          <w:tab w:val="num" w:pos="1728"/>
        </w:tabs>
        <w:ind w:left="1276" w:firstLine="0"/>
        <w:rPr>
          <w:rFonts w:asciiTheme="majorBidi" w:hAnsiTheme="majorBidi" w:cstheme="majorBidi"/>
          <w:b/>
          <w:bCs/>
          <w:i/>
          <w:iCs/>
        </w:rPr>
      </w:pPr>
      <w:r>
        <w:rPr>
          <w:rFonts w:asciiTheme="majorBidi" w:hAnsiTheme="majorBidi" w:cstheme="majorBidi"/>
        </w:rPr>
        <w:t>T</w:t>
      </w:r>
      <w:r>
        <w:t xml:space="preserve">he Working Group may wish to note draft provision 2(c)(ii) covers  the following services that could be rendered in connection with assistance in organizing the defence: (i) assistance to States for the preparation of the defence of investment disputes, including assessment of the strengths and weaknesses of a case on a prima facie basis; (ii) early assessment of the risks associated with a given claim, so as to permit identification of the strategy and course of action to adopt (this may include, for instance, consideration of whether other dispute resolution mechanisms, such as mediation, might be an option); (iii) determination of the financial implications and earmarking of a budget for the defence of a case; and (iv) assistance in the overall organization for dealing with ISDS. In relation to this last point, the Working Group may wish to note that States need adequate time to respond to claims, as they have to prepare their defence properly (A/CN.9/930/Rev.1, para. 50). For instance, States have to assemble factual information for each case and coordinate among various ministries and agencies. If an advisory centre were to provide assistance in relation to the organization of the defence, the beneficiaries of such services might be better prepared to handle investors’ claims, organize their defence </w:t>
      </w:r>
      <w:r w:rsidR="008771CF">
        <w:t>strategy,</w:t>
      </w:r>
      <w:r>
        <w:t xml:space="preserve"> and coordinate </w:t>
      </w:r>
      <w:r>
        <w:lastRenderedPageBreak/>
        <w:t>more efficiently. The Working Group may wish to consider whether and how this would have a positive impact on the duration and thereby the cost of ISDS, as lengthy proceedings are likely to result in higher cost (A/CN.9/930/Rev.1, para. 38).</w:t>
      </w:r>
    </w:p>
    <w:p w14:paraId="404FAE32" w14:textId="63E697F7" w:rsidR="006E33F5" w:rsidRPr="006E33F5" w:rsidRDefault="002D010C" w:rsidP="006E33F5">
      <w:pPr>
        <w:pStyle w:val="SingleTxt"/>
        <w:numPr>
          <w:ilvl w:val="2"/>
          <w:numId w:val="6"/>
        </w:numPr>
        <w:tabs>
          <w:tab w:val="clear" w:pos="1742"/>
          <w:tab w:val="clear" w:pos="2218"/>
          <w:tab w:val="left" w:pos="1701"/>
          <w:tab w:val="num" w:pos="1728"/>
        </w:tabs>
        <w:ind w:left="1276" w:firstLine="0"/>
        <w:rPr>
          <w:rFonts w:asciiTheme="majorBidi" w:hAnsiTheme="majorBidi" w:cstheme="majorBidi"/>
          <w:b/>
          <w:bCs/>
          <w:i/>
          <w:iCs/>
        </w:rPr>
      </w:pPr>
      <w:r>
        <w:t>The Working Group may wish to consider whether an advisory centre may assist in risk management, by promoting standard operating procedures for handling notices, proper authorities for representing the State effectively, appropriate coordination within and outside the government, and the ability to properly evaluate and instruct outside counsel. Representation of respondent States implies three essential tasks that are usually either completely or partially outsourced by the respondent State</w:t>
      </w:r>
      <w:r w:rsidR="006E33F5">
        <w:t xml:space="preserve"> and which include the followings</w:t>
      </w:r>
      <w:r w:rsidR="00475A30">
        <w:t xml:space="preserve"> steps.</w:t>
      </w:r>
    </w:p>
    <w:p w14:paraId="26112AEA" w14:textId="7C9E996D" w:rsidR="006E33F5" w:rsidRDefault="00475A30" w:rsidP="00475A30">
      <w:pPr>
        <w:pStyle w:val="SingleTxt"/>
        <w:numPr>
          <w:ilvl w:val="2"/>
          <w:numId w:val="6"/>
        </w:numPr>
        <w:tabs>
          <w:tab w:val="clear" w:pos="1742"/>
          <w:tab w:val="clear" w:pos="2218"/>
          <w:tab w:val="left" w:pos="1701"/>
          <w:tab w:val="num" w:pos="1728"/>
        </w:tabs>
        <w:ind w:left="1276" w:firstLine="0"/>
      </w:pPr>
      <w:r>
        <w:t>The first step</w:t>
      </w:r>
      <w:r w:rsidR="00E07BEE">
        <w:t xml:space="preserve"> is</w:t>
      </w:r>
      <w:r>
        <w:t xml:space="preserve"> related to the s</w:t>
      </w:r>
      <w:r w:rsidR="002D010C">
        <w:t>electi</w:t>
      </w:r>
      <w:r>
        <w:t>on</w:t>
      </w:r>
      <w:r w:rsidR="002D010C">
        <w:t xml:space="preserve"> and appoint</w:t>
      </w:r>
      <w:r>
        <w:t>ment of</w:t>
      </w:r>
      <w:r w:rsidR="002D010C">
        <w:t xml:space="preserve"> arbitrators</w:t>
      </w:r>
      <w:r w:rsidR="00FE7A45">
        <w:t>/adjudicators</w:t>
      </w:r>
      <w:r w:rsidR="002D010C">
        <w:t xml:space="preserve"> </w:t>
      </w:r>
      <w:r>
        <w:t xml:space="preserve">to establish the </w:t>
      </w:r>
      <w:r w:rsidR="002D010C">
        <w:t>arbitral tribunal</w:t>
      </w:r>
      <w:r>
        <w:t>. This</w:t>
      </w:r>
      <w:r w:rsidR="002D010C">
        <w:t xml:space="preserve"> requires technical expertise, means and resources to research </w:t>
      </w:r>
      <w:r w:rsidR="008F6D43">
        <w:t xml:space="preserve">their </w:t>
      </w:r>
      <w:r w:rsidR="002D010C">
        <w:t xml:space="preserve">profiles. </w:t>
      </w:r>
      <w:r w:rsidR="006E33F5">
        <w:t>I</w:t>
      </w:r>
      <w:r w:rsidR="006E33F5" w:rsidRPr="008278A4">
        <w:t xml:space="preserve">n that respect, </w:t>
      </w:r>
      <w:r w:rsidR="002D010C" w:rsidRPr="008278A4">
        <w:t xml:space="preserve">possible services for an advisory centre may include the following: (i) </w:t>
      </w:r>
      <w:r w:rsidR="00581678">
        <w:t>e</w:t>
      </w:r>
      <w:r w:rsidR="002D010C" w:rsidRPr="008278A4">
        <w:t>stablishment of a comprehensive database of potential arbitrators</w:t>
      </w:r>
      <w:r w:rsidR="008F6D43" w:rsidRPr="008278A4">
        <w:t>/adjudicators</w:t>
      </w:r>
      <w:r w:rsidR="002D010C" w:rsidRPr="008278A4">
        <w:t xml:space="preserve"> with complete and up-to-date profiles available to respondent States; (ii) </w:t>
      </w:r>
      <w:r w:rsidR="00581678">
        <w:t>p</w:t>
      </w:r>
      <w:r w:rsidR="002D010C" w:rsidRPr="008278A4">
        <w:t xml:space="preserve">romotion of exchange of experience and expertise regarding the evaluation of arbitrator services; </w:t>
      </w:r>
      <w:r w:rsidR="00581678">
        <w:t>a</w:t>
      </w:r>
      <w:r w:rsidR="002D010C" w:rsidRPr="008278A4">
        <w:t>dvice and support in the case of arbitrator challenge; and (i</w:t>
      </w:r>
      <w:r w:rsidR="00130D1F" w:rsidRPr="008278A4">
        <w:t>ii</w:t>
      </w:r>
      <w:r w:rsidR="002D010C" w:rsidRPr="008278A4">
        <w:t xml:space="preserve">) </w:t>
      </w:r>
      <w:r w:rsidR="00581678">
        <w:t>a</w:t>
      </w:r>
      <w:r w:rsidR="002D010C" w:rsidRPr="008278A4">
        <w:t>ssistance regarding procurement of counsel and identification of experts</w:t>
      </w:r>
      <w:r w:rsidR="00D6530E">
        <w:t>.</w:t>
      </w:r>
      <w:r w:rsidR="002D010C">
        <w:t xml:space="preserve"> </w:t>
      </w:r>
    </w:p>
    <w:p w14:paraId="44F067D5" w14:textId="71FB8E4D" w:rsidR="006E33F5" w:rsidRDefault="00475A30" w:rsidP="00475A30">
      <w:pPr>
        <w:pStyle w:val="SingleTxt"/>
        <w:numPr>
          <w:ilvl w:val="2"/>
          <w:numId w:val="6"/>
        </w:numPr>
        <w:tabs>
          <w:tab w:val="clear" w:pos="1742"/>
          <w:tab w:val="clear" w:pos="2218"/>
          <w:tab w:val="left" w:pos="1701"/>
          <w:tab w:val="num" w:pos="1728"/>
        </w:tabs>
        <w:ind w:left="1276" w:firstLine="0"/>
      </w:pPr>
      <w:r>
        <w:t>The second step relates to w</w:t>
      </w:r>
      <w:r w:rsidR="002D010C">
        <w:t>ritten statements</w:t>
      </w:r>
      <w:r w:rsidR="001E5D16">
        <w:t xml:space="preserve">, </w:t>
      </w:r>
      <w:r w:rsidR="002D010C">
        <w:t>documentary evidence</w:t>
      </w:r>
      <w:r w:rsidR="001E5D16">
        <w:t xml:space="preserve"> and</w:t>
      </w:r>
      <w:r w:rsidR="000E08A9" w:rsidRPr="000E08A9">
        <w:t xml:space="preserve"> </w:t>
      </w:r>
      <w:r w:rsidR="000E08A9">
        <w:t>procedural hearing</w:t>
      </w:r>
      <w:r>
        <w:t>. D</w:t>
      </w:r>
      <w:r w:rsidR="002D010C">
        <w:t xml:space="preserve">uring </w:t>
      </w:r>
      <w:r>
        <w:t xml:space="preserve">the </w:t>
      </w:r>
      <w:r w:rsidR="002D010C">
        <w:t xml:space="preserve">ISDS proceedings, the parties usually submit a wide range of documents, such as written statements, witness statements, expert reports and documentary evidence. Written statements include the statement of defence, any second round of rebuttal submissions and other submissions that the parties and the arbitral tribunal may consider necessary. Technical expertise is required not only on the substantive law issues, but also on the procedural conduct of ISDS to ensure an effective and adequate defence. An advisory centre could therefore </w:t>
      </w:r>
      <w:r w:rsidR="002D010C" w:rsidRPr="008278A4">
        <w:t>provide briefing services or cooperate with the in-house defence team or outside counsel to ensure high quality in the documents filed by the respondent State</w:t>
      </w:r>
      <w:r w:rsidR="006E33F5">
        <w:t>.</w:t>
      </w:r>
    </w:p>
    <w:p w14:paraId="1E3CFB95" w14:textId="6B70E28E" w:rsidR="002D010C" w:rsidRPr="00A73167" w:rsidRDefault="00475A30" w:rsidP="00475A30">
      <w:pPr>
        <w:pStyle w:val="SingleTxt"/>
        <w:numPr>
          <w:ilvl w:val="2"/>
          <w:numId w:val="6"/>
        </w:numPr>
        <w:tabs>
          <w:tab w:val="clear" w:pos="1742"/>
          <w:tab w:val="clear" w:pos="2218"/>
          <w:tab w:val="left" w:pos="1701"/>
          <w:tab w:val="num" w:pos="1728"/>
        </w:tabs>
        <w:ind w:left="1276" w:firstLine="0"/>
        <w:rPr>
          <w:rFonts w:asciiTheme="majorBidi" w:hAnsiTheme="majorBidi" w:cstheme="majorBidi"/>
          <w:b/>
          <w:bCs/>
          <w:i/>
          <w:iCs/>
        </w:rPr>
      </w:pPr>
      <w:r>
        <w:t>The third step relates to the r</w:t>
      </w:r>
      <w:r w:rsidR="002D010C">
        <w:t>epresentation at hearings</w:t>
      </w:r>
      <w:r>
        <w:t>.</w:t>
      </w:r>
      <w:r w:rsidR="002D010C">
        <w:t xml:space="preserve"> Hearings for the presentation of evidence by witnesses and experts and/or for oral argument are an important phase in ISDS</w:t>
      </w:r>
      <w:r w:rsidR="00DF2378">
        <w:t xml:space="preserve"> proce</w:t>
      </w:r>
      <w:r w:rsidR="00620A41">
        <w:t>dures</w:t>
      </w:r>
      <w:r w:rsidR="002D010C">
        <w:t xml:space="preserve">. Availability of high-quality legal services to handle hearings, building on expertise and leveraging the number of cases the </w:t>
      </w:r>
      <w:r w:rsidR="002D010C" w:rsidRPr="008278A4">
        <w:t xml:space="preserve">advisory centre would </w:t>
      </w:r>
      <w:r w:rsidR="004D7DEE" w:rsidRPr="008278A4">
        <w:t>take up</w:t>
      </w:r>
      <w:r w:rsidR="005C28D9">
        <w:t>,</w:t>
      </w:r>
      <w:r w:rsidR="004D7DEE" w:rsidRPr="008278A4">
        <w:t xml:space="preserve"> </w:t>
      </w:r>
      <w:r w:rsidR="002D010C" w:rsidRPr="008278A4">
        <w:t>could make it a cost-effective and competitive solution</w:t>
      </w:r>
      <w:r w:rsidR="002D010C">
        <w:t>. Throughout the process, representatives of the respondent State could be included in the advisory centre’s team</w:t>
      </w:r>
      <w:r w:rsidR="004C7719">
        <w:t xml:space="preserve">. </w:t>
      </w:r>
      <w:r w:rsidR="00601DFE">
        <w:t xml:space="preserve">This practice would </w:t>
      </w:r>
      <w:r w:rsidR="00165313">
        <w:t xml:space="preserve">help </w:t>
      </w:r>
      <w:r w:rsidR="00FE4DFA">
        <w:t xml:space="preserve">to </w:t>
      </w:r>
      <w:r w:rsidR="002D010C">
        <w:t xml:space="preserve">ensure </w:t>
      </w:r>
      <w:r w:rsidR="00165313">
        <w:t xml:space="preserve">the </w:t>
      </w:r>
      <w:r w:rsidR="001F14F5">
        <w:t>seamless preparation and the approval of the arguments and the strategy by the State</w:t>
      </w:r>
      <w:r w:rsidR="007076AD">
        <w:t xml:space="preserve">; </w:t>
      </w:r>
      <w:r w:rsidR="004E730A">
        <w:t xml:space="preserve">manage </w:t>
      </w:r>
      <w:r w:rsidR="007076AD">
        <w:t>consistency across cases and</w:t>
      </w:r>
      <w:r w:rsidR="008A6C5C">
        <w:t>, hence,</w:t>
      </w:r>
      <w:r w:rsidR="007076AD">
        <w:t xml:space="preserve"> </w:t>
      </w:r>
      <w:r w:rsidR="008A6C5C">
        <w:t xml:space="preserve">improve the </w:t>
      </w:r>
      <w:r w:rsidR="00820C35">
        <w:t xml:space="preserve">quality of State’s </w:t>
      </w:r>
      <w:r w:rsidR="0047557E">
        <w:t>defence</w:t>
      </w:r>
      <w:r w:rsidR="00820C35">
        <w:t xml:space="preserve"> </w:t>
      </w:r>
      <w:r w:rsidR="0047557E">
        <w:t>in ISDS cases</w:t>
      </w:r>
      <w:r w:rsidR="007076AD">
        <w:t xml:space="preserve">; and build </w:t>
      </w:r>
      <w:r w:rsidR="008A6C5C">
        <w:t xml:space="preserve">capacity within the State </w:t>
      </w:r>
      <w:r w:rsidR="00EE7AEF">
        <w:t>for more effective representation in future cases.</w:t>
      </w:r>
    </w:p>
    <w:p w14:paraId="46377A2B" w14:textId="21BF5952" w:rsidR="00302A12" w:rsidRPr="00001006" w:rsidRDefault="00280223" w:rsidP="00D56BCD">
      <w:pPr>
        <w:pStyle w:val="SingleTxt"/>
        <w:tabs>
          <w:tab w:val="clear" w:pos="1742"/>
          <w:tab w:val="clear" w:pos="2218"/>
        </w:tabs>
        <w:ind w:left="1642"/>
        <w:rPr>
          <w:rFonts w:asciiTheme="majorBidi" w:hAnsiTheme="majorBidi" w:cstheme="majorBidi"/>
          <w:b/>
          <w:bCs/>
        </w:rPr>
      </w:pPr>
      <w:r w:rsidRPr="00001006">
        <w:rPr>
          <w:rFonts w:asciiTheme="majorBidi" w:hAnsiTheme="majorBidi" w:cstheme="majorBidi"/>
          <w:b/>
          <w:bCs/>
        </w:rPr>
        <w:t>4</w:t>
      </w:r>
      <w:r w:rsidR="002B5B5B" w:rsidRPr="00001006">
        <w:rPr>
          <w:rFonts w:asciiTheme="majorBidi" w:hAnsiTheme="majorBidi" w:cstheme="majorBidi"/>
          <w:b/>
          <w:bCs/>
        </w:rPr>
        <w:t xml:space="preserve">. </w:t>
      </w:r>
      <w:r w:rsidR="00302A12" w:rsidRPr="00001006">
        <w:rPr>
          <w:rFonts w:asciiTheme="majorBidi" w:hAnsiTheme="majorBidi" w:cstheme="majorBidi"/>
          <w:b/>
          <w:bCs/>
        </w:rPr>
        <w:t>Legal and policy advisory services</w:t>
      </w:r>
    </w:p>
    <w:p w14:paraId="59568EB3" w14:textId="1ED15F7F" w:rsidR="00302A12" w:rsidRDefault="00302A12" w:rsidP="00302A12">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The Working Group may wish to consider draft </w:t>
      </w:r>
      <w:r w:rsidR="001B726C">
        <w:rPr>
          <w:rFonts w:asciiTheme="majorBidi" w:hAnsiTheme="majorBidi" w:cstheme="majorBidi"/>
        </w:rPr>
        <w:t>provision</w:t>
      </w:r>
      <w:r w:rsidR="001B726C" w:rsidRPr="008C3C79">
        <w:rPr>
          <w:rFonts w:asciiTheme="majorBidi" w:hAnsiTheme="majorBidi" w:cstheme="majorBidi"/>
        </w:rPr>
        <w:t xml:space="preserve"> </w:t>
      </w:r>
      <w:r w:rsidR="00D61614">
        <w:rPr>
          <w:rFonts w:asciiTheme="majorBidi" w:hAnsiTheme="majorBidi" w:cstheme="majorBidi"/>
        </w:rPr>
        <w:t>2(</w:t>
      </w:r>
      <w:r w:rsidR="00690463">
        <w:rPr>
          <w:rFonts w:asciiTheme="majorBidi" w:hAnsiTheme="majorBidi" w:cstheme="majorBidi"/>
        </w:rPr>
        <w:t>d</w:t>
      </w:r>
      <w:r w:rsidR="00D61614">
        <w:rPr>
          <w:rFonts w:asciiTheme="majorBidi" w:hAnsiTheme="majorBidi" w:cstheme="majorBidi"/>
        </w:rPr>
        <w:t>)</w:t>
      </w:r>
      <w:r w:rsidRPr="008C3C79">
        <w:rPr>
          <w:rFonts w:asciiTheme="majorBidi" w:hAnsiTheme="majorBidi" w:cstheme="majorBidi"/>
        </w:rPr>
        <w:t xml:space="preserve">, which </w:t>
      </w:r>
      <w:r w:rsidR="001B726C">
        <w:rPr>
          <w:rFonts w:asciiTheme="majorBidi" w:hAnsiTheme="majorBidi" w:cstheme="majorBidi"/>
        </w:rPr>
        <w:t>covers</w:t>
      </w:r>
      <w:r w:rsidRPr="008C3C79">
        <w:rPr>
          <w:rFonts w:asciiTheme="majorBidi" w:hAnsiTheme="majorBidi" w:cstheme="majorBidi"/>
        </w:rPr>
        <w:t xml:space="preserve"> legal and policy advisory services on matters relating to international investment law.</w:t>
      </w:r>
    </w:p>
    <w:p w14:paraId="50233C4B" w14:textId="77777777" w:rsidR="00A47E36" w:rsidRPr="00A47E36" w:rsidRDefault="00A47E36" w:rsidP="00A47E36">
      <w:pPr>
        <w:pStyle w:val="SingleTxt"/>
        <w:tabs>
          <w:tab w:val="left" w:pos="1701"/>
          <w:tab w:val="num" w:pos="3126"/>
        </w:tabs>
        <w:ind w:left="1276"/>
        <w:rPr>
          <w:rFonts w:asciiTheme="majorBidi" w:hAnsiTheme="majorBidi" w:cstheme="majorBidi"/>
          <w:b/>
          <w:bCs/>
          <w:i/>
          <w:iCs/>
        </w:rPr>
      </w:pPr>
      <w:r w:rsidRPr="00A47E36">
        <w:rPr>
          <w:rFonts w:asciiTheme="majorBidi" w:hAnsiTheme="majorBidi" w:cstheme="majorBidi"/>
          <w:b/>
          <w:bCs/>
          <w:i/>
          <w:iCs/>
        </w:rPr>
        <w:t>Draft provisions 2(d)</w:t>
      </w:r>
    </w:p>
    <w:p w14:paraId="72CCFB0F" w14:textId="77777777" w:rsidR="00A47E36" w:rsidRPr="00A222E7" w:rsidRDefault="00A47E36" w:rsidP="00A47E36">
      <w:pPr>
        <w:pStyle w:val="SingleTxt"/>
        <w:tabs>
          <w:tab w:val="left" w:pos="1701"/>
          <w:tab w:val="num" w:pos="3126"/>
        </w:tabs>
        <w:ind w:left="1276"/>
        <w:rPr>
          <w:rFonts w:asciiTheme="majorBidi" w:hAnsiTheme="majorBidi" w:cstheme="majorBidi"/>
          <w:i/>
          <w:iCs/>
        </w:rPr>
      </w:pPr>
      <w:r w:rsidRPr="00A222E7">
        <w:rPr>
          <w:rFonts w:asciiTheme="majorBidi" w:hAnsiTheme="majorBidi" w:cstheme="majorBidi"/>
          <w:i/>
          <w:iCs/>
        </w:rPr>
        <w:t>[2. The Centre shall provide the following services:]</w:t>
      </w:r>
    </w:p>
    <w:p w14:paraId="3CC86B48" w14:textId="77777777" w:rsidR="00A47E36" w:rsidRPr="00A222E7" w:rsidRDefault="00A47E36" w:rsidP="00A222E7">
      <w:pPr>
        <w:pStyle w:val="SingleTxt"/>
        <w:tabs>
          <w:tab w:val="left" w:pos="1701"/>
          <w:tab w:val="num" w:pos="3126"/>
        </w:tabs>
        <w:ind w:left="1871"/>
        <w:rPr>
          <w:rFonts w:asciiTheme="majorBidi" w:hAnsiTheme="majorBidi" w:cstheme="majorBidi"/>
          <w:i/>
          <w:iCs/>
        </w:rPr>
      </w:pPr>
      <w:r w:rsidRPr="00A222E7">
        <w:rPr>
          <w:rFonts w:asciiTheme="majorBidi" w:hAnsiTheme="majorBidi" w:cstheme="majorBidi"/>
          <w:i/>
          <w:iCs/>
        </w:rPr>
        <w:t>d) Legal and policy advice on matters relating to international investment law, including assistance to State Beneficiaries for:</w:t>
      </w:r>
    </w:p>
    <w:p w14:paraId="6FC8744F" w14:textId="12B15269" w:rsidR="00A47E36" w:rsidRPr="00A222E7" w:rsidRDefault="00A47E36" w:rsidP="00A222E7">
      <w:pPr>
        <w:pStyle w:val="SingleTxt"/>
        <w:tabs>
          <w:tab w:val="left" w:pos="1701"/>
          <w:tab w:val="num" w:pos="3126"/>
        </w:tabs>
        <w:ind w:left="2494"/>
        <w:rPr>
          <w:rFonts w:asciiTheme="majorBidi" w:hAnsiTheme="majorBidi" w:cstheme="majorBidi"/>
          <w:i/>
          <w:iCs/>
        </w:rPr>
      </w:pPr>
      <w:r w:rsidRPr="00A222E7">
        <w:rPr>
          <w:rFonts w:asciiTheme="majorBidi" w:hAnsiTheme="majorBidi" w:cstheme="majorBidi"/>
          <w:i/>
          <w:iCs/>
        </w:rPr>
        <w:t>(i) The review of, and potential amendment to, their international investment instruments;</w:t>
      </w:r>
      <w:r w:rsidR="00545099" w:rsidRPr="00A222E7">
        <w:rPr>
          <w:rFonts w:asciiTheme="majorBidi" w:hAnsiTheme="majorBidi" w:cstheme="majorBidi"/>
          <w:i/>
          <w:iCs/>
        </w:rPr>
        <w:t xml:space="preserve"> and</w:t>
      </w:r>
      <w:r w:rsidRPr="00A222E7">
        <w:rPr>
          <w:rFonts w:asciiTheme="majorBidi" w:hAnsiTheme="majorBidi" w:cstheme="majorBidi"/>
          <w:i/>
          <w:iCs/>
        </w:rPr>
        <w:t xml:space="preserve"> </w:t>
      </w:r>
    </w:p>
    <w:p w14:paraId="08C61227" w14:textId="35F1005F" w:rsidR="00A47E36" w:rsidRPr="00A222E7" w:rsidRDefault="00A47E36" w:rsidP="00A222E7">
      <w:pPr>
        <w:pStyle w:val="SingleTxt"/>
        <w:tabs>
          <w:tab w:val="clear" w:pos="1742"/>
          <w:tab w:val="clear" w:pos="2218"/>
          <w:tab w:val="left" w:pos="1701"/>
          <w:tab w:val="num" w:pos="3126"/>
        </w:tabs>
        <w:ind w:left="2494"/>
        <w:rPr>
          <w:rFonts w:asciiTheme="majorBidi" w:hAnsiTheme="majorBidi" w:cstheme="majorBidi"/>
          <w:i/>
          <w:iCs/>
        </w:rPr>
      </w:pPr>
      <w:r w:rsidRPr="00A222E7">
        <w:rPr>
          <w:rFonts w:asciiTheme="majorBidi" w:hAnsiTheme="majorBidi" w:cstheme="majorBidi"/>
          <w:i/>
          <w:iCs/>
        </w:rPr>
        <w:t>(ii) Assessment of compliance with treaty obligations of measures or contemplated measures.</w:t>
      </w:r>
    </w:p>
    <w:p w14:paraId="3F4F213C" w14:textId="0E2F260D" w:rsidR="00A47E36" w:rsidRPr="00A47E36" w:rsidRDefault="00A47E36" w:rsidP="00A47E36">
      <w:pPr>
        <w:pStyle w:val="SingleTxt"/>
        <w:tabs>
          <w:tab w:val="clear" w:pos="1742"/>
          <w:tab w:val="clear" w:pos="2218"/>
          <w:tab w:val="left" w:pos="1701"/>
          <w:tab w:val="num" w:pos="3126"/>
        </w:tabs>
        <w:ind w:left="1276"/>
        <w:rPr>
          <w:rFonts w:asciiTheme="majorBidi" w:hAnsiTheme="majorBidi" w:cstheme="majorBidi"/>
          <w:b/>
          <w:bCs/>
          <w:i/>
          <w:iCs/>
        </w:rPr>
      </w:pPr>
      <w:r w:rsidRPr="00A47E36">
        <w:rPr>
          <w:rFonts w:asciiTheme="majorBidi" w:hAnsiTheme="majorBidi" w:cstheme="majorBidi"/>
          <w:b/>
          <w:bCs/>
          <w:i/>
          <w:iCs/>
        </w:rPr>
        <w:t>Comments</w:t>
      </w:r>
    </w:p>
    <w:p w14:paraId="1A5AC56B" w14:textId="79A81F0A" w:rsidR="00457147" w:rsidRPr="00281D37" w:rsidRDefault="00457147" w:rsidP="00457147">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lastRenderedPageBreak/>
        <w:t xml:space="preserve">It may be noted that the following range of advisory services are </w:t>
      </w:r>
      <w:r w:rsidR="00545099">
        <w:rPr>
          <w:rFonts w:asciiTheme="majorBidi" w:hAnsiTheme="majorBidi" w:cstheme="majorBidi"/>
        </w:rPr>
        <w:t>covered under draft provision 2(d)</w:t>
      </w:r>
      <w:r w:rsidRPr="008C3C79">
        <w:rPr>
          <w:rFonts w:asciiTheme="majorBidi" w:hAnsiTheme="majorBidi" w:cstheme="majorBidi"/>
        </w:rPr>
        <w:t>: (</w:t>
      </w:r>
      <w:r w:rsidRPr="008278A4">
        <w:rPr>
          <w:rFonts w:asciiTheme="majorBidi" w:hAnsiTheme="majorBidi" w:cstheme="majorBidi"/>
        </w:rPr>
        <w:t xml:space="preserve">i) </w:t>
      </w:r>
      <w:r w:rsidR="00581678">
        <w:rPr>
          <w:rFonts w:asciiTheme="majorBidi" w:hAnsiTheme="majorBidi" w:cstheme="majorBidi"/>
        </w:rPr>
        <w:t>a</w:t>
      </w:r>
      <w:r w:rsidRPr="008278A4">
        <w:rPr>
          <w:rFonts w:asciiTheme="majorBidi" w:hAnsiTheme="majorBidi" w:cstheme="majorBidi"/>
        </w:rPr>
        <w:t xml:space="preserve">ssistance to States for the review of, and potential amendment to, their international investment instruments; and (ii) </w:t>
      </w:r>
      <w:r w:rsidR="00581678">
        <w:rPr>
          <w:rFonts w:asciiTheme="majorBidi" w:hAnsiTheme="majorBidi" w:cstheme="majorBidi"/>
        </w:rPr>
        <w:t>l</w:t>
      </w:r>
      <w:r w:rsidRPr="008278A4">
        <w:rPr>
          <w:rFonts w:asciiTheme="majorBidi" w:hAnsiTheme="majorBidi" w:cstheme="majorBidi"/>
        </w:rPr>
        <w:t>egal advice on whether a measure or contemplated measure would violate treaty obligations (which might require considering whether early legal advice by an advisory centre would carry any formal significance).</w:t>
      </w:r>
    </w:p>
    <w:p w14:paraId="2B9D223E" w14:textId="3B621C2A" w:rsidR="00302A12" w:rsidRPr="00281D37" w:rsidRDefault="00302A12" w:rsidP="00302A12">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281D37">
        <w:rPr>
          <w:rFonts w:asciiTheme="majorBidi" w:hAnsiTheme="majorBidi" w:cstheme="majorBidi"/>
        </w:rPr>
        <w:t>Many States could benefit from expert advice on international investment law and policy. It may be noted that the expertise necessary to engage in these advisory services may differ (in some cases significantly) from that required for defence</w:t>
      </w:r>
      <w:r w:rsidR="00803F80">
        <w:rPr>
          <w:rFonts w:asciiTheme="majorBidi" w:hAnsiTheme="majorBidi" w:cstheme="majorBidi"/>
        </w:rPr>
        <w:t xml:space="preserve"> servi</w:t>
      </w:r>
      <w:r w:rsidR="0086785F">
        <w:rPr>
          <w:rFonts w:asciiTheme="majorBidi" w:hAnsiTheme="majorBidi" w:cstheme="majorBidi"/>
        </w:rPr>
        <w:t>ces</w:t>
      </w:r>
      <w:r w:rsidRPr="00281D37">
        <w:rPr>
          <w:rFonts w:asciiTheme="majorBidi" w:hAnsiTheme="majorBidi" w:cstheme="majorBidi"/>
        </w:rPr>
        <w:t xml:space="preserve">. In </w:t>
      </w:r>
      <w:r w:rsidRPr="008278A4">
        <w:rPr>
          <w:rFonts w:asciiTheme="majorBidi" w:hAnsiTheme="majorBidi" w:cstheme="majorBidi"/>
        </w:rPr>
        <w:t xml:space="preserve">that respect, close interaction between defence counsels, treaty negotiators and implementing agencies/authorities is important for a number of reasons and an advisory centre may help </w:t>
      </w:r>
      <w:r w:rsidR="0086785F">
        <w:rPr>
          <w:rFonts w:asciiTheme="majorBidi" w:hAnsiTheme="majorBidi" w:cstheme="majorBidi"/>
        </w:rPr>
        <w:t xml:space="preserve">to </w:t>
      </w:r>
      <w:r w:rsidRPr="008278A4">
        <w:rPr>
          <w:rFonts w:asciiTheme="majorBidi" w:hAnsiTheme="majorBidi" w:cstheme="majorBidi"/>
        </w:rPr>
        <w:t>facilitate that interaction</w:t>
      </w:r>
      <w:r w:rsidRPr="00281D37">
        <w:rPr>
          <w:rFonts w:asciiTheme="majorBidi" w:hAnsiTheme="majorBidi" w:cstheme="majorBidi"/>
        </w:rPr>
        <w:t xml:space="preserve">. </w:t>
      </w:r>
      <w:r w:rsidR="00A222E7">
        <w:rPr>
          <w:rFonts w:asciiTheme="majorBidi" w:hAnsiTheme="majorBidi" w:cstheme="majorBidi"/>
        </w:rPr>
        <w:t>As provided for under draft provision 1(c)(ii), t</w:t>
      </w:r>
      <w:r w:rsidR="00CA4534" w:rsidRPr="008278A4">
        <w:rPr>
          <w:rFonts w:asciiTheme="majorBidi" w:hAnsiTheme="majorBidi" w:cstheme="majorBidi"/>
        </w:rPr>
        <w:t xml:space="preserve">he centre could serve as a convening platform for future monitoring and discussions </w:t>
      </w:r>
      <w:r w:rsidR="00281D37" w:rsidRPr="008278A4">
        <w:rPr>
          <w:rFonts w:asciiTheme="majorBidi" w:hAnsiTheme="majorBidi" w:cstheme="majorBidi"/>
        </w:rPr>
        <w:t>for</w:t>
      </w:r>
      <w:r w:rsidR="00FB2CF2" w:rsidRPr="008278A4">
        <w:rPr>
          <w:rFonts w:asciiTheme="majorBidi" w:hAnsiTheme="majorBidi" w:cstheme="majorBidi"/>
        </w:rPr>
        <w:t xml:space="preserve"> all </w:t>
      </w:r>
      <w:r w:rsidR="00281D37" w:rsidRPr="008278A4">
        <w:rPr>
          <w:rFonts w:asciiTheme="majorBidi" w:hAnsiTheme="majorBidi" w:cstheme="majorBidi"/>
        </w:rPr>
        <w:t>stakeholders</w:t>
      </w:r>
      <w:r w:rsidR="00FB2CF2" w:rsidRPr="008278A4">
        <w:rPr>
          <w:rFonts w:asciiTheme="majorBidi" w:hAnsiTheme="majorBidi" w:cstheme="majorBidi"/>
        </w:rPr>
        <w:t>.</w:t>
      </w:r>
      <w:r w:rsidR="00FB2CF2" w:rsidRPr="00281D37">
        <w:rPr>
          <w:rFonts w:asciiTheme="majorBidi" w:hAnsiTheme="majorBidi" w:cstheme="majorBidi"/>
        </w:rPr>
        <w:t xml:space="preserve"> </w:t>
      </w:r>
      <w:r w:rsidR="00281D37" w:rsidRPr="00281D37">
        <w:rPr>
          <w:rFonts w:asciiTheme="majorBidi" w:hAnsiTheme="majorBidi" w:cstheme="majorBidi"/>
        </w:rPr>
        <w:t>A</w:t>
      </w:r>
      <w:r w:rsidRPr="00281D37">
        <w:rPr>
          <w:rFonts w:asciiTheme="majorBidi" w:hAnsiTheme="majorBidi" w:cstheme="majorBidi"/>
        </w:rPr>
        <w:t xml:space="preserve">t its thirty-ninth session, the Working Group also underlined that an advisory centre could constitute a means to implement some of the reform suggestions </w:t>
      </w:r>
      <w:r w:rsidR="00FB5C0C" w:rsidRPr="00281D37">
        <w:rPr>
          <w:rFonts w:asciiTheme="majorBidi" w:hAnsiTheme="majorBidi" w:cstheme="majorBidi"/>
        </w:rPr>
        <w:t xml:space="preserve">such as on </w:t>
      </w:r>
      <w:r w:rsidRPr="00281D37">
        <w:rPr>
          <w:rFonts w:asciiTheme="majorBidi" w:hAnsiTheme="majorBidi" w:cstheme="majorBidi"/>
        </w:rPr>
        <w:t>treaty interpretation (A/CN.9/1044, para. 98)</w:t>
      </w:r>
      <w:r w:rsidR="00081EB8" w:rsidRPr="00281D37">
        <w:rPr>
          <w:rFonts w:asciiTheme="majorBidi" w:hAnsiTheme="majorBidi" w:cstheme="majorBidi"/>
        </w:rPr>
        <w:t>.</w:t>
      </w:r>
      <w:r w:rsidR="00EE18BD" w:rsidRPr="00281D37">
        <w:rPr>
          <w:rFonts w:asciiTheme="majorBidi" w:hAnsiTheme="majorBidi" w:cstheme="majorBidi"/>
        </w:rPr>
        <w:t xml:space="preserve"> </w:t>
      </w:r>
      <w:r w:rsidR="008D0BC0" w:rsidRPr="00281D37">
        <w:rPr>
          <w:rFonts w:asciiTheme="majorBidi" w:hAnsiTheme="majorBidi" w:cstheme="majorBidi"/>
        </w:rPr>
        <w:t xml:space="preserve"> </w:t>
      </w:r>
    </w:p>
    <w:p w14:paraId="7EDF33C3" w14:textId="55263B4E" w:rsidR="00EA19BC" w:rsidRPr="00001006" w:rsidRDefault="00280223" w:rsidP="00D56BCD">
      <w:pPr>
        <w:pStyle w:val="SingleTxt"/>
        <w:tabs>
          <w:tab w:val="clear" w:pos="1742"/>
          <w:tab w:val="left" w:pos="709"/>
          <w:tab w:val="left" w:pos="2127"/>
        </w:tabs>
        <w:ind w:left="1642"/>
        <w:rPr>
          <w:rFonts w:asciiTheme="majorBidi" w:hAnsiTheme="majorBidi" w:cstheme="majorBidi"/>
          <w:b/>
          <w:bCs/>
        </w:rPr>
      </w:pPr>
      <w:r w:rsidRPr="00001006">
        <w:rPr>
          <w:rFonts w:asciiTheme="majorBidi" w:hAnsiTheme="majorBidi" w:cstheme="majorBidi"/>
          <w:b/>
          <w:bCs/>
        </w:rPr>
        <w:t>5</w:t>
      </w:r>
      <w:r w:rsidR="005A4735" w:rsidRPr="00001006">
        <w:rPr>
          <w:rFonts w:asciiTheme="majorBidi" w:hAnsiTheme="majorBidi" w:cstheme="majorBidi"/>
          <w:b/>
          <w:bCs/>
        </w:rPr>
        <w:t xml:space="preserve">. </w:t>
      </w:r>
      <w:r w:rsidR="00EA19BC" w:rsidRPr="00001006">
        <w:rPr>
          <w:rFonts w:asciiTheme="majorBidi" w:hAnsiTheme="majorBidi" w:cstheme="majorBidi"/>
          <w:b/>
          <w:bCs/>
        </w:rPr>
        <w:t xml:space="preserve">Capacity building and </w:t>
      </w:r>
      <w:r w:rsidR="00290C9C" w:rsidRPr="00001006">
        <w:rPr>
          <w:rFonts w:asciiTheme="majorBidi" w:hAnsiTheme="majorBidi" w:cstheme="majorBidi"/>
          <w:b/>
          <w:bCs/>
        </w:rPr>
        <w:t>sharing of best practices</w:t>
      </w:r>
    </w:p>
    <w:p w14:paraId="76BE06F6" w14:textId="0D7406F0" w:rsidR="00465282" w:rsidRDefault="00465282" w:rsidP="0040199E">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The Working Group may wish to consider the following draft provision 2(</w:t>
      </w:r>
      <w:r w:rsidR="00A47E36">
        <w:rPr>
          <w:rFonts w:asciiTheme="majorBidi" w:hAnsiTheme="majorBidi" w:cstheme="majorBidi"/>
        </w:rPr>
        <w:t>e</w:t>
      </w:r>
      <w:r>
        <w:rPr>
          <w:rFonts w:asciiTheme="majorBidi" w:hAnsiTheme="majorBidi" w:cstheme="majorBidi"/>
        </w:rPr>
        <w:t xml:space="preserve">) </w:t>
      </w:r>
      <w:r w:rsidR="003070C0" w:rsidRPr="00C8555F">
        <w:rPr>
          <w:rFonts w:asciiTheme="majorBidi" w:hAnsiTheme="majorBidi" w:cstheme="majorBidi"/>
        </w:rPr>
        <w:t>which include</w:t>
      </w:r>
      <w:r w:rsidR="003070C0">
        <w:rPr>
          <w:rFonts w:asciiTheme="majorBidi" w:hAnsiTheme="majorBidi" w:cstheme="majorBidi"/>
        </w:rPr>
        <w:t>s</w:t>
      </w:r>
      <w:r w:rsidR="003070C0" w:rsidRPr="00C8555F">
        <w:rPr>
          <w:rFonts w:asciiTheme="majorBidi" w:hAnsiTheme="majorBidi" w:cstheme="majorBidi"/>
        </w:rPr>
        <w:t xml:space="preserve"> suggestions regarding (i) training of government officials, including in treaty negotiation and the interpretation of investment obligations; (ii) knowledge sharing mechanisms; (iii) data collections and functions as a centralized repository</w:t>
      </w:r>
      <w:r w:rsidR="003070C0" w:rsidRPr="008C3C79">
        <w:rPr>
          <w:rFonts w:asciiTheme="majorBidi" w:hAnsiTheme="majorBidi" w:cstheme="majorBidi"/>
        </w:rPr>
        <w:t xml:space="preserve"> of information; and (iv) additional services that a centre may provide, through appropriate means (A/CN.9/1004, paras. 44 and 49)</w:t>
      </w:r>
      <w:r>
        <w:rPr>
          <w:rFonts w:asciiTheme="majorBidi" w:hAnsiTheme="majorBidi" w:cstheme="majorBidi"/>
        </w:rPr>
        <w:t>.</w:t>
      </w:r>
      <w:r w:rsidR="00A222E7">
        <w:rPr>
          <w:rFonts w:asciiTheme="majorBidi" w:hAnsiTheme="majorBidi" w:cstheme="majorBidi"/>
        </w:rPr>
        <w:t xml:space="preserve"> The Working Group may wish to consider whether this provision could be merged with draft provision 1(c)(ii).</w:t>
      </w:r>
    </w:p>
    <w:p w14:paraId="482BCA32" w14:textId="00928E9C" w:rsidR="00465282" w:rsidRPr="00A47E36" w:rsidRDefault="00465282" w:rsidP="00465282">
      <w:pPr>
        <w:pStyle w:val="SingleTxt"/>
        <w:tabs>
          <w:tab w:val="clear" w:pos="1742"/>
          <w:tab w:val="clear" w:pos="2218"/>
          <w:tab w:val="left" w:pos="1701"/>
          <w:tab w:val="num" w:pos="3126"/>
        </w:tabs>
        <w:ind w:left="1276"/>
        <w:rPr>
          <w:rFonts w:asciiTheme="majorBidi" w:hAnsiTheme="majorBidi" w:cstheme="majorBidi"/>
          <w:b/>
          <w:bCs/>
        </w:rPr>
      </w:pPr>
      <w:r w:rsidRPr="00A47E36">
        <w:rPr>
          <w:rFonts w:asciiTheme="majorBidi" w:hAnsiTheme="majorBidi" w:cstheme="majorBidi"/>
          <w:b/>
          <w:bCs/>
        </w:rPr>
        <w:t>Draft provisions 2(</w:t>
      </w:r>
      <w:r w:rsidR="00A47E36">
        <w:rPr>
          <w:rFonts w:asciiTheme="majorBidi" w:hAnsiTheme="majorBidi" w:cstheme="majorBidi"/>
          <w:b/>
          <w:bCs/>
        </w:rPr>
        <w:t>e</w:t>
      </w:r>
      <w:r w:rsidRPr="00A47E36">
        <w:rPr>
          <w:rFonts w:asciiTheme="majorBidi" w:hAnsiTheme="majorBidi" w:cstheme="majorBidi"/>
          <w:b/>
          <w:bCs/>
        </w:rPr>
        <w:t>)</w:t>
      </w:r>
    </w:p>
    <w:p w14:paraId="6E45818B" w14:textId="5E8DE2D5" w:rsidR="00A47E36" w:rsidRPr="008C3C79" w:rsidRDefault="00A47E36" w:rsidP="00A47E36">
      <w:pPr>
        <w:pStyle w:val="SingleTxt"/>
        <w:tabs>
          <w:tab w:val="clear" w:pos="1267"/>
          <w:tab w:val="left" w:pos="709"/>
          <w:tab w:val="left" w:pos="1701"/>
          <w:tab w:val="left" w:pos="2127"/>
        </w:tabs>
        <w:ind w:left="1644"/>
        <w:rPr>
          <w:rFonts w:asciiTheme="majorBidi" w:hAnsiTheme="majorBidi" w:cstheme="majorBidi"/>
          <w:i/>
          <w:iCs/>
        </w:rPr>
      </w:pPr>
      <w:r>
        <w:rPr>
          <w:rFonts w:asciiTheme="majorBidi" w:hAnsiTheme="majorBidi" w:cstheme="majorBidi"/>
          <w:i/>
          <w:iCs/>
        </w:rPr>
        <w:t>[2. T</w:t>
      </w:r>
      <w:r w:rsidRPr="008C3C79">
        <w:rPr>
          <w:rFonts w:asciiTheme="majorBidi" w:hAnsiTheme="majorBidi" w:cstheme="majorBidi"/>
          <w:i/>
          <w:iCs/>
        </w:rPr>
        <w:t>he Centre shall</w:t>
      </w:r>
      <w:r>
        <w:rPr>
          <w:rFonts w:asciiTheme="majorBidi" w:hAnsiTheme="majorBidi" w:cstheme="majorBidi"/>
          <w:i/>
          <w:iCs/>
        </w:rPr>
        <w:t xml:space="preserve"> provide the following services</w:t>
      </w:r>
      <w:r w:rsidRPr="008C3C79">
        <w:rPr>
          <w:rFonts w:asciiTheme="majorBidi" w:hAnsiTheme="majorBidi" w:cstheme="majorBidi"/>
          <w:i/>
          <w:iCs/>
        </w:rPr>
        <w:t>:</w:t>
      </w:r>
      <w:r>
        <w:rPr>
          <w:rFonts w:asciiTheme="majorBidi" w:hAnsiTheme="majorBidi" w:cstheme="majorBidi"/>
          <w:i/>
          <w:iCs/>
        </w:rPr>
        <w:t>]</w:t>
      </w:r>
    </w:p>
    <w:p w14:paraId="7B87B67E" w14:textId="67CE3C3A" w:rsidR="00A47E36" w:rsidRDefault="00A47E36" w:rsidP="00A47E36">
      <w:pPr>
        <w:pStyle w:val="SingleTxt"/>
        <w:tabs>
          <w:tab w:val="clear" w:pos="1267"/>
          <w:tab w:val="clear" w:pos="1742"/>
          <w:tab w:val="clear" w:pos="2693"/>
          <w:tab w:val="clear" w:pos="4133"/>
          <w:tab w:val="clear" w:pos="4622"/>
          <w:tab w:val="clear" w:pos="5098"/>
          <w:tab w:val="clear" w:pos="5573"/>
          <w:tab w:val="clear" w:pos="6048"/>
          <w:tab w:val="left" w:pos="3402"/>
        </w:tabs>
        <w:ind w:left="1984"/>
        <w:rPr>
          <w:rFonts w:asciiTheme="majorBidi" w:hAnsiTheme="majorBidi" w:cstheme="majorBidi"/>
          <w:i/>
          <w:iCs/>
        </w:rPr>
      </w:pPr>
      <w:r>
        <w:rPr>
          <w:rFonts w:asciiTheme="majorBidi" w:hAnsiTheme="majorBidi" w:cstheme="majorBidi"/>
          <w:i/>
          <w:iCs/>
        </w:rPr>
        <w:t>e) D</w:t>
      </w:r>
      <w:r w:rsidRPr="00DB3E7B">
        <w:rPr>
          <w:rFonts w:asciiTheme="majorBidi" w:hAnsiTheme="majorBidi" w:cstheme="majorBidi"/>
          <w:i/>
          <w:iCs/>
        </w:rPr>
        <w:t>ata collection</w:t>
      </w:r>
      <w:r>
        <w:rPr>
          <w:rFonts w:asciiTheme="majorBidi" w:hAnsiTheme="majorBidi" w:cstheme="majorBidi"/>
          <w:i/>
          <w:iCs/>
        </w:rPr>
        <w:t xml:space="preserve"> service</w:t>
      </w:r>
      <w:r w:rsidRPr="00DB3E7B">
        <w:rPr>
          <w:rFonts w:asciiTheme="majorBidi" w:hAnsiTheme="majorBidi" w:cstheme="majorBidi"/>
          <w:i/>
          <w:iCs/>
        </w:rPr>
        <w:t>s</w:t>
      </w:r>
      <w:r>
        <w:rPr>
          <w:rFonts w:asciiTheme="majorBidi" w:hAnsiTheme="majorBidi" w:cstheme="majorBidi"/>
          <w:i/>
          <w:iCs/>
        </w:rPr>
        <w:t>, as well as</w:t>
      </w:r>
      <w:r w:rsidRPr="00DB3E7B">
        <w:rPr>
          <w:rFonts w:asciiTheme="majorBidi" w:hAnsiTheme="majorBidi" w:cstheme="majorBidi"/>
          <w:i/>
          <w:iCs/>
        </w:rPr>
        <w:t xml:space="preserve"> </w:t>
      </w:r>
      <w:r w:rsidRPr="00B7534B">
        <w:rPr>
          <w:rFonts w:asciiTheme="majorBidi" w:hAnsiTheme="majorBidi" w:cstheme="majorBidi"/>
          <w:i/>
          <w:iCs/>
        </w:rPr>
        <w:t xml:space="preserve">a forum for </w:t>
      </w:r>
      <w:r>
        <w:rPr>
          <w:rFonts w:asciiTheme="majorBidi" w:hAnsiTheme="majorBidi" w:cstheme="majorBidi"/>
          <w:i/>
          <w:iCs/>
        </w:rPr>
        <w:t>Beneficiaries</w:t>
      </w:r>
      <w:r w:rsidRPr="00B7534B">
        <w:rPr>
          <w:rFonts w:asciiTheme="majorBidi" w:hAnsiTheme="majorBidi" w:cstheme="majorBidi"/>
          <w:i/>
          <w:iCs/>
        </w:rPr>
        <w:t xml:space="preserve"> to discuss, exchange information on, and develop best practices for matters relating to international investment law</w:t>
      </w:r>
      <w:r>
        <w:rPr>
          <w:rFonts w:asciiTheme="majorBidi" w:hAnsiTheme="majorBidi" w:cstheme="majorBidi"/>
          <w:i/>
          <w:iCs/>
        </w:rPr>
        <w:t xml:space="preserve">, and also </w:t>
      </w:r>
      <w:r w:rsidRPr="00B7534B">
        <w:rPr>
          <w:rFonts w:asciiTheme="majorBidi" w:hAnsiTheme="majorBidi" w:cstheme="majorBidi"/>
          <w:i/>
          <w:iCs/>
        </w:rPr>
        <w:t>capacity building and training activities</w:t>
      </w:r>
      <w:r w:rsidRPr="00DB3E7B">
        <w:rPr>
          <w:rFonts w:asciiTheme="majorBidi" w:hAnsiTheme="majorBidi" w:cstheme="majorBidi"/>
          <w:i/>
          <w:iCs/>
        </w:rPr>
        <w:t>, including regarding treaty negotiation and the interpretation of investment obligations</w:t>
      </w:r>
      <w:r>
        <w:rPr>
          <w:rFonts w:asciiTheme="majorBidi" w:hAnsiTheme="majorBidi" w:cstheme="majorBidi"/>
          <w:i/>
          <w:iCs/>
        </w:rPr>
        <w:t>,</w:t>
      </w:r>
      <w:r w:rsidRPr="00B7534B">
        <w:rPr>
          <w:rFonts w:asciiTheme="majorBidi" w:hAnsiTheme="majorBidi" w:cstheme="majorBidi"/>
          <w:i/>
          <w:iCs/>
        </w:rPr>
        <w:t xml:space="preserve"> through appropriate means</w:t>
      </w:r>
      <w:r>
        <w:rPr>
          <w:rFonts w:asciiTheme="majorBidi" w:hAnsiTheme="majorBidi" w:cstheme="majorBidi"/>
          <w:i/>
          <w:iCs/>
        </w:rPr>
        <w:t>.</w:t>
      </w:r>
    </w:p>
    <w:p w14:paraId="6DE96E22" w14:textId="5D9E4A49" w:rsidR="00A47E36" w:rsidRPr="00A47E36" w:rsidRDefault="00A47E36" w:rsidP="00A47E36">
      <w:pPr>
        <w:pStyle w:val="SingleTxt"/>
        <w:tabs>
          <w:tab w:val="clear" w:pos="1267"/>
          <w:tab w:val="clear" w:pos="1742"/>
          <w:tab w:val="clear" w:pos="2693"/>
          <w:tab w:val="clear" w:pos="4133"/>
          <w:tab w:val="clear" w:pos="4622"/>
          <w:tab w:val="clear" w:pos="5098"/>
          <w:tab w:val="clear" w:pos="5573"/>
          <w:tab w:val="clear" w:pos="6048"/>
          <w:tab w:val="left" w:pos="3402"/>
        </w:tabs>
        <w:rPr>
          <w:rFonts w:asciiTheme="majorBidi" w:hAnsiTheme="majorBidi" w:cstheme="majorBidi"/>
          <w:b/>
          <w:bCs/>
        </w:rPr>
      </w:pPr>
      <w:r w:rsidRPr="00A47E36">
        <w:rPr>
          <w:rFonts w:asciiTheme="majorBidi" w:hAnsiTheme="majorBidi" w:cstheme="majorBidi"/>
          <w:b/>
          <w:bCs/>
          <w:i/>
          <w:iCs/>
        </w:rPr>
        <w:t>Comments</w:t>
      </w:r>
    </w:p>
    <w:p w14:paraId="6AF095E2" w14:textId="772237A7" w:rsidR="0040199E" w:rsidRPr="008C3C79" w:rsidRDefault="00F22910" w:rsidP="0040199E">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Regarding capacity-building, it was emphasized</w:t>
      </w:r>
      <w:r w:rsidR="00290C9C" w:rsidRPr="008C3C79">
        <w:rPr>
          <w:rFonts w:asciiTheme="majorBidi" w:hAnsiTheme="majorBidi" w:cstheme="majorBidi"/>
        </w:rPr>
        <w:t xml:space="preserve"> in the Working Group</w:t>
      </w:r>
      <w:r w:rsidRPr="008C3C79">
        <w:rPr>
          <w:rFonts w:asciiTheme="majorBidi" w:hAnsiTheme="majorBidi" w:cstheme="majorBidi"/>
        </w:rPr>
        <w:t xml:space="preserve"> that there </w:t>
      </w:r>
      <w:r w:rsidR="00290C9C" w:rsidRPr="008C3C79">
        <w:rPr>
          <w:rFonts w:asciiTheme="majorBidi" w:hAnsiTheme="majorBidi" w:cstheme="majorBidi"/>
        </w:rPr>
        <w:t>is</w:t>
      </w:r>
      <w:r w:rsidR="00536EB8">
        <w:rPr>
          <w:rFonts w:asciiTheme="majorBidi" w:hAnsiTheme="majorBidi" w:cstheme="majorBidi"/>
        </w:rPr>
        <w:t xml:space="preserve"> a deficit </w:t>
      </w:r>
      <w:r w:rsidR="00E549A4">
        <w:rPr>
          <w:rFonts w:asciiTheme="majorBidi" w:hAnsiTheme="majorBidi" w:cstheme="majorBidi"/>
        </w:rPr>
        <w:t>over capacity to organize and engage</w:t>
      </w:r>
      <w:r w:rsidR="008B3B32">
        <w:rPr>
          <w:rFonts w:asciiTheme="majorBidi" w:hAnsiTheme="majorBidi" w:cstheme="majorBidi"/>
        </w:rPr>
        <w:t xml:space="preserve"> </w:t>
      </w:r>
      <w:r w:rsidR="00E549A4">
        <w:rPr>
          <w:rFonts w:asciiTheme="majorBidi" w:hAnsiTheme="majorBidi" w:cstheme="majorBidi"/>
        </w:rPr>
        <w:t>on the part of developing and least-developed States</w:t>
      </w:r>
      <w:r w:rsidRPr="008C3C79">
        <w:rPr>
          <w:rFonts w:asciiTheme="majorBidi" w:hAnsiTheme="majorBidi" w:cstheme="majorBidi"/>
        </w:rPr>
        <w:t xml:space="preserve">, particularly with respect to financial and human resources. </w:t>
      </w:r>
      <w:r w:rsidR="00290C9C" w:rsidRPr="008C3C79">
        <w:rPr>
          <w:rFonts w:asciiTheme="majorBidi" w:hAnsiTheme="majorBidi" w:cstheme="majorBidi"/>
        </w:rPr>
        <w:t>Therefore, it is often considered that</w:t>
      </w:r>
      <w:r w:rsidRPr="008C3C79">
        <w:rPr>
          <w:rFonts w:asciiTheme="majorBidi" w:hAnsiTheme="majorBidi" w:cstheme="majorBidi"/>
        </w:rPr>
        <w:t xml:space="preserve"> capacity-building should aim at increasing the capabilities of the beneficiaries over time, rather than making them dependent on the services. </w:t>
      </w:r>
      <w:r w:rsidR="00BB7313">
        <w:rPr>
          <w:rFonts w:asciiTheme="majorBidi" w:hAnsiTheme="majorBidi" w:cstheme="majorBidi"/>
        </w:rPr>
        <w:t>In this regard, the development of secondment programs with States could also play a role.</w:t>
      </w:r>
    </w:p>
    <w:p w14:paraId="2ED2CDFD" w14:textId="288A0723" w:rsidR="00EA19BC" w:rsidRPr="008C3C79" w:rsidRDefault="00EA19BC" w:rsidP="003865E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In this regard, it is proposed that the </w:t>
      </w:r>
      <w:r w:rsidR="002160BE" w:rsidRPr="008C3C79">
        <w:rPr>
          <w:rFonts w:asciiTheme="majorBidi" w:hAnsiTheme="majorBidi" w:cstheme="majorBidi"/>
        </w:rPr>
        <w:t>c</w:t>
      </w:r>
      <w:r w:rsidRPr="008C3C79">
        <w:rPr>
          <w:rFonts w:asciiTheme="majorBidi" w:hAnsiTheme="majorBidi" w:cstheme="majorBidi"/>
        </w:rPr>
        <w:t xml:space="preserve">entre could provide training services or </w:t>
      </w:r>
      <w:r w:rsidR="0040199E" w:rsidRPr="008C3C79">
        <w:rPr>
          <w:rFonts w:asciiTheme="majorBidi" w:hAnsiTheme="majorBidi" w:cstheme="majorBidi"/>
        </w:rPr>
        <w:t>“</w:t>
      </w:r>
      <w:r w:rsidRPr="008C3C79">
        <w:rPr>
          <w:rFonts w:asciiTheme="majorBidi" w:hAnsiTheme="majorBidi" w:cstheme="majorBidi"/>
        </w:rPr>
        <w:t>capacity building</w:t>
      </w:r>
      <w:r w:rsidR="0040199E" w:rsidRPr="008C3C79">
        <w:rPr>
          <w:rFonts w:asciiTheme="majorBidi" w:hAnsiTheme="majorBidi" w:cstheme="majorBidi"/>
        </w:rPr>
        <w:t>”</w:t>
      </w:r>
      <w:r w:rsidRPr="008C3C79">
        <w:rPr>
          <w:rFonts w:asciiTheme="majorBidi" w:hAnsiTheme="majorBidi" w:cstheme="majorBidi"/>
        </w:rPr>
        <w:t xml:space="preserve"> platform and activities to States representatives and government officials. These services could be implemented through training programmes, </w:t>
      </w:r>
      <w:r w:rsidRPr="008278A4">
        <w:rPr>
          <w:rFonts w:asciiTheme="majorBidi" w:hAnsiTheme="majorBidi" w:cstheme="majorBidi"/>
        </w:rPr>
        <w:t>offering trainee and secondment position</w:t>
      </w:r>
      <w:r w:rsidR="001D0EB0" w:rsidRPr="008278A4">
        <w:rPr>
          <w:rFonts w:asciiTheme="majorBidi" w:hAnsiTheme="majorBidi" w:cstheme="majorBidi"/>
        </w:rPr>
        <w:t xml:space="preserve">s to allow </w:t>
      </w:r>
      <w:r w:rsidR="00E411DC" w:rsidRPr="008278A4">
        <w:rPr>
          <w:rFonts w:asciiTheme="majorBidi" w:hAnsiTheme="majorBidi" w:cstheme="majorBidi"/>
        </w:rPr>
        <w:t>first</w:t>
      </w:r>
      <w:r w:rsidR="00E143DE" w:rsidRPr="008278A4">
        <w:rPr>
          <w:rFonts w:asciiTheme="majorBidi" w:hAnsiTheme="majorBidi" w:cstheme="majorBidi"/>
        </w:rPr>
        <w:t>-</w:t>
      </w:r>
      <w:r w:rsidR="00E411DC" w:rsidRPr="008278A4">
        <w:rPr>
          <w:rFonts w:asciiTheme="majorBidi" w:hAnsiTheme="majorBidi" w:cstheme="majorBidi"/>
        </w:rPr>
        <w:t>hand</w:t>
      </w:r>
      <w:r w:rsidR="001D0EB0" w:rsidRPr="008278A4">
        <w:rPr>
          <w:rFonts w:asciiTheme="majorBidi" w:hAnsiTheme="majorBidi" w:cstheme="majorBidi"/>
        </w:rPr>
        <w:t xml:space="preserve"> experience on ISDS cases</w:t>
      </w:r>
      <w:r w:rsidRPr="008278A4">
        <w:rPr>
          <w:rFonts w:asciiTheme="majorBidi" w:hAnsiTheme="majorBidi" w:cstheme="majorBidi"/>
        </w:rPr>
        <w:t xml:space="preserve"> and by providing information on ISDS</w:t>
      </w:r>
      <w:r w:rsidRPr="008C3C79">
        <w:rPr>
          <w:rFonts w:asciiTheme="majorBidi" w:hAnsiTheme="majorBidi" w:cstheme="majorBidi"/>
        </w:rPr>
        <w:t>, including managing a database of cases. This would allow State representatives to be engaged with information on ISDS and be fully informed on the full range of investment issues, increasing their awareness on potential investment claims</w:t>
      </w:r>
      <w:r w:rsidR="00337A06">
        <w:rPr>
          <w:rFonts w:asciiTheme="majorBidi" w:hAnsiTheme="majorBidi" w:cstheme="majorBidi"/>
        </w:rPr>
        <w:t>,</w:t>
      </w:r>
      <w:r w:rsidRPr="008C3C79">
        <w:rPr>
          <w:rFonts w:asciiTheme="majorBidi" w:hAnsiTheme="majorBidi" w:cstheme="majorBidi"/>
        </w:rPr>
        <w:t xml:space="preserve"> and</w:t>
      </w:r>
      <w:r w:rsidR="00337A06">
        <w:rPr>
          <w:rFonts w:asciiTheme="majorBidi" w:hAnsiTheme="majorBidi" w:cstheme="majorBidi"/>
        </w:rPr>
        <w:t xml:space="preserve"> this would</w:t>
      </w:r>
      <w:r w:rsidRPr="008C3C79">
        <w:rPr>
          <w:rFonts w:asciiTheme="majorBidi" w:hAnsiTheme="majorBidi" w:cstheme="majorBidi"/>
        </w:rPr>
        <w:t xml:space="preserve"> enhance their readiness to respond to such claims.</w:t>
      </w:r>
    </w:p>
    <w:p w14:paraId="64989B02" w14:textId="6C9A5CE7" w:rsidR="00B81195" w:rsidRPr="008C3C79" w:rsidRDefault="000D3D12" w:rsidP="003865E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Additionally, the Working Group may wish to note the existing resources available to help States with investment-related issues.  </w:t>
      </w:r>
      <w:r w:rsidR="00024C61">
        <w:rPr>
          <w:rFonts w:asciiTheme="majorBidi" w:hAnsiTheme="majorBidi" w:cstheme="majorBidi"/>
        </w:rPr>
        <w:t>T</w:t>
      </w:r>
      <w:r w:rsidRPr="008C3C79">
        <w:rPr>
          <w:rFonts w:asciiTheme="majorBidi" w:hAnsiTheme="majorBidi" w:cstheme="majorBidi"/>
        </w:rPr>
        <w:t xml:space="preserve">he </w:t>
      </w:r>
      <w:r w:rsidR="002160BE" w:rsidRPr="008C3C79">
        <w:rPr>
          <w:rFonts w:asciiTheme="majorBidi" w:hAnsiTheme="majorBidi" w:cstheme="majorBidi"/>
        </w:rPr>
        <w:t>c</w:t>
      </w:r>
      <w:r w:rsidRPr="008C3C79">
        <w:rPr>
          <w:rFonts w:asciiTheme="majorBidi" w:hAnsiTheme="majorBidi" w:cstheme="majorBidi"/>
        </w:rPr>
        <w:t xml:space="preserve">entre could also </w:t>
      </w:r>
      <w:r w:rsidRPr="008278A4">
        <w:rPr>
          <w:rFonts w:asciiTheme="majorBidi" w:hAnsiTheme="majorBidi" w:cstheme="majorBidi"/>
        </w:rPr>
        <w:t xml:space="preserve">play a role in compiling, organizing and disseminating existing resources to relevant </w:t>
      </w:r>
      <w:r w:rsidR="001D0EB0" w:rsidRPr="008278A4">
        <w:rPr>
          <w:rFonts w:asciiTheme="majorBidi" w:hAnsiTheme="majorBidi" w:cstheme="majorBidi"/>
        </w:rPr>
        <w:t>S</w:t>
      </w:r>
      <w:r w:rsidRPr="008278A4">
        <w:rPr>
          <w:rFonts w:asciiTheme="majorBidi" w:hAnsiTheme="majorBidi" w:cstheme="majorBidi"/>
        </w:rPr>
        <w:t>tate officials as a way to coordinate the sharing of best practices and information</w:t>
      </w:r>
      <w:r w:rsidRPr="008C3C79">
        <w:rPr>
          <w:rFonts w:asciiTheme="majorBidi" w:hAnsiTheme="majorBidi" w:cstheme="majorBidi"/>
        </w:rPr>
        <w:t xml:space="preserve"> (A/CN.9/WG.III/WP.168, para 24), also regarding best practices for States on dispute </w:t>
      </w:r>
      <w:r w:rsidRPr="008C3C79">
        <w:rPr>
          <w:rFonts w:asciiTheme="majorBidi" w:hAnsiTheme="majorBidi" w:cstheme="majorBidi"/>
        </w:rPr>
        <w:lastRenderedPageBreak/>
        <w:t>prevention and mitigation (</w:t>
      </w:r>
      <w:r w:rsidR="00514637" w:rsidRPr="008C3C79">
        <w:rPr>
          <w:rFonts w:asciiTheme="majorBidi" w:hAnsiTheme="majorBidi" w:cstheme="majorBidi"/>
        </w:rPr>
        <w:t xml:space="preserve">A/CN.9/1044, para. </w:t>
      </w:r>
      <w:r w:rsidR="00EA3C10">
        <w:rPr>
          <w:rFonts w:asciiTheme="majorBidi" w:hAnsiTheme="majorBidi" w:cstheme="majorBidi"/>
        </w:rPr>
        <w:t>26</w:t>
      </w:r>
      <w:r w:rsidRPr="008C3C79">
        <w:rPr>
          <w:rFonts w:asciiTheme="majorBidi" w:hAnsiTheme="majorBidi" w:cstheme="majorBidi"/>
        </w:rPr>
        <w:t xml:space="preserve">), as information </w:t>
      </w:r>
      <w:r w:rsidR="00337A06">
        <w:rPr>
          <w:rFonts w:asciiTheme="majorBidi" w:hAnsiTheme="majorBidi" w:cstheme="majorBidi"/>
        </w:rPr>
        <w:t xml:space="preserve">and resources </w:t>
      </w:r>
      <w:r w:rsidRPr="008C3C79">
        <w:rPr>
          <w:rFonts w:asciiTheme="majorBidi" w:hAnsiTheme="majorBidi" w:cstheme="majorBidi"/>
        </w:rPr>
        <w:t xml:space="preserve">are often dispersed across multiple institutions. </w:t>
      </w:r>
    </w:p>
    <w:p w14:paraId="5170EB47" w14:textId="3F3EF831" w:rsidR="00290C9C" w:rsidRPr="008C3C79" w:rsidRDefault="0040199E" w:rsidP="00745C9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S</w:t>
      </w:r>
      <w:r w:rsidR="00B81195" w:rsidRPr="008C3C79">
        <w:rPr>
          <w:rFonts w:asciiTheme="majorBidi" w:hAnsiTheme="majorBidi" w:cstheme="majorBidi"/>
        </w:rPr>
        <w:t>uch services include the promotion of exchange of experience and expertise regarding the evaluation of arbitrator services as well as establishment of a comprehensive database of potential arbitrator</w:t>
      </w:r>
      <w:r w:rsidR="001D0EB0" w:rsidRPr="008C3C79">
        <w:rPr>
          <w:rFonts w:asciiTheme="majorBidi" w:hAnsiTheme="majorBidi" w:cstheme="majorBidi"/>
        </w:rPr>
        <w:t>s, mediators as well as experts</w:t>
      </w:r>
      <w:r w:rsidR="00B81195" w:rsidRPr="008C3C79">
        <w:rPr>
          <w:rFonts w:asciiTheme="majorBidi" w:hAnsiTheme="majorBidi" w:cstheme="majorBidi"/>
        </w:rPr>
        <w:t xml:space="preserve"> with complete and up-to-date profiles available to respondent States.</w:t>
      </w:r>
      <w:r w:rsidRPr="008C3C79">
        <w:rPr>
          <w:rFonts w:asciiTheme="majorBidi" w:hAnsiTheme="majorBidi" w:cstheme="majorBidi"/>
        </w:rPr>
        <w:t xml:space="preserve"> </w:t>
      </w:r>
      <w:r w:rsidR="00024C61">
        <w:rPr>
          <w:rFonts w:asciiTheme="majorBidi" w:hAnsiTheme="majorBidi" w:cstheme="majorBidi"/>
        </w:rPr>
        <w:t>S</w:t>
      </w:r>
      <w:r w:rsidR="00290C9C" w:rsidRPr="008C3C79">
        <w:rPr>
          <w:rFonts w:asciiTheme="majorBidi" w:hAnsiTheme="majorBidi" w:cstheme="majorBidi"/>
        </w:rPr>
        <w:t>upport could also be directed to access to database and research tools, developing of specialized online course</w:t>
      </w:r>
      <w:r w:rsidR="00117FEB">
        <w:rPr>
          <w:rFonts w:asciiTheme="majorBidi" w:hAnsiTheme="majorBidi" w:cstheme="majorBidi"/>
        </w:rPr>
        <w:t>s</w:t>
      </w:r>
      <w:r w:rsidR="00290C9C" w:rsidRPr="008C3C79">
        <w:rPr>
          <w:rFonts w:asciiTheme="majorBidi" w:hAnsiTheme="majorBidi" w:cstheme="majorBidi"/>
        </w:rPr>
        <w:t xml:space="preserve"> and user-driven capacity building workshops and peer exchanges.</w:t>
      </w:r>
    </w:p>
    <w:p w14:paraId="163227D4" w14:textId="2FF351B2" w:rsidR="00A16EED" w:rsidRPr="00001006" w:rsidRDefault="00280223" w:rsidP="00001006">
      <w:pPr>
        <w:pStyle w:val="SingleTxt"/>
        <w:tabs>
          <w:tab w:val="clear" w:pos="1742"/>
          <w:tab w:val="clear" w:pos="2218"/>
          <w:tab w:val="left" w:pos="1701"/>
        </w:tabs>
        <w:rPr>
          <w:rFonts w:asciiTheme="majorBidi" w:hAnsiTheme="majorBidi" w:cstheme="majorBidi"/>
          <w:b/>
          <w:bCs/>
        </w:rPr>
      </w:pPr>
      <w:r>
        <w:rPr>
          <w:rFonts w:asciiTheme="majorBidi" w:hAnsiTheme="majorBidi" w:cstheme="majorBidi"/>
          <w:b/>
          <w:bCs/>
        </w:rPr>
        <w:t>6</w:t>
      </w:r>
      <w:r w:rsidR="00533E22" w:rsidRPr="00001006">
        <w:rPr>
          <w:rFonts w:asciiTheme="majorBidi" w:hAnsiTheme="majorBidi" w:cstheme="majorBidi"/>
          <w:b/>
          <w:bCs/>
        </w:rPr>
        <w:t xml:space="preserve">. </w:t>
      </w:r>
      <w:r w:rsidR="00A16EED" w:rsidRPr="00001006">
        <w:rPr>
          <w:rFonts w:asciiTheme="majorBidi" w:hAnsiTheme="majorBidi" w:cstheme="majorBidi"/>
          <w:b/>
          <w:bCs/>
        </w:rPr>
        <w:t>Prioritization of services</w:t>
      </w:r>
      <w:r w:rsidR="00CF6374" w:rsidRPr="00001006">
        <w:rPr>
          <w:rFonts w:asciiTheme="majorBidi" w:hAnsiTheme="majorBidi" w:cstheme="majorBidi"/>
          <w:b/>
          <w:bCs/>
        </w:rPr>
        <w:t xml:space="preserve"> and flexibility</w:t>
      </w:r>
    </w:p>
    <w:p w14:paraId="1D17509C" w14:textId="41BBBD5E" w:rsidR="003F37F3" w:rsidRDefault="003F37F3" w:rsidP="00745C9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The Working Group may wish to note that draft provision </w:t>
      </w:r>
      <w:r>
        <w:rPr>
          <w:rFonts w:asciiTheme="majorBidi" w:hAnsiTheme="majorBidi" w:cstheme="majorBidi"/>
        </w:rPr>
        <w:t>3</w:t>
      </w:r>
      <w:r w:rsidRPr="008C3C79">
        <w:rPr>
          <w:rFonts w:asciiTheme="majorBidi" w:hAnsiTheme="majorBidi" w:cstheme="majorBidi"/>
        </w:rPr>
        <w:t xml:space="preserve"> </w:t>
      </w:r>
      <w:r w:rsidR="00A47E36">
        <w:rPr>
          <w:rFonts w:asciiTheme="majorBidi" w:hAnsiTheme="majorBidi" w:cstheme="majorBidi"/>
        </w:rPr>
        <w:t>below</w:t>
      </w:r>
      <w:r w:rsidRPr="008C3C79">
        <w:rPr>
          <w:rFonts w:asciiTheme="majorBidi" w:hAnsiTheme="majorBidi" w:cstheme="majorBidi"/>
        </w:rPr>
        <w:t xml:space="preserve"> reflects the view expressed </w:t>
      </w:r>
      <w:r w:rsidR="00545099">
        <w:rPr>
          <w:rFonts w:asciiTheme="majorBidi" w:hAnsiTheme="majorBidi" w:cstheme="majorBidi"/>
        </w:rPr>
        <w:t>in</w:t>
      </w:r>
      <w:r w:rsidRPr="008C3C79">
        <w:rPr>
          <w:rFonts w:asciiTheme="majorBidi" w:hAnsiTheme="majorBidi" w:cstheme="majorBidi"/>
        </w:rPr>
        <w:t xml:space="preserve"> the Working Group at its thirty-eighth session that a flexible approach should be taken with regard to the services to be provided and that the advisory centre should be able to adjust its services to the requests it received (A/CN.9/1004, para. 46).</w:t>
      </w:r>
      <w:r>
        <w:rPr>
          <w:rFonts w:asciiTheme="majorBidi" w:hAnsiTheme="majorBidi" w:cstheme="majorBidi"/>
        </w:rPr>
        <w:t xml:space="preserve"> The Working Group may wish to consider whether this, however, might create some tensions regarding staffing and budget.</w:t>
      </w:r>
    </w:p>
    <w:p w14:paraId="54243535" w14:textId="00DDE18F" w:rsidR="00A47E36" w:rsidRPr="00A47E36" w:rsidRDefault="00A47E36" w:rsidP="00A47E36">
      <w:pPr>
        <w:pStyle w:val="SingleTxt"/>
        <w:tabs>
          <w:tab w:val="clear" w:pos="1742"/>
          <w:tab w:val="clear" w:pos="2218"/>
          <w:tab w:val="left" w:pos="1701"/>
          <w:tab w:val="num" w:pos="3126"/>
        </w:tabs>
        <w:ind w:left="1276"/>
        <w:rPr>
          <w:rFonts w:asciiTheme="majorBidi" w:hAnsiTheme="majorBidi" w:cstheme="majorBidi"/>
          <w:b/>
          <w:bCs/>
          <w:i/>
          <w:iCs/>
        </w:rPr>
      </w:pPr>
      <w:r w:rsidRPr="00A47E36">
        <w:rPr>
          <w:rFonts w:asciiTheme="majorBidi" w:hAnsiTheme="majorBidi" w:cstheme="majorBidi"/>
          <w:b/>
          <w:bCs/>
          <w:i/>
          <w:iCs/>
        </w:rPr>
        <w:t>Draft provision 3</w:t>
      </w:r>
      <w:r w:rsidR="00545099">
        <w:rPr>
          <w:rFonts w:asciiTheme="majorBidi" w:hAnsiTheme="majorBidi" w:cstheme="majorBidi"/>
          <w:b/>
          <w:bCs/>
          <w:i/>
          <w:iCs/>
        </w:rPr>
        <w:t xml:space="preserve"> – Additional Services</w:t>
      </w:r>
    </w:p>
    <w:p w14:paraId="1128595B" w14:textId="77777777" w:rsidR="00A47E36" w:rsidRDefault="00A47E36" w:rsidP="00A47E36">
      <w:pPr>
        <w:pStyle w:val="SingleTxt"/>
        <w:tabs>
          <w:tab w:val="clear" w:pos="1742"/>
          <w:tab w:val="clear" w:pos="2218"/>
          <w:tab w:val="left" w:pos="1701"/>
          <w:tab w:val="num" w:pos="3126"/>
        </w:tabs>
        <w:ind w:left="1644"/>
        <w:rPr>
          <w:rFonts w:asciiTheme="majorBidi" w:hAnsiTheme="majorBidi" w:cstheme="majorBidi"/>
        </w:rPr>
      </w:pPr>
      <w:r>
        <w:rPr>
          <w:rFonts w:asciiTheme="majorBidi" w:hAnsiTheme="majorBidi" w:cstheme="majorBidi"/>
          <w:i/>
          <w:iCs/>
        </w:rPr>
        <w:t>The Centre shall p</w:t>
      </w:r>
      <w:r w:rsidRPr="008C3C79">
        <w:rPr>
          <w:rFonts w:asciiTheme="majorBidi" w:hAnsiTheme="majorBidi" w:cstheme="majorBidi"/>
          <w:i/>
          <w:iCs/>
        </w:rPr>
        <w:t>erform any other function</w:t>
      </w:r>
      <w:r>
        <w:rPr>
          <w:rFonts w:asciiTheme="majorBidi" w:hAnsiTheme="majorBidi" w:cstheme="majorBidi"/>
          <w:i/>
          <w:iCs/>
        </w:rPr>
        <w:t>s</w:t>
      </w:r>
      <w:r w:rsidRPr="008C3C79">
        <w:rPr>
          <w:rFonts w:asciiTheme="majorBidi" w:hAnsiTheme="majorBidi" w:cstheme="majorBidi"/>
          <w:i/>
          <w:iCs/>
        </w:rPr>
        <w:t xml:space="preserve"> assigned to it by the governing body which is directly related to its purpose and in accordance with the obligations and functions of the Centre</w:t>
      </w:r>
      <w:r>
        <w:rPr>
          <w:rFonts w:asciiTheme="majorBidi" w:hAnsiTheme="majorBidi" w:cstheme="majorBidi"/>
          <w:i/>
          <w:iCs/>
        </w:rPr>
        <w:t>.</w:t>
      </w:r>
    </w:p>
    <w:p w14:paraId="69D36561" w14:textId="31C58E9C" w:rsidR="00CF6374" w:rsidRPr="008C3C79" w:rsidRDefault="00280223" w:rsidP="00726882">
      <w:pPr>
        <w:pStyle w:val="SingleTxt"/>
        <w:tabs>
          <w:tab w:val="clear" w:pos="1742"/>
          <w:tab w:val="clear" w:pos="2218"/>
          <w:tab w:val="left" w:pos="1701"/>
          <w:tab w:val="num" w:pos="3126"/>
        </w:tabs>
        <w:rPr>
          <w:rFonts w:asciiTheme="majorBidi" w:hAnsiTheme="majorBidi" w:cstheme="majorBidi"/>
          <w:i/>
          <w:iCs/>
        </w:rPr>
      </w:pPr>
      <w:r>
        <w:rPr>
          <w:rFonts w:asciiTheme="majorBidi" w:hAnsiTheme="majorBidi" w:cstheme="majorBidi"/>
          <w:b/>
          <w:bCs/>
        </w:rPr>
        <w:t>7</w:t>
      </w:r>
      <w:r w:rsidR="00CF6374" w:rsidRPr="008C3C79">
        <w:rPr>
          <w:rFonts w:asciiTheme="majorBidi" w:hAnsiTheme="majorBidi" w:cstheme="majorBidi"/>
          <w:b/>
          <w:bCs/>
          <w:i/>
          <w:iCs/>
        </w:rPr>
        <w:t xml:space="preserve">. </w:t>
      </w:r>
      <w:r w:rsidR="00CF6374" w:rsidRPr="00001006">
        <w:rPr>
          <w:rFonts w:asciiTheme="majorBidi" w:hAnsiTheme="majorBidi" w:cstheme="majorBidi"/>
          <w:b/>
          <w:bCs/>
        </w:rPr>
        <w:t>Avoidance of duplication of services</w:t>
      </w:r>
    </w:p>
    <w:p w14:paraId="6A08698D" w14:textId="77777777" w:rsidR="00CF6374" w:rsidRPr="008C3C79" w:rsidRDefault="00CF6374" w:rsidP="00CF6374">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The Working Group noted that duplication of the work with other organization</w:t>
      </w:r>
      <w:r>
        <w:rPr>
          <w:rFonts w:asciiTheme="majorBidi" w:hAnsiTheme="majorBidi" w:cstheme="majorBidi"/>
        </w:rPr>
        <w:t>s</w:t>
      </w:r>
      <w:r w:rsidRPr="008C3C79">
        <w:rPr>
          <w:rFonts w:asciiTheme="majorBidi" w:hAnsiTheme="majorBidi" w:cstheme="majorBidi"/>
        </w:rPr>
        <w:t xml:space="preserve"> should be avoided when constructing the objectives and functions of the centre. It requested that information about services currently provided by States, regional and international organizations should be gathered with a view to identify possible services to be provided by the advisory centre. Efforts should be made to avoid overlaps and to address possible gaps (A/CN.9/1004, para. 42). </w:t>
      </w:r>
    </w:p>
    <w:p w14:paraId="5FC63C88" w14:textId="77777777" w:rsidR="00CF6374" w:rsidRPr="008C3C79" w:rsidRDefault="00CF6374" w:rsidP="00CF6374">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In that light, the Working Group may wish to note the information contained in a Submission regarding a scoping study.</w:t>
      </w:r>
      <w:r w:rsidRPr="008C3C79">
        <w:rPr>
          <w:rStyle w:val="FootnoteReference"/>
          <w:rFonts w:asciiTheme="majorBidi" w:hAnsiTheme="majorBidi" w:cstheme="majorBidi"/>
        </w:rPr>
        <w:footnoteReference w:id="8"/>
      </w:r>
      <w:r w:rsidRPr="008C3C79">
        <w:rPr>
          <w:rFonts w:asciiTheme="majorBidi" w:hAnsiTheme="majorBidi" w:cstheme="majorBidi"/>
        </w:rPr>
        <w:t xml:space="preserve"> The study notes that </w:t>
      </w:r>
      <w:r w:rsidRPr="008C3C79">
        <w:rPr>
          <w:rFonts w:asciiTheme="majorBidi" w:hAnsiTheme="majorBidi" w:cstheme="majorBidi"/>
          <w:lang w:val="en-US"/>
        </w:rPr>
        <w:t>there is already a wealth of resources available to States with investment-law related issues. Services that are currently available include services that operate on the “clearing</w:t>
      </w:r>
      <w:r>
        <w:rPr>
          <w:rFonts w:asciiTheme="majorBidi" w:hAnsiTheme="majorBidi" w:cstheme="majorBidi"/>
          <w:lang w:val="en-US"/>
        </w:rPr>
        <w:t xml:space="preserve"> </w:t>
      </w:r>
      <w:r w:rsidRPr="008C3C79">
        <w:rPr>
          <w:rFonts w:asciiTheme="majorBidi" w:hAnsiTheme="majorBidi" w:cstheme="majorBidi"/>
          <w:lang w:val="en-US"/>
        </w:rPr>
        <w:t>house model”, facilitating legal relationships between private practitioners and government clients, by providing support</w:t>
      </w:r>
      <w:r>
        <w:rPr>
          <w:rFonts w:asciiTheme="majorBidi" w:hAnsiTheme="majorBidi" w:cstheme="majorBidi"/>
          <w:lang w:val="en-US"/>
        </w:rPr>
        <w:t>s</w:t>
      </w:r>
      <w:r w:rsidRPr="008C3C79">
        <w:rPr>
          <w:rFonts w:asciiTheme="majorBidi" w:hAnsiTheme="majorBidi" w:cstheme="majorBidi"/>
          <w:lang w:val="en-US"/>
        </w:rPr>
        <w:t xml:space="preserve"> in engaging with outside counsels, on top of other services ranging from negotiations, litigation support, capacity building and knowledge management (</w:t>
      </w:r>
      <w:r>
        <w:rPr>
          <w:rFonts w:asciiTheme="majorBidi" w:hAnsiTheme="majorBidi" w:cstheme="majorBidi"/>
          <w:lang w:val="en-US"/>
        </w:rPr>
        <w:t>for instance, the</w:t>
      </w:r>
      <w:r w:rsidRPr="008C3C79">
        <w:rPr>
          <w:rFonts w:asciiTheme="majorBidi" w:hAnsiTheme="majorBidi" w:cstheme="majorBidi"/>
          <w:lang w:val="en-US"/>
        </w:rPr>
        <w:t xml:space="preserve"> African Legal Support Facility </w:t>
      </w:r>
      <w:r>
        <w:rPr>
          <w:rFonts w:asciiTheme="majorBidi" w:hAnsiTheme="majorBidi" w:cstheme="majorBidi"/>
          <w:lang w:val="en-US"/>
        </w:rPr>
        <w:t>(</w:t>
      </w:r>
      <w:r w:rsidRPr="008C3C79">
        <w:rPr>
          <w:rFonts w:asciiTheme="majorBidi" w:hAnsiTheme="majorBidi" w:cstheme="majorBidi"/>
          <w:lang w:val="en-US"/>
        </w:rPr>
        <w:t>ALSF)).</w:t>
      </w:r>
      <w:r w:rsidRPr="008C3C79">
        <w:rPr>
          <w:rStyle w:val="FootnoteReference"/>
          <w:rFonts w:asciiTheme="majorBidi" w:hAnsiTheme="majorBidi" w:cstheme="majorBidi"/>
          <w:lang w:val="en-US"/>
        </w:rPr>
        <w:footnoteReference w:id="9"/>
      </w:r>
      <w:r w:rsidRPr="008C3C79">
        <w:rPr>
          <w:rFonts w:asciiTheme="majorBidi" w:hAnsiTheme="majorBidi" w:cstheme="majorBidi"/>
          <w:lang w:val="en-US"/>
        </w:rPr>
        <w:t xml:space="preserve"> There </w:t>
      </w:r>
      <w:r>
        <w:rPr>
          <w:rFonts w:asciiTheme="majorBidi" w:hAnsiTheme="majorBidi" w:cstheme="majorBidi"/>
          <w:lang w:val="en-US"/>
        </w:rPr>
        <w:t xml:space="preserve">are also some forms of legal support that may be limited or have a different focus provided by organizations </w:t>
      </w:r>
      <w:r w:rsidRPr="008C3C79">
        <w:rPr>
          <w:rFonts w:asciiTheme="majorBidi" w:hAnsiTheme="majorBidi" w:cstheme="majorBidi"/>
          <w:lang w:val="en-US"/>
        </w:rPr>
        <w:t>(</w:t>
      </w:r>
      <w:r>
        <w:rPr>
          <w:rFonts w:asciiTheme="majorBidi" w:hAnsiTheme="majorBidi" w:cstheme="majorBidi"/>
          <w:lang w:val="en-US"/>
        </w:rPr>
        <w:t xml:space="preserve">for instance, </w:t>
      </w:r>
      <w:r w:rsidRPr="008C3C79">
        <w:rPr>
          <w:rFonts w:asciiTheme="majorBidi" w:hAnsiTheme="majorBidi" w:cstheme="majorBidi"/>
          <w:lang w:val="en-US"/>
        </w:rPr>
        <w:t>International Development Law Organization (IDLO)</w:t>
      </w:r>
      <w:r w:rsidRPr="00C021F9">
        <w:rPr>
          <w:rStyle w:val="FootnoteReference"/>
          <w:rFonts w:asciiTheme="majorBidi" w:hAnsiTheme="majorBidi" w:cstheme="majorBidi"/>
          <w:lang w:val="en-US"/>
        </w:rPr>
        <w:t xml:space="preserve"> </w:t>
      </w:r>
      <w:r w:rsidRPr="008C3C79">
        <w:rPr>
          <w:rStyle w:val="FootnoteReference"/>
          <w:rFonts w:asciiTheme="majorBidi" w:hAnsiTheme="majorBidi" w:cstheme="majorBidi"/>
          <w:lang w:val="en-US"/>
        </w:rPr>
        <w:footnoteReference w:id="10"/>
      </w:r>
      <w:r w:rsidRPr="008C3C79">
        <w:rPr>
          <w:rFonts w:asciiTheme="majorBidi" w:hAnsiTheme="majorBidi" w:cstheme="majorBidi"/>
          <w:lang w:val="en-US"/>
        </w:rPr>
        <w:t xml:space="preserve"> </w:t>
      </w:r>
      <w:r>
        <w:rPr>
          <w:rFonts w:asciiTheme="majorBidi" w:hAnsiTheme="majorBidi" w:cstheme="majorBidi"/>
          <w:lang w:val="en-US"/>
        </w:rPr>
        <w:t xml:space="preserve"> and </w:t>
      </w:r>
      <w:r w:rsidRPr="008C3C79">
        <w:rPr>
          <w:rFonts w:asciiTheme="majorBidi" w:hAnsiTheme="majorBidi" w:cstheme="majorBidi"/>
          <w:lang w:val="en-US"/>
        </w:rPr>
        <w:t>the Association TradeLab),</w:t>
      </w:r>
      <w:r>
        <w:rPr>
          <w:rStyle w:val="FootnoteReference"/>
          <w:rFonts w:asciiTheme="majorBidi" w:hAnsiTheme="majorBidi" w:cstheme="majorBidi"/>
          <w:lang w:val="en-US"/>
        </w:rPr>
        <w:footnoteReference w:id="11"/>
      </w:r>
      <w:r>
        <w:rPr>
          <w:rFonts w:asciiTheme="majorBidi" w:hAnsiTheme="majorBidi" w:cstheme="majorBidi"/>
          <w:lang w:val="en-US"/>
        </w:rPr>
        <w:t xml:space="preserve"> also taking the form of </w:t>
      </w:r>
      <w:r w:rsidRPr="008C3C79">
        <w:rPr>
          <w:rFonts w:asciiTheme="majorBidi" w:hAnsiTheme="majorBidi" w:cstheme="majorBidi"/>
          <w:lang w:val="en-US"/>
        </w:rPr>
        <w:t xml:space="preserve"> hosting events and training on arbitration-related issues </w:t>
      </w:r>
      <w:r>
        <w:rPr>
          <w:rFonts w:asciiTheme="majorBidi" w:hAnsiTheme="majorBidi" w:cstheme="majorBidi"/>
          <w:lang w:val="en-US"/>
        </w:rPr>
        <w:t>(for instance, by the International Centre on Settlement of Investment Disputes (</w:t>
      </w:r>
      <w:r w:rsidRPr="008C3C79">
        <w:rPr>
          <w:rFonts w:asciiTheme="majorBidi" w:hAnsiTheme="majorBidi" w:cstheme="majorBidi"/>
          <w:lang w:val="en-US"/>
        </w:rPr>
        <w:t>ICSID</w:t>
      </w:r>
      <w:r>
        <w:rPr>
          <w:rFonts w:asciiTheme="majorBidi" w:hAnsiTheme="majorBidi" w:cstheme="majorBidi"/>
          <w:lang w:val="en-US"/>
        </w:rPr>
        <w:t>) and the Permanent Court of Arbitration (</w:t>
      </w:r>
      <w:r w:rsidRPr="008C3C79">
        <w:rPr>
          <w:rFonts w:asciiTheme="majorBidi" w:hAnsiTheme="majorBidi" w:cstheme="majorBidi"/>
          <w:lang w:val="en-US"/>
        </w:rPr>
        <w:t>PCA</w:t>
      </w:r>
      <w:r>
        <w:rPr>
          <w:rFonts w:asciiTheme="majorBidi" w:hAnsiTheme="majorBidi" w:cstheme="majorBidi"/>
          <w:lang w:val="en-US"/>
        </w:rPr>
        <w:t>)</w:t>
      </w:r>
      <w:r w:rsidRPr="008C3C79">
        <w:rPr>
          <w:rFonts w:asciiTheme="majorBidi" w:hAnsiTheme="majorBidi" w:cstheme="majorBidi"/>
          <w:lang w:val="en-US"/>
        </w:rPr>
        <w:t>),</w:t>
      </w:r>
      <w:r w:rsidRPr="008C3C79">
        <w:rPr>
          <w:rStyle w:val="FootnoteReference"/>
          <w:rFonts w:asciiTheme="majorBidi" w:hAnsiTheme="majorBidi" w:cstheme="majorBidi"/>
        </w:rPr>
        <w:footnoteReference w:id="12"/>
      </w:r>
      <w:r w:rsidRPr="008C3C79">
        <w:rPr>
          <w:rFonts w:asciiTheme="majorBidi" w:hAnsiTheme="majorBidi" w:cstheme="majorBidi"/>
          <w:lang w:val="en-US"/>
        </w:rPr>
        <w:t xml:space="preserve"> </w:t>
      </w:r>
      <w:r>
        <w:rPr>
          <w:rFonts w:asciiTheme="majorBidi" w:hAnsiTheme="majorBidi" w:cstheme="majorBidi"/>
          <w:lang w:val="en-US"/>
        </w:rPr>
        <w:t xml:space="preserve">of </w:t>
      </w:r>
      <w:r w:rsidRPr="008C3C79">
        <w:rPr>
          <w:rFonts w:asciiTheme="majorBidi" w:hAnsiTheme="majorBidi" w:cstheme="majorBidi"/>
          <w:lang w:val="en-US"/>
        </w:rPr>
        <w:t xml:space="preserve">financial assistance to qualifying </w:t>
      </w:r>
      <w:r>
        <w:rPr>
          <w:rFonts w:asciiTheme="majorBidi" w:hAnsiTheme="majorBidi" w:cstheme="majorBidi"/>
          <w:lang w:val="en-US"/>
        </w:rPr>
        <w:t>S</w:t>
      </w:r>
      <w:r w:rsidRPr="008C3C79">
        <w:rPr>
          <w:rFonts w:asciiTheme="majorBidi" w:hAnsiTheme="majorBidi" w:cstheme="majorBidi"/>
          <w:lang w:val="en-US"/>
        </w:rPr>
        <w:t>tates through trust funds (</w:t>
      </w:r>
      <w:r>
        <w:rPr>
          <w:rFonts w:asciiTheme="majorBidi" w:hAnsiTheme="majorBidi" w:cstheme="majorBidi"/>
          <w:lang w:val="en-US"/>
        </w:rPr>
        <w:t xml:space="preserve">for instance, by the </w:t>
      </w:r>
      <w:r w:rsidRPr="008C3C79">
        <w:rPr>
          <w:rFonts w:asciiTheme="majorBidi" w:hAnsiTheme="majorBidi" w:cstheme="majorBidi"/>
          <w:lang w:val="en-US"/>
        </w:rPr>
        <w:t>PCA</w:t>
      </w:r>
      <w:r>
        <w:rPr>
          <w:rFonts w:asciiTheme="majorBidi" w:hAnsiTheme="majorBidi" w:cstheme="majorBidi"/>
          <w:lang w:val="en-US"/>
        </w:rPr>
        <w:t xml:space="preserve"> and the International Court of Justice</w:t>
      </w:r>
      <w:r w:rsidRPr="008C3C79">
        <w:rPr>
          <w:rFonts w:asciiTheme="majorBidi" w:hAnsiTheme="majorBidi" w:cstheme="majorBidi"/>
          <w:lang w:val="en-US"/>
        </w:rPr>
        <w:t xml:space="preserve"> </w:t>
      </w:r>
      <w:r>
        <w:rPr>
          <w:rFonts w:asciiTheme="majorBidi" w:hAnsiTheme="majorBidi" w:cstheme="majorBidi"/>
          <w:lang w:val="en-US"/>
        </w:rPr>
        <w:t>(</w:t>
      </w:r>
      <w:r w:rsidRPr="008C3C79">
        <w:rPr>
          <w:rFonts w:asciiTheme="majorBidi" w:hAnsiTheme="majorBidi" w:cstheme="majorBidi"/>
          <w:lang w:val="en-US"/>
        </w:rPr>
        <w:t>ICJ</w:t>
      </w:r>
      <w:r>
        <w:rPr>
          <w:rFonts w:asciiTheme="majorBidi" w:hAnsiTheme="majorBidi" w:cstheme="majorBidi"/>
          <w:lang w:val="en-US"/>
        </w:rPr>
        <w:t>)</w:t>
      </w:r>
      <w:r w:rsidRPr="008C3C79">
        <w:rPr>
          <w:rFonts w:asciiTheme="majorBidi" w:hAnsiTheme="majorBidi" w:cstheme="majorBidi"/>
          <w:lang w:val="en-US"/>
        </w:rPr>
        <w:t>),</w:t>
      </w:r>
      <w:r w:rsidRPr="008C3C79">
        <w:rPr>
          <w:rStyle w:val="FootnoteReference"/>
          <w:rFonts w:asciiTheme="majorBidi" w:hAnsiTheme="majorBidi" w:cstheme="majorBidi"/>
        </w:rPr>
        <w:footnoteReference w:id="13"/>
      </w:r>
      <w:r w:rsidRPr="008C3C79">
        <w:rPr>
          <w:rFonts w:asciiTheme="majorBidi" w:hAnsiTheme="majorBidi" w:cstheme="majorBidi"/>
          <w:lang w:val="en-US"/>
        </w:rPr>
        <w:t xml:space="preserve"> and </w:t>
      </w:r>
      <w:r>
        <w:rPr>
          <w:rFonts w:asciiTheme="majorBidi" w:hAnsiTheme="majorBidi" w:cstheme="majorBidi"/>
          <w:lang w:val="en-US"/>
        </w:rPr>
        <w:t xml:space="preserve">of </w:t>
      </w:r>
      <w:r w:rsidRPr="008C3C79">
        <w:rPr>
          <w:rFonts w:asciiTheme="majorBidi" w:hAnsiTheme="majorBidi" w:cstheme="majorBidi"/>
          <w:lang w:val="en-US"/>
        </w:rPr>
        <w:t>establis</w:t>
      </w:r>
      <w:r>
        <w:rPr>
          <w:rFonts w:asciiTheme="majorBidi" w:hAnsiTheme="majorBidi" w:cstheme="majorBidi"/>
          <w:lang w:val="en-US"/>
        </w:rPr>
        <w:t xml:space="preserve">hing </w:t>
      </w:r>
      <w:r w:rsidRPr="008C3C79">
        <w:rPr>
          <w:rFonts w:asciiTheme="majorBidi" w:hAnsiTheme="majorBidi" w:cstheme="majorBidi"/>
          <w:lang w:val="en-US"/>
        </w:rPr>
        <w:t>intergovernmental knowledge-sharing and capacity building hubs (</w:t>
      </w:r>
      <w:r>
        <w:rPr>
          <w:rFonts w:asciiTheme="majorBidi" w:hAnsiTheme="majorBidi" w:cstheme="majorBidi"/>
          <w:lang w:val="en-US"/>
        </w:rPr>
        <w:t>for instance,</w:t>
      </w:r>
      <w:r w:rsidRPr="008C3C79">
        <w:rPr>
          <w:rFonts w:asciiTheme="majorBidi" w:hAnsiTheme="majorBidi" w:cstheme="majorBidi"/>
          <w:lang w:val="en-US"/>
        </w:rPr>
        <w:t xml:space="preserve"> </w:t>
      </w:r>
      <w:r>
        <w:rPr>
          <w:rFonts w:asciiTheme="majorBidi" w:hAnsiTheme="majorBidi" w:cstheme="majorBidi"/>
          <w:lang w:val="en-US"/>
        </w:rPr>
        <w:t xml:space="preserve">by the </w:t>
      </w:r>
      <w:r w:rsidRPr="008C3C79">
        <w:rPr>
          <w:rFonts w:asciiTheme="majorBidi" w:hAnsiTheme="majorBidi" w:cstheme="majorBidi"/>
          <w:lang w:val="en-US"/>
        </w:rPr>
        <w:t xml:space="preserve">Center for the Advancement of the Rule of Law in the Americas (CAROLA) </w:t>
      </w:r>
      <w:r>
        <w:rPr>
          <w:rFonts w:asciiTheme="majorBidi" w:hAnsiTheme="majorBidi" w:cstheme="majorBidi"/>
          <w:lang w:val="en-US"/>
        </w:rPr>
        <w:t xml:space="preserve">and the </w:t>
      </w:r>
      <w:r w:rsidRPr="008C3C79">
        <w:rPr>
          <w:rFonts w:asciiTheme="majorBidi" w:hAnsiTheme="majorBidi" w:cstheme="majorBidi"/>
          <w:lang w:val="en-US"/>
        </w:rPr>
        <w:t xml:space="preserve">African Legal Support Facility </w:t>
      </w:r>
      <w:r>
        <w:rPr>
          <w:rFonts w:asciiTheme="majorBidi" w:hAnsiTheme="majorBidi" w:cstheme="majorBidi"/>
          <w:lang w:val="en-US"/>
        </w:rPr>
        <w:t>(</w:t>
      </w:r>
      <w:r w:rsidRPr="008C3C79">
        <w:rPr>
          <w:rFonts w:asciiTheme="majorBidi" w:hAnsiTheme="majorBidi" w:cstheme="majorBidi"/>
          <w:lang w:val="en-US"/>
        </w:rPr>
        <w:t>ALSF)</w:t>
      </w:r>
      <w:r>
        <w:rPr>
          <w:rFonts w:asciiTheme="majorBidi" w:hAnsiTheme="majorBidi" w:cstheme="majorBidi"/>
          <w:lang w:val="en-US"/>
        </w:rPr>
        <w:t>)</w:t>
      </w:r>
      <w:r w:rsidRPr="008C3C79">
        <w:rPr>
          <w:rFonts w:asciiTheme="majorBidi" w:hAnsiTheme="majorBidi" w:cstheme="majorBidi"/>
          <w:lang w:val="en-US"/>
        </w:rPr>
        <w:t>.</w:t>
      </w:r>
      <w:r w:rsidRPr="008C3C79">
        <w:rPr>
          <w:rStyle w:val="FootnoteReference"/>
          <w:rFonts w:asciiTheme="majorBidi" w:hAnsiTheme="majorBidi" w:cstheme="majorBidi"/>
        </w:rPr>
        <w:footnoteReference w:id="14"/>
      </w:r>
      <w:r w:rsidRPr="008C3C79">
        <w:rPr>
          <w:rFonts w:asciiTheme="majorBidi" w:hAnsiTheme="majorBidi" w:cstheme="majorBidi"/>
          <w:lang w:val="en-US"/>
        </w:rPr>
        <w:t xml:space="preserve"> </w:t>
      </w:r>
    </w:p>
    <w:p w14:paraId="530D2657" w14:textId="2AB4129F" w:rsidR="00CF6374" w:rsidRPr="008C3C79" w:rsidRDefault="00CF6374" w:rsidP="00CF6374">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lang w:val="en-US"/>
        </w:rPr>
        <w:lastRenderedPageBreak/>
        <w:t xml:space="preserve">The study illustrates that </w:t>
      </w:r>
      <w:r w:rsidRPr="008C3C79">
        <w:rPr>
          <w:rFonts w:asciiTheme="majorBidi" w:hAnsiTheme="majorBidi" w:cstheme="majorBidi"/>
          <w:lang w:val="en-US"/>
        </w:rPr>
        <w:t>full legal representation services, which could be an essential support for the beneficiaries</w:t>
      </w:r>
      <w:r>
        <w:rPr>
          <w:rFonts w:asciiTheme="majorBidi" w:hAnsiTheme="majorBidi" w:cstheme="majorBidi"/>
          <w:lang w:val="en-US"/>
        </w:rPr>
        <w:t xml:space="preserve"> are not available</w:t>
      </w:r>
      <w:r w:rsidRPr="008C3C79">
        <w:rPr>
          <w:rFonts w:asciiTheme="majorBidi" w:hAnsiTheme="majorBidi" w:cstheme="majorBidi"/>
          <w:lang w:val="en-US"/>
        </w:rPr>
        <w:t>. Further, there is no mention of the availability of program</w:t>
      </w:r>
      <w:r>
        <w:rPr>
          <w:rFonts w:asciiTheme="majorBidi" w:hAnsiTheme="majorBidi" w:cstheme="majorBidi"/>
          <w:lang w:val="en-US"/>
        </w:rPr>
        <w:t xml:space="preserve">s </w:t>
      </w:r>
      <w:r w:rsidRPr="008C3C79">
        <w:rPr>
          <w:rFonts w:asciiTheme="majorBidi" w:hAnsiTheme="majorBidi" w:cstheme="majorBidi"/>
          <w:lang w:val="en-US"/>
        </w:rPr>
        <w:t xml:space="preserve">which could allow government officials to undertake hands-on experience </w:t>
      </w:r>
      <w:r w:rsidRPr="008C3C79">
        <w:rPr>
          <w:rFonts w:asciiTheme="majorBidi" w:hAnsiTheme="majorBidi" w:cstheme="majorBidi"/>
        </w:rPr>
        <w:t>through</w:t>
      </w:r>
      <w:r w:rsidRPr="008C3C79">
        <w:rPr>
          <w:rFonts w:asciiTheme="majorBidi" w:hAnsiTheme="majorBidi" w:cstheme="majorBidi"/>
          <w:lang w:val="en-US"/>
        </w:rPr>
        <w:t xml:space="preserve"> a t</w:t>
      </w:r>
      <w:r>
        <w:rPr>
          <w:rFonts w:asciiTheme="majorBidi" w:hAnsiTheme="majorBidi" w:cstheme="majorBidi"/>
          <w:lang w:val="en-US"/>
        </w:rPr>
        <w:t>rain</w:t>
      </w:r>
      <w:r w:rsidRPr="008C3C79">
        <w:rPr>
          <w:rFonts w:asciiTheme="majorBidi" w:hAnsiTheme="majorBidi" w:cstheme="majorBidi"/>
          <w:lang w:val="en-US"/>
        </w:rPr>
        <w:t xml:space="preserve">ing </w:t>
      </w:r>
      <w:r w:rsidR="00DF7F30">
        <w:rPr>
          <w:rFonts w:asciiTheme="majorBidi" w:hAnsiTheme="majorBidi" w:cstheme="majorBidi"/>
          <w:lang w:val="en-US"/>
        </w:rPr>
        <w:t>f</w:t>
      </w:r>
      <w:r>
        <w:rPr>
          <w:rFonts w:asciiTheme="majorBidi" w:hAnsiTheme="majorBidi" w:cstheme="majorBidi"/>
          <w:lang w:val="en-US"/>
        </w:rPr>
        <w:t>ocused on defen</w:t>
      </w:r>
      <w:r w:rsidR="00545099">
        <w:rPr>
          <w:rFonts w:asciiTheme="majorBidi" w:hAnsiTheme="majorBidi" w:cstheme="majorBidi"/>
          <w:lang w:val="en-US"/>
        </w:rPr>
        <w:t>s</w:t>
      </w:r>
      <w:r>
        <w:rPr>
          <w:rFonts w:asciiTheme="majorBidi" w:hAnsiTheme="majorBidi" w:cstheme="majorBidi"/>
          <w:lang w:val="en-US"/>
        </w:rPr>
        <w:t xml:space="preserve">e of the State, as </w:t>
      </w:r>
      <w:r w:rsidRPr="008278A4">
        <w:rPr>
          <w:rFonts w:asciiTheme="majorBidi" w:hAnsiTheme="majorBidi" w:cstheme="majorBidi"/>
          <w:lang w:val="en-US"/>
        </w:rPr>
        <w:t xml:space="preserve">organized by UNCTAD </w:t>
      </w:r>
      <w:r>
        <w:rPr>
          <w:rFonts w:asciiTheme="majorBidi" w:hAnsiTheme="majorBidi" w:cstheme="majorBidi"/>
          <w:lang w:val="en-US"/>
        </w:rPr>
        <w:t>two decades ago</w:t>
      </w:r>
      <w:r w:rsidRPr="008278A4">
        <w:rPr>
          <w:rFonts w:asciiTheme="majorBidi" w:hAnsiTheme="majorBidi" w:cstheme="majorBidi"/>
          <w:lang w:val="en-US"/>
        </w:rPr>
        <w:t xml:space="preserve">. Finally, a platform or a body that could assist with compiling, organizing, and disseminating information about existing resources to relevant government officials seems not to be available </w:t>
      </w:r>
      <w:r>
        <w:rPr>
          <w:rFonts w:asciiTheme="majorBidi" w:hAnsiTheme="majorBidi" w:cstheme="majorBidi"/>
          <w:lang w:val="en-US"/>
        </w:rPr>
        <w:t xml:space="preserve">and hence, </w:t>
      </w:r>
      <w:r w:rsidRPr="008278A4">
        <w:rPr>
          <w:rFonts w:asciiTheme="majorBidi" w:hAnsiTheme="majorBidi" w:cstheme="majorBidi"/>
          <w:lang w:val="en-US"/>
        </w:rPr>
        <w:t>may also provide a great value to the existing models</w:t>
      </w:r>
      <w:r>
        <w:rPr>
          <w:rFonts w:asciiTheme="majorBidi" w:hAnsiTheme="majorBidi" w:cstheme="majorBidi"/>
          <w:lang w:val="en-US"/>
        </w:rPr>
        <w:t>.</w:t>
      </w:r>
    </w:p>
    <w:p w14:paraId="3A84B7E4" w14:textId="41E05E1A" w:rsidR="00CF6374" w:rsidRPr="008C3C79" w:rsidRDefault="00DF7F30" w:rsidP="00CF6374">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color w:val="000000" w:themeColor="text1"/>
        </w:rPr>
        <w:t>The Working Group may wish to note that</w:t>
      </w:r>
      <w:r w:rsidR="00CF6374" w:rsidRPr="008C3C79">
        <w:rPr>
          <w:rFonts w:asciiTheme="majorBidi" w:hAnsiTheme="majorBidi" w:cstheme="majorBidi"/>
          <w:color w:val="000000" w:themeColor="text1"/>
        </w:rPr>
        <w:t xml:space="preserve"> the Institute for Transnational Arbitration (ITA) has </w:t>
      </w:r>
      <w:r w:rsidR="00CF6374">
        <w:rPr>
          <w:rFonts w:asciiTheme="majorBidi" w:hAnsiTheme="majorBidi" w:cstheme="majorBidi"/>
          <w:color w:val="000000" w:themeColor="text1"/>
        </w:rPr>
        <w:t>also</w:t>
      </w:r>
      <w:r w:rsidR="00CF6374" w:rsidRPr="008C3C79">
        <w:rPr>
          <w:rFonts w:asciiTheme="majorBidi" w:hAnsiTheme="majorBidi" w:cstheme="majorBidi"/>
          <w:color w:val="000000" w:themeColor="text1"/>
        </w:rPr>
        <w:t xml:space="preserve"> conducted a study to map the services offered by non-governmental organizations.</w:t>
      </w:r>
      <w:r w:rsidR="00CF6374" w:rsidRPr="008C3C79">
        <w:rPr>
          <w:rStyle w:val="FootnoteReference"/>
          <w:rFonts w:asciiTheme="majorBidi" w:hAnsiTheme="majorBidi" w:cstheme="majorBidi"/>
        </w:rPr>
        <w:footnoteReference w:id="15"/>
      </w:r>
      <w:r w:rsidR="00CF6374" w:rsidRPr="008C3C79">
        <w:rPr>
          <w:rFonts w:asciiTheme="majorBidi" w:hAnsiTheme="majorBidi" w:cstheme="majorBidi"/>
          <w:color w:val="000000" w:themeColor="text1"/>
        </w:rPr>
        <w:t xml:space="preserve"> The study identifies how the </w:t>
      </w:r>
      <w:r w:rsidR="00CF6374" w:rsidRPr="008C3C79">
        <w:rPr>
          <w:rFonts w:asciiTheme="majorBidi" w:hAnsiTheme="majorBidi" w:cstheme="majorBidi"/>
        </w:rPr>
        <w:t>existing</w:t>
      </w:r>
      <w:r w:rsidR="00CF6374">
        <w:rPr>
          <w:rFonts w:asciiTheme="majorBidi" w:hAnsiTheme="majorBidi" w:cstheme="majorBidi"/>
        </w:rPr>
        <w:t xml:space="preserve"> and future</w:t>
      </w:r>
      <w:r w:rsidR="00CF6374" w:rsidRPr="008C3C79">
        <w:rPr>
          <w:rFonts w:asciiTheme="majorBidi" w:hAnsiTheme="majorBidi" w:cstheme="majorBidi"/>
          <w:color w:val="000000" w:themeColor="text1"/>
        </w:rPr>
        <w:t xml:space="preserve"> services could be integrated in an advisory centre. The ITA study shows that the existing services comprise mainly capacity building and dispute prevention services. </w:t>
      </w:r>
      <w:r w:rsidR="00CF6374">
        <w:rPr>
          <w:rFonts w:asciiTheme="majorBidi" w:hAnsiTheme="majorBidi" w:cstheme="majorBidi"/>
          <w:color w:val="000000" w:themeColor="text1"/>
        </w:rPr>
        <w:t>Organizations that participated in</w:t>
      </w:r>
      <w:r w:rsidR="00CF6374" w:rsidRPr="008C3C79">
        <w:rPr>
          <w:rFonts w:asciiTheme="majorBidi" w:hAnsiTheme="majorBidi" w:cstheme="majorBidi"/>
          <w:color w:val="000000" w:themeColor="text1"/>
        </w:rPr>
        <w:t xml:space="preserve"> the study indicated their readiness to provide services in the frame of an ISDS advisory centre, including capacity building, as well as assistance at various stages of ISDS proceedings.</w:t>
      </w:r>
    </w:p>
    <w:p w14:paraId="108F68F8" w14:textId="370143B9" w:rsidR="00CF6374" w:rsidRPr="008C3C79" w:rsidRDefault="00CF6374" w:rsidP="00CF6374">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color w:val="000000" w:themeColor="text1"/>
        </w:rPr>
        <w:t xml:space="preserve">The findings of the two studies demonstrate that services relating to the full legal representation of States involved in ongoing ISDS cases is currently not offered. </w:t>
      </w:r>
      <w:r>
        <w:rPr>
          <w:rFonts w:asciiTheme="majorBidi" w:hAnsiTheme="majorBidi" w:cstheme="majorBidi"/>
          <w:color w:val="000000" w:themeColor="text1"/>
        </w:rPr>
        <w:t>In addition</w:t>
      </w:r>
      <w:r w:rsidRPr="008C3C79">
        <w:rPr>
          <w:rFonts w:asciiTheme="majorBidi" w:hAnsiTheme="majorBidi" w:cstheme="majorBidi"/>
          <w:color w:val="000000" w:themeColor="text1"/>
        </w:rPr>
        <w:t xml:space="preserve">, there is currently no focal point </w:t>
      </w:r>
      <w:r w:rsidR="00DF7F30">
        <w:rPr>
          <w:rFonts w:asciiTheme="majorBidi" w:hAnsiTheme="majorBidi" w:cstheme="majorBidi"/>
          <w:color w:val="000000" w:themeColor="text1"/>
        </w:rPr>
        <w:t>for</w:t>
      </w:r>
      <w:r>
        <w:rPr>
          <w:rFonts w:asciiTheme="majorBidi" w:hAnsiTheme="majorBidi" w:cstheme="majorBidi"/>
          <w:color w:val="000000" w:themeColor="text1"/>
        </w:rPr>
        <w:t xml:space="preserve"> </w:t>
      </w:r>
      <w:r w:rsidRPr="008C3C79">
        <w:rPr>
          <w:rFonts w:asciiTheme="majorBidi" w:hAnsiTheme="majorBidi" w:cstheme="majorBidi"/>
          <w:color w:val="000000" w:themeColor="text1"/>
        </w:rPr>
        <w:t>collecting, organising, compiling</w:t>
      </w:r>
      <w:r>
        <w:rPr>
          <w:rFonts w:asciiTheme="majorBidi" w:hAnsiTheme="majorBidi" w:cstheme="majorBidi"/>
          <w:color w:val="000000" w:themeColor="text1"/>
        </w:rPr>
        <w:t>,</w:t>
      </w:r>
      <w:r w:rsidRPr="008C3C79">
        <w:rPr>
          <w:rFonts w:asciiTheme="majorBidi" w:hAnsiTheme="majorBidi" w:cstheme="majorBidi"/>
          <w:color w:val="000000" w:themeColor="text1"/>
        </w:rPr>
        <w:t xml:space="preserve"> and disseminating information on available</w:t>
      </w:r>
      <w:r>
        <w:rPr>
          <w:rFonts w:asciiTheme="majorBidi" w:hAnsiTheme="majorBidi" w:cstheme="majorBidi"/>
          <w:color w:val="000000" w:themeColor="text1"/>
        </w:rPr>
        <w:t xml:space="preserve"> support</w:t>
      </w:r>
      <w:r w:rsidRPr="008C3C79">
        <w:rPr>
          <w:rFonts w:asciiTheme="majorBidi" w:hAnsiTheme="majorBidi" w:cstheme="majorBidi"/>
          <w:color w:val="000000" w:themeColor="text1"/>
        </w:rPr>
        <w:t xml:space="preserve">. </w:t>
      </w:r>
    </w:p>
    <w:p w14:paraId="574336E9" w14:textId="31B610D9" w:rsidR="00C83C4C" w:rsidRPr="008C3C79" w:rsidRDefault="001D319C" w:rsidP="00AE0F71">
      <w:pPr>
        <w:pStyle w:val="SingleTxt"/>
        <w:tabs>
          <w:tab w:val="clear" w:pos="1267"/>
          <w:tab w:val="clear" w:pos="1742"/>
          <w:tab w:val="clear" w:pos="2218"/>
          <w:tab w:val="left" w:pos="709"/>
          <w:tab w:val="left" w:pos="1134"/>
        </w:tabs>
        <w:ind w:left="567"/>
        <w:outlineLvl w:val="1"/>
        <w:rPr>
          <w:rFonts w:asciiTheme="majorBidi" w:hAnsiTheme="majorBidi" w:cstheme="majorBidi"/>
          <w:b/>
          <w:bCs/>
          <w:sz w:val="24"/>
          <w:szCs w:val="24"/>
        </w:rPr>
      </w:pPr>
      <w:r>
        <w:rPr>
          <w:rFonts w:asciiTheme="majorBidi" w:hAnsiTheme="majorBidi" w:cstheme="majorBidi"/>
          <w:b/>
          <w:bCs/>
          <w:sz w:val="24"/>
          <w:szCs w:val="24"/>
        </w:rPr>
        <w:tab/>
      </w:r>
      <w:bookmarkStart w:id="7" w:name="_Toc63421432"/>
      <w:r w:rsidR="00290C7A">
        <w:rPr>
          <w:rFonts w:asciiTheme="majorBidi" w:hAnsiTheme="majorBidi" w:cstheme="majorBidi"/>
          <w:b/>
          <w:bCs/>
          <w:sz w:val="24"/>
          <w:szCs w:val="24"/>
        </w:rPr>
        <w:t>D</w:t>
      </w:r>
      <w:r w:rsidR="00563250" w:rsidRPr="008C3C79">
        <w:rPr>
          <w:rFonts w:asciiTheme="majorBidi" w:hAnsiTheme="majorBidi" w:cstheme="majorBidi"/>
          <w:b/>
          <w:bCs/>
          <w:sz w:val="24"/>
          <w:szCs w:val="24"/>
        </w:rPr>
        <w:t>.</w:t>
      </w:r>
      <w:r w:rsidR="00563250" w:rsidRPr="008C3C79">
        <w:rPr>
          <w:rFonts w:asciiTheme="majorBidi" w:hAnsiTheme="majorBidi" w:cstheme="majorBidi"/>
          <w:b/>
          <w:bCs/>
          <w:sz w:val="24"/>
          <w:szCs w:val="24"/>
        </w:rPr>
        <w:tab/>
      </w:r>
      <w:r w:rsidR="00C83C4C" w:rsidRPr="008C3C79">
        <w:rPr>
          <w:rFonts w:asciiTheme="majorBidi" w:hAnsiTheme="majorBidi" w:cstheme="majorBidi"/>
          <w:b/>
          <w:bCs/>
          <w:sz w:val="24"/>
          <w:szCs w:val="24"/>
        </w:rPr>
        <w:t>Beneficiaries</w:t>
      </w:r>
      <w:bookmarkEnd w:id="7"/>
      <w:r w:rsidR="00C83C4C" w:rsidRPr="008C3C79">
        <w:rPr>
          <w:rFonts w:asciiTheme="majorBidi" w:hAnsiTheme="majorBidi" w:cstheme="majorBidi"/>
          <w:b/>
          <w:bCs/>
          <w:sz w:val="24"/>
          <w:szCs w:val="24"/>
        </w:rPr>
        <w:t xml:space="preserve"> </w:t>
      </w:r>
    </w:p>
    <w:p w14:paraId="518354D7" w14:textId="38BFCDBA" w:rsidR="00280223" w:rsidRDefault="000D1D97" w:rsidP="003865E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The Working Group may wish to consider draft provision</w:t>
      </w:r>
      <w:r w:rsidR="0040199E" w:rsidRPr="008C3C79">
        <w:rPr>
          <w:rFonts w:asciiTheme="majorBidi" w:hAnsiTheme="majorBidi" w:cstheme="majorBidi"/>
        </w:rPr>
        <w:t xml:space="preserve">s </w:t>
      </w:r>
      <w:r w:rsidR="008E509B">
        <w:rPr>
          <w:rFonts w:asciiTheme="majorBidi" w:hAnsiTheme="majorBidi" w:cstheme="majorBidi"/>
        </w:rPr>
        <w:t>1(</w:t>
      </w:r>
      <w:r w:rsidR="00A47E36">
        <w:rPr>
          <w:rFonts w:asciiTheme="majorBidi" w:hAnsiTheme="majorBidi" w:cstheme="majorBidi"/>
        </w:rPr>
        <w:t>a</w:t>
      </w:r>
      <w:r w:rsidR="008E509B">
        <w:rPr>
          <w:rFonts w:asciiTheme="majorBidi" w:hAnsiTheme="majorBidi" w:cstheme="majorBidi"/>
        </w:rPr>
        <w:t>)</w:t>
      </w:r>
      <w:r w:rsidR="0040199E" w:rsidRPr="008C3C79">
        <w:rPr>
          <w:rFonts w:asciiTheme="majorBidi" w:hAnsiTheme="majorBidi" w:cstheme="majorBidi"/>
        </w:rPr>
        <w:t xml:space="preserve"> </w:t>
      </w:r>
      <w:r w:rsidR="00A47E36">
        <w:rPr>
          <w:rFonts w:asciiTheme="majorBidi" w:hAnsiTheme="majorBidi" w:cstheme="majorBidi"/>
        </w:rPr>
        <w:t xml:space="preserve">above </w:t>
      </w:r>
      <w:r w:rsidR="0040199E" w:rsidRPr="008C3C79">
        <w:rPr>
          <w:rFonts w:asciiTheme="majorBidi" w:hAnsiTheme="majorBidi" w:cstheme="majorBidi"/>
        </w:rPr>
        <w:t xml:space="preserve">and </w:t>
      </w:r>
      <w:r w:rsidR="00A47E36">
        <w:rPr>
          <w:rFonts w:asciiTheme="majorBidi" w:hAnsiTheme="majorBidi" w:cstheme="majorBidi"/>
        </w:rPr>
        <w:t>4 below</w:t>
      </w:r>
      <w:r w:rsidRPr="008C3C79">
        <w:rPr>
          <w:rFonts w:asciiTheme="majorBidi" w:hAnsiTheme="majorBidi" w:cstheme="majorBidi"/>
        </w:rPr>
        <w:t xml:space="preserve"> on beneficiaries</w:t>
      </w:r>
      <w:r w:rsidR="00931751">
        <w:rPr>
          <w:rFonts w:asciiTheme="majorBidi" w:hAnsiTheme="majorBidi" w:cstheme="majorBidi"/>
        </w:rPr>
        <w:t xml:space="preserve"> and their </w:t>
      </w:r>
      <w:r w:rsidR="00B81195" w:rsidRPr="008C3C79">
        <w:rPr>
          <w:rFonts w:asciiTheme="majorBidi" w:hAnsiTheme="majorBidi" w:cstheme="majorBidi"/>
        </w:rPr>
        <w:t>a</w:t>
      </w:r>
      <w:r w:rsidR="00DF0CD4" w:rsidRPr="008C3C79">
        <w:rPr>
          <w:rFonts w:asciiTheme="majorBidi" w:hAnsiTheme="majorBidi" w:cstheme="majorBidi"/>
        </w:rPr>
        <w:t xml:space="preserve">ccess to the </w:t>
      </w:r>
      <w:r w:rsidR="00931751">
        <w:rPr>
          <w:rFonts w:asciiTheme="majorBidi" w:hAnsiTheme="majorBidi" w:cstheme="majorBidi"/>
        </w:rPr>
        <w:t>s</w:t>
      </w:r>
      <w:r w:rsidR="00DF0CD4" w:rsidRPr="008C3C79">
        <w:rPr>
          <w:rFonts w:asciiTheme="majorBidi" w:hAnsiTheme="majorBidi" w:cstheme="majorBidi"/>
        </w:rPr>
        <w:t>ervices</w:t>
      </w:r>
      <w:r w:rsidR="00B81195" w:rsidRPr="008C3C79">
        <w:rPr>
          <w:rFonts w:asciiTheme="majorBidi" w:hAnsiTheme="majorBidi" w:cstheme="majorBidi"/>
        </w:rPr>
        <w:t>.</w:t>
      </w:r>
      <w:r w:rsidR="00280223">
        <w:rPr>
          <w:rFonts w:asciiTheme="majorBidi" w:hAnsiTheme="majorBidi" w:cstheme="majorBidi"/>
        </w:rPr>
        <w:t xml:space="preserve"> </w:t>
      </w:r>
      <w:r w:rsidR="00280223" w:rsidRPr="008C3C79">
        <w:rPr>
          <w:rFonts w:asciiTheme="majorBidi" w:hAnsiTheme="majorBidi" w:cstheme="majorBidi"/>
        </w:rPr>
        <w:t xml:space="preserve">The list of possible beneficiaries include (i) all respondent States; or (ii) all or some developing </w:t>
      </w:r>
      <w:r w:rsidR="00170BE1">
        <w:rPr>
          <w:rFonts w:asciiTheme="majorBidi" w:hAnsiTheme="majorBidi" w:cstheme="majorBidi"/>
        </w:rPr>
        <w:t xml:space="preserve">countries </w:t>
      </w:r>
      <w:r w:rsidR="00280223" w:rsidRPr="008C3C79">
        <w:rPr>
          <w:rFonts w:asciiTheme="majorBidi" w:hAnsiTheme="majorBidi" w:cstheme="majorBidi"/>
        </w:rPr>
        <w:t xml:space="preserve">and </w:t>
      </w:r>
      <w:r w:rsidR="00170BE1">
        <w:rPr>
          <w:rFonts w:asciiTheme="majorBidi" w:hAnsiTheme="majorBidi" w:cstheme="majorBidi"/>
        </w:rPr>
        <w:t>LDCs</w:t>
      </w:r>
      <w:r w:rsidR="00280223" w:rsidRPr="008C3C79">
        <w:rPr>
          <w:rFonts w:asciiTheme="majorBidi" w:hAnsiTheme="majorBidi" w:cstheme="majorBidi"/>
        </w:rPr>
        <w:t xml:space="preserve"> or only </w:t>
      </w:r>
      <w:r w:rsidR="00170BE1">
        <w:rPr>
          <w:rFonts w:asciiTheme="majorBidi" w:hAnsiTheme="majorBidi" w:cstheme="majorBidi"/>
        </w:rPr>
        <w:t>LDCs</w:t>
      </w:r>
      <w:r w:rsidR="00280223" w:rsidRPr="008C3C79">
        <w:rPr>
          <w:rFonts w:asciiTheme="majorBidi" w:hAnsiTheme="majorBidi" w:cstheme="majorBidi"/>
        </w:rPr>
        <w:t>; as well as on an ad hoc basis (iii) States with little experience in the field and States that face difficulties (for instance, situations where States have very limited financial capacities, or are in situation of political turmoil); and</w:t>
      </w:r>
      <w:r w:rsidR="00280223">
        <w:rPr>
          <w:rFonts w:asciiTheme="majorBidi" w:hAnsiTheme="majorBidi" w:cstheme="majorBidi"/>
        </w:rPr>
        <w:t xml:space="preserve"> may </w:t>
      </w:r>
      <w:r w:rsidR="00280223" w:rsidRPr="008C3C79">
        <w:rPr>
          <w:rFonts w:asciiTheme="majorBidi" w:hAnsiTheme="majorBidi" w:cstheme="majorBidi"/>
        </w:rPr>
        <w:t xml:space="preserve"> be extended to (iv) </w:t>
      </w:r>
      <w:r w:rsidR="00280223">
        <w:rPr>
          <w:rFonts w:asciiTheme="majorBidi" w:hAnsiTheme="majorBidi" w:cstheme="majorBidi"/>
        </w:rPr>
        <w:t>SMEs</w:t>
      </w:r>
      <w:r w:rsidR="00280223" w:rsidRPr="008C3C79">
        <w:rPr>
          <w:rFonts w:asciiTheme="majorBidi" w:hAnsiTheme="majorBidi" w:cstheme="majorBidi"/>
        </w:rPr>
        <w:t xml:space="preserve"> fulfilling certain requirements (such as having a legitimate claim with certain chances of success and being unable to financially afford the legal claim, having regard to size, origin and other relevant items). In addition, depending on the scope of services, beneficiaries could also include claimant or respondent States in State-to-State proceedings; non-disputing State parties seeking to provide input into disputes filed under treaties</w:t>
      </w:r>
      <w:r w:rsidR="00280223">
        <w:rPr>
          <w:rFonts w:asciiTheme="majorBidi" w:hAnsiTheme="majorBidi" w:cstheme="majorBidi"/>
        </w:rPr>
        <w:t xml:space="preserve"> they are part of</w:t>
      </w:r>
      <w:r w:rsidR="00280223" w:rsidRPr="008C3C79">
        <w:rPr>
          <w:rFonts w:asciiTheme="majorBidi" w:hAnsiTheme="majorBidi" w:cstheme="majorBidi"/>
        </w:rPr>
        <w:t>; amicus curiae; and/or other potential intervenors</w:t>
      </w:r>
      <w:r w:rsidR="00DF7F30">
        <w:rPr>
          <w:rFonts w:asciiTheme="majorBidi" w:hAnsiTheme="majorBidi" w:cstheme="majorBidi"/>
        </w:rPr>
        <w:t>.</w:t>
      </w:r>
    </w:p>
    <w:p w14:paraId="73CC6792" w14:textId="4E7DAFE1" w:rsidR="00A47E36" w:rsidRPr="008C3C79" w:rsidRDefault="00A47E36" w:rsidP="00A47E36">
      <w:pPr>
        <w:pStyle w:val="SingleTxt"/>
        <w:tabs>
          <w:tab w:val="left" w:pos="709"/>
          <w:tab w:val="left" w:pos="2127"/>
        </w:tabs>
        <w:rPr>
          <w:rFonts w:asciiTheme="majorBidi" w:hAnsiTheme="majorBidi" w:cstheme="majorBidi"/>
          <w:b/>
          <w:bCs/>
          <w:i/>
          <w:iCs/>
        </w:rPr>
      </w:pPr>
      <w:r w:rsidRPr="008C3C79">
        <w:rPr>
          <w:rFonts w:asciiTheme="majorBidi" w:hAnsiTheme="majorBidi" w:cstheme="majorBidi"/>
          <w:b/>
          <w:bCs/>
          <w:i/>
          <w:iCs/>
        </w:rPr>
        <w:t xml:space="preserve">Draft provision </w:t>
      </w:r>
      <w:r>
        <w:rPr>
          <w:rFonts w:asciiTheme="majorBidi" w:hAnsiTheme="majorBidi" w:cstheme="majorBidi"/>
          <w:b/>
          <w:bCs/>
          <w:i/>
          <w:iCs/>
        </w:rPr>
        <w:t>4</w:t>
      </w:r>
      <w:r w:rsidR="00545099">
        <w:rPr>
          <w:rFonts w:asciiTheme="majorBidi" w:hAnsiTheme="majorBidi" w:cstheme="majorBidi"/>
          <w:b/>
          <w:bCs/>
          <w:i/>
          <w:iCs/>
        </w:rPr>
        <w:t xml:space="preserve"> -</w:t>
      </w:r>
      <w:r>
        <w:rPr>
          <w:rFonts w:asciiTheme="majorBidi" w:hAnsiTheme="majorBidi" w:cstheme="majorBidi"/>
          <w:b/>
          <w:bCs/>
          <w:i/>
          <w:iCs/>
        </w:rPr>
        <w:t xml:space="preserve"> Beneficiaries</w:t>
      </w:r>
      <w:r w:rsidRPr="008C3C79">
        <w:rPr>
          <w:rFonts w:asciiTheme="majorBidi" w:hAnsiTheme="majorBidi" w:cstheme="majorBidi"/>
          <w:b/>
          <w:bCs/>
          <w:i/>
          <w:iCs/>
        </w:rPr>
        <w:t xml:space="preserve"> of </w:t>
      </w:r>
      <w:r>
        <w:rPr>
          <w:rFonts w:asciiTheme="majorBidi" w:hAnsiTheme="majorBidi" w:cstheme="majorBidi"/>
          <w:b/>
          <w:bCs/>
          <w:i/>
          <w:iCs/>
        </w:rPr>
        <w:t>S</w:t>
      </w:r>
      <w:r w:rsidRPr="008C3C79">
        <w:rPr>
          <w:rFonts w:asciiTheme="majorBidi" w:hAnsiTheme="majorBidi" w:cstheme="majorBidi"/>
          <w:b/>
          <w:bCs/>
          <w:i/>
          <w:iCs/>
        </w:rPr>
        <w:t xml:space="preserve">ervices </w:t>
      </w:r>
      <w:r>
        <w:rPr>
          <w:rFonts w:asciiTheme="majorBidi" w:hAnsiTheme="majorBidi" w:cstheme="majorBidi"/>
          <w:b/>
          <w:bCs/>
          <w:i/>
          <w:iCs/>
        </w:rPr>
        <w:t>and order of priority</w:t>
      </w:r>
    </w:p>
    <w:p w14:paraId="03AE31B9" w14:textId="46D117B1" w:rsidR="00A47E36" w:rsidRPr="008C3C79" w:rsidRDefault="00545099" w:rsidP="00A47E36">
      <w:pPr>
        <w:pStyle w:val="SingleTxt"/>
        <w:ind w:left="1871"/>
        <w:rPr>
          <w:rFonts w:asciiTheme="majorBidi" w:hAnsiTheme="majorBidi" w:cstheme="majorBidi"/>
          <w:i/>
          <w:iCs/>
        </w:rPr>
      </w:pPr>
      <w:r>
        <w:rPr>
          <w:rFonts w:asciiTheme="majorBidi" w:hAnsiTheme="majorBidi" w:cstheme="majorBidi"/>
          <w:i/>
          <w:iCs/>
          <w:lang w:val="en-US"/>
        </w:rPr>
        <w:t>a)</w:t>
      </w:r>
      <w:r w:rsidR="00A47E36">
        <w:rPr>
          <w:rFonts w:asciiTheme="majorBidi" w:hAnsiTheme="majorBidi" w:cstheme="majorBidi"/>
          <w:i/>
          <w:iCs/>
          <w:lang w:val="en-US"/>
        </w:rPr>
        <w:t xml:space="preserve">. </w:t>
      </w:r>
      <w:r w:rsidR="00A47E36" w:rsidRPr="008C3C79">
        <w:rPr>
          <w:rFonts w:asciiTheme="majorBidi" w:hAnsiTheme="majorBidi" w:cstheme="majorBidi"/>
          <w:i/>
          <w:iCs/>
          <w:lang w:val="en-US"/>
        </w:rPr>
        <w:t xml:space="preserve">Services </w:t>
      </w:r>
      <w:r w:rsidR="00A47E36" w:rsidRPr="008C3C79">
        <w:rPr>
          <w:rFonts w:asciiTheme="majorBidi" w:hAnsiTheme="majorBidi" w:cstheme="majorBidi"/>
          <w:i/>
          <w:iCs/>
        </w:rPr>
        <w:t xml:space="preserve">outlined in </w:t>
      </w:r>
      <w:r w:rsidR="00A47E36">
        <w:rPr>
          <w:rFonts w:asciiTheme="majorBidi" w:hAnsiTheme="majorBidi" w:cstheme="majorBidi"/>
          <w:i/>
          <w:iCs/>
        </w:rPr>
        <w:t xml:space="preserve">draft provisions [2, paragraphs [(a) to (e) and 3] </w:t>
      </w:r>
      <w:r w:rsidR="00A47E36" w:rsidRPr="008C3C79">
        <w:rPr>
          <w:rFonts w:asciiTheme="majorBidi" w:hAnsiTheme="majorBidi" w:cstheme="majorBidi"/>
          <w:i/>
          <w:iCs/>
        </w:rPr>
        <w:t>are available to developing and least developed State</w:t>
      </w:r>
      <w:r w:rsidR="00A47E36">
        <w:rPr>
          <w:rFonts w:asciiTheme="majorBidi" w:hAnsiTheme="majorBidi" w:cstheme="majorBidi"/>
          <w:i/>
          <w:iCs/>
        </w:rPr>
        <w:t xml:space="preserve"> Beneficiarie</w:t>
      </w:r>
      <w:r w:rsidR="00A47E36" w:rsidRPr="008C3C79">
        <w:rPr>
          <w:rFonts w:asciiTheme="majorBidi" w:hAnsiTheme="majorBidi" w:cstheme="majorBidi"/>
          <w:i/>
          <w:iCs/>
        </w:rPr>
        <w:t xml:space="preserve">s, whereas the Services outlined </w:t>
      </w:r>
      <w:r w:rsidR="00A47E36">
        <w:rPr>
          <w:rFonts w:asciiTheme="majorBidi" w:hAnsiTheme="majorBidi" w:cstheme="majorBidi"/>
          <w:i/>
          <w:iCs/>
        </w:rPr>
        <w:t>in draft provisions [2, paragraphs [--] and 3]</w:t>
      </w:r>
      <w:r w:rsidR="00A47E36" w:rsidRPr="008C3C79">
        <w:rPr>
          <w:rFonts w:asciiTheme="majorBidi" w:hAnsiTheme="majorBidi" w:cstheme="majorBidi"/>
          <w:i/>
          <w:iCs/>
        </w:rPr>
        <w:t xml:space="preserve"> are available to all </w:t>
      </w:r>
      <w:r w:rsidR="00A47E36">
        <w:rPr>
          <w:rFonts w:asciiTheme="majorBidi" w:hAnsiTheme="majorBidi" w:cstheme="majorBidi"/>
          <w:i/>
          <w:iCs/>
        </w:rPr>
        <w:t>Beneficiaries</w:t>
      </w:r>
      <w:r w:rsidR="00A47E36" w:rsidRPr="008C3C79">
        <w:rPr>
          <w:rFonts w:asciiTheme="majorBidi" w:hAnsiTheme="majorBidi" w:cstheme="majorBidi"/>
          <w:i/>
          <w:iCs/>
        </w:rPr>
        <w:t>, subject to the specification by the governing bod</w:t>
      </w:r>
      <w:r w:rsidR="00A47E36">
        <w:rPr>
          <w:rFonts w:asciiTheme="majorBidi" w:hAnsiTheme="majorBidi" w:cstheme="majorBidi"/>
          <w:i/>
          <w:iCs/>
        </w:rPr>
        <w:t>y</w:t>
      </w:r>
      <w:r w:rsidR="00A47E36" w:rsidRPr="008C3C79">
        <w:rPr>
          <w:rFonts w:asciiTheme="majorBidi" w:hAnsiTheme="majorBidi" w:cstheme="majorBidi"/>
          <w:i/>
          <w:iCs/>
        </w:rPr>
        <w:t>.</w:t>
      </w:r>
    </w:p>
    <w:p w14:paraId="4CB6260D" w14:textId="5E86A9AE" w:rsidR="00A47E36" w:rsidRDefault="00545099" w:rsidP="00A47E36">
      <w:pPr>
        <w:pStyle w:val="SingleTxt"/>
        <w:tabs>
          <w:tab w:val="clear" w:pos="3182"/>
          <w:tab w:val="left" w:pos="709"/>
          <w:tab w:val="left" w:pos="1843"/>
          <w:tab w:val="left" w:pos="2127"/>
        </w:tabs>
        <w:ind w:left="1843"/>
        <w:rPr>
          <w:rFonts w:asciiTheme="majorBidi" w:hAnsiTheme="majorBidi" w:cstheme="majorBidi"/>
          <w:i/>
          <w:iCs/>
        </w:rPr>
      </w:pPr>
      <w:r>
        <w:rPr>
          <w:rFonts w:asciiTheme="majorBidi" w:hAnsiTheme="majorBidi" w:cstheme="majorBidi"/>
          <w:i/>
          <w:iCs/>
        </w:rPr>
        <w:t>b)</w:t>
      </w:r>
      <w:r w:rsidR="00A47E36" w:rsidRPr="008C3C79">
        <w:rPr>
          <w:rFonts w:asciiTheme="majorBidi" w:hAnsiTheme="majorBidi" w:cstheme="majorBidi"/>
          <w:i/>
          <w:iCs/>
        </w:rPr>
        <w:t xml:space="preserve"> In the event that two or more State </w:t>
      </w:r>
      <w:r w:rsidR="00A47E36">
        <w:rPr>
          <w:rFonts w:asciiTheme="majorBidi" w:hAnsiTheme="majorBidi" w:cstheme="majorBidi"/>
          <w:i/>
          <w:iCs/>
        </w:rPr>
        <w:t>Beneficiaries</w:t>
      </w:r>
      <w:r w:rsidR="00A47E36" w:rsidRPr="008C3C79">
        <w:rPr>
          <w:rFonts w:asciiTheme="majorBidi" w:hAnsiTheme="majorBidi" w:cstheme="majorBidi"/>
          <w:i/>
          <w:iCs/>
        </w:rPr>
        <w:t xml:space="preserve"> require the </w:t>
      </w:r>
      <w:r w:rsidR="00A47E36">
        <w:rPr>
          <w:rFonts w:asciiTheme="majorBidi" w:hAnsiTheme="majorBidi" w:cstheme="majorBidi"/>
          <w:i/>
          <w:iCs/>
        </w:rPr>
        <w:t>S</w:t>
      </w:r>
      <w:r w:rsidR="00A47E36" w:rsidRPr="008C3C79">
        <w:rPr>
          <w:rFonts w:asciiTheme="majorBidi" w:hAnsiTheme="majorBidi" w:cstheme="majorBidi"/>
          <w:i/>
          <w:iCs/>
        </w:rPr>
        <w:t xml:space="preserve">ervices of the Centre and the capacity of it to provide such </w:t>
      </w:r>
      <w:r w:rsidR="00A47E36">
        <w:rPr>
          <w:rFonts w:asciiTheme="majorBidi" w:hAnsiTheme="majorBidi" w:cstheme="majorBidi"/>
          <w:i/>
          <w:iCs/>
        </w:rPr>
        <w:t>S</w:t>
      </w:r>
      <w:r w:rsidR="00A47E36" w:rsidRPr="008C3C79">
        <w:rPr>
          <w:rFonts w:asciiTheme="majorBidi" w:hAnsiTheme="majorBidi" w:cstheme="majorBidi"/>
          <w:i/>
          <w:iCs/>
        </w:rPr>
        <w:t>ervices is insufficient, the following rules shall apply</w:t>
      </w:r>
      <w:r w:rsidR="00A47E36">
        <w:rPr>
          <w:rFonts w:asciiTheme="majorBidi" w:hAnsiTheme="majorBidi" w:cstheme="majorBidi"/>
          <w:i/>
          <w:iCs/>
        </w:rPr>
        <w:t>,</w:t>
      </w:r>
      <w:r w:rsidR="00A47E36" w:rsidRPr="003F37F3">
        <w:rPr>
          <w:rFonts w:asciiTheme="majorBidi" w:hAnsiTheme="majorBidi" w:cstheme="majorBidi"/>
          <w:i/>
          <w:iCs/>
        </w:rPr>
        <w:t xml:space="preserve"> </w:t>
      </w:r>
      <w:r w:rsidR="00A47E36" w:rsidRPr="008C3C79">
        <w:rPr>
          <w:rFonts w:asciiTheme="majorBidi" w:hAnsiTheme="majorBidi" w:cstheme="majorBidi"/>
          <w:i/>
          <w:iCs/>
        </w:rPr>
        <w:t xml:space="preserve">unless otherwise provided by the </w:t>
      </w:r>
      <w:r w:rsidR="00A47E36">
        <w:rPr>
          <w:rFonts w:asciiTheme="majorBidi" w:hAnsiTheme="majorBidi" w:cstheme="majorBidi"/>
          <w:i/>
          <w:iCs/>
        </w:rPr>
        <w:t>[governing body]</w:t>
      </w:r>
      <w:r w:rsidR="00A47E36" w:rsidRPr="008C3C79">
        <w:rPr>
          <w:rFonts w:asciiTheme="majorBidi" w:hAnsiTheme="majorBidi" w:cstheme="majorBidi"/>
          <w:i/>
          <w:iCs/>
        </w:rPr>
        <w:t>: priority shall be given to least-developed State</w:t>
      </w:r>
      <w:r w:rsidR="00A47E36">
        <w:rPr>
          <w:rFonts w:asciiTheme="majorBidi" w:hAnsiTheme="majorBidi" w:cstheme="majorBidi"/>
          <w:i/>
          <w:iCs/>
        </w:rPr>
        <w:t xml:space="preserve"> Beneficiaries</w:t>
      </w:r>
      <w:r w:rsidR="00A47E36" w:rsidRPr="008C3C79">
        <w:rPr>
          <w:rFonts w:asciiTheme="majorBidi" w:hAnsiTheme="majorBidi" w:cstheme="majorBidi"/>
          <w:i/>
          <w:iCs/>
        </w:rPr>
        <w:t>; if both State</w:t>
      </w:r>
      <w:r w:rsidR="00A47E36">
        <w:rPr>
          <w:rFonts w:asciiTheme="majorBidi" w:hAnsiTheme="majorBidi" w:cstheme="majorBidi"/>
          <w:i/>
          <w:iCs/>
        </w:rPr>
        <w:t xml:space="preserve"> Beneficiaries</w:t>
      </w:r>
      <w:r w:rsidR="00A47E36" w:rsidRPr="008C3C79">
        <w:rPr>
          <w:rFonts w:asciiTheme="majorBidi" w:hAnsiTheme="majorBidi" w:cstheme="majorBidi"/>
          <w:i/>
          <w:iCs/>
        </w:rPr>
        <w:t xml:space="preserve"> are on the same economic level of development, priority shall be given to the State </w:t>
      </w:r>
      <w:r w:rsidR="00A47E36">
        <w:rPr>
          <w:rFonts w:asciiTheme="majorBidi" w:hAnsiTheme="majorBidi" w:cstheme="majorBidi"/>
          <w:i/>
          <w:iCs/>
        </w:rPr>
        <w:t>Beneficiary</w:t>
      </w:r>
      <w:r w:rsidR="00A47E36" w:rsidRPr="008C3C79">
        <w:rPr>
          <w:rFonts w:asciiTheme="majorBidi" w:hAnsiTheme="majorBidi" w:cstheme="majorBidi"/>
          <w:i/>
          <w:iCs/>
        </w:rPr>
        <w:t xml:space="preserve"> that has requested the </w:t>
      </w:r>
      <w:r w:rsidR="00A47E36">
        <w:rPr>
          <w:rFonts w:asciiTheme="majorBidi" w:hAnsiTheme="majorBidi" w:cstheme="majorBidi"/>
          <w:i/>
          <w:iCs/>
        </w:rPr>
        <w:t>Centre for the S</w:t>
      </w:r>
      <w:r w:rsidR="00A47E36" w:rsidRPr="008C3C79">
        <w:rPr>
          <w:rFonts w:asciiTheme="majorBidi" w:hAnsiTheme="majorBidi" w:cstheme="majorBidi"/>
          <w:i/>
          <w:iCs/>
        </w:rPr>
        <w:t>ervices first</w:t>
      </w:r>
      <w:r w:rsidR="00A47E36">
        <w:rPr>
          <w:rFonts w:asciiTheme="majorBidi" w:hAnsiTheme="majorBidi" w:cstheme="majorBidi"/>
          <w:i/>
          <w:iCs/>
        </w:rPr>
        <w:t>.</w:t>
      </w:r>
    </w:p>
    <w:p w14:paraId="02DEA222" w14:textId="6F2863E1" w:rsidR="00A47E36" w:rsidRPr="008C3C79" w:rsidRDefault="00545099" w:rsidP="00A47E36">
      <w:pPr>
        <w:pStyle w:val="SingleTxt"/>
        <w:tabs>
          <w:tab w:val="clear" w:pos="3182"/>
          <w:tab w:val="left" w:pos="709"/>
          <w:tab w:val="left" w:pos="1843"/>
          <w:tab w:val="left" w:pos="2127"/>
        </w:tabs>
        <w:ind w:left="1843"/>
        <w:rPr>
          <w:rFonts w:asciiTheme="majorBidi" w:hAnsiTheme="majorBidi" w:cstheme="majorBidi"/>
          <w:i/>
          <w:iCs/>
        </w:rPr>
      </w:pPr>
      <w:r>
        <w:rPr>
          <w:rFonts w:asciiTheme="majorBidi" w:hAnsiTheme="majorBidi" w:cstheme="majorBidi"/>
          <w:i/>
          <w:iCs/>
        </w:rPr>
        <w:t>c)</w:t>
      </w:r>
      <w:r w:rsidR="00A47E36" w:rsidRPr="008C3C79">
        <w:rPr>
          <w:rFonts w:asciiTheme="majorBidi" w:hAnsiTheme="majorBidi" w:cstheme="majorBidi"/>
          <w:i/>
          <w:iCs/>
        </w:rPr>
        <w:t xml:space="preserve"> If the State </w:t>
      </w:r>
      <w:r w:rsidR="00A47E36">
        <w:rPr>
          <w:rFonts w:asciiTheme="majorBidi" w:hAnsiTheme="majorBidi" w:cstheme="majorBidi"/>
          <w:i/>
          <w:iCs/>
        </w:rPr>
        <w:t>Beneficiary</w:t>
      </w:r>
      <w:r w:rsidR="00A47E36" w:rsidRPr="008C3C79">
        <w:rPr>
          <w:rFonts w:asciiTheme="majorBidi" w:hAnsiTheme="majorBidi" w:cstheme="majorBidi"/>
          <w:i/>
          <w:iCs/>
        </w:rPr>
        <w:t>, even if it is a least developed State</w:t>
      </w:r>
      <w:r w:rsidR="00A47E36">
        <w:rPr>
          <w:rFonts w:asciiTheme="majorBidi" w:hAnsiTheme="majorBidi" w:cstheme="majorBidi"/>
          <w:i/>
          <w:iCs/>
        </w:rPr>
        <w:t xml:space="preserve"> Beneficiary</w:t>
      </w:r>
      <w:r w:rsidR="00A47E36" w:rsidRPr="008C3C79">
        <w:rPr>
          <w:rFonts w:asciiTheme="majorBidi" w:hAnsiTheme="majorBidi" w:cstheme="majorBidi"/>
          <w:i/>
          <w:iCs/>
        </w:rPr>
        <w:t xml:space="preserve">, which made the first request is already represented by the Centre in another case, the State </w:t>
      </w:r>
      <w:r w:rsidR="00A47E36">
        <w:rPr>
          <w:rFonts w:asciiTheme="majorBidi" w:hAnsiTheme="majorBidi" w:cstheme="majorBidi"/>
          <w:i/>
          <w:iCs/>
        </w:rPr>
        <w:t>Beneficiary</w:t>
      </w:r>
      <w:r w:rsidR="00A47E36" w:rsidRPr="008C3C79">
        <w:rPr>
          <w:rFonts w:asciiTheme="majorBidi" w:hAnsiTheme="majorBidi" w:cstheme="majorBidi"/>
          <w:i/>
          <w:iCs/>
        </w:rPr>
        <w:t xml:space="preserve"> not otherwise represented shall </w:t>
      </w:r>
      <w:r w:rsidR="00A47E36">
        <w:rPr>
          <w:rFonts w:asciiTheme="majorBidi" w:hAnsiTheme="majorBidi" w:cstheme="majorBidi"/>
          <w:i/>
          <w:iCs/>
        </w:rPr>
        <w:t>have priority</w:t>
      </w:r>
      <w:r w:rsidR="00A47E36" w:rsidRPr="008C3C79">
        <w:rPr>
          <w:rFonts w:asciiTheme="majorBidi" w:hAnsiTheme="majorBidi" w:cstheme="majorBidi"/>
          <w:i/>
          <w:iCs/>
        </w:rPr>
        <w:t xml:space="preserve"> to use the </w:t>
      </w:r>
      <w:r w:rsidR="00A47E36">
        <w:rPr>
          <w:rFonts w:asciiTheme="majorBidi" w:hAnsiTheme="majorBidi" w:cstheme="majorBidi"/>
          <w:i/>
          <w:iCs/>
        </w:rPr>
        <w:t>S</w:t>
      </w:r>
      <w:r w:rsidR="00A47E36" w:rsidRPr="008C3C79">
        <w:rPr>
          <w:rFonts w:asciiTheme="majorBidi" w:hAnsiTheme="majorBidi" w:cstheme="majorBidi"/>
          <w:i/>
          <w:iCs/>
        </w:rPr>
        <w:t>ervice</w:t>
      </w:r>
      <w:r w:rsidR="00A47E36">
        <w:rPr>
          <w:rFonts w:asciiTheme="majorBidi" w:hAnsiTheme="majorBidi" w:cstheme="majorBidi"/>
          <w:i/>
          <w:iCs/>
        </w:rPr>
        <w:t>.</w:t>
      </w:r>
    </w:p>
    <w:p w14:paraId="2BC65C37" w14:textId="7B8CAF9D" w:rsidR="00A47E36" w:rsidRDefault="00545099" w:rsidP="00726882">
      <w:pPr>
        <w:pStyle w:val="SingleTxt"/>
        <w:tabs>
          <w:tab w:val="clear" w:pos="1742"/>
          <w:tab w:val="clear" w:pos="2218"/>
          <w:tab w:val="left" w:pos="1701"/>
          <w:tab w:val="num" w:pos="3126"/>
        </w:tabs>
        <w:ind w:left="1814"/>
        <w:rPr>
          <w:rFonts w:asciiTheme="majorBidi" w:hAnsiTheme="majorBidi" w:cstheme="majorBidi"/>
          <w:i/>
          <w:iCs/>
        </w:rPr>
      </w:pPr>
      <w:r>
        <w:rPr>
          <w:rFonts w:asciiTheme="majorBidi" w:hAnsiTheme="majorBidi" w:cstheme="majorBidi"/>
          <w:i/>
          <w:iCs/>
        </w:rPr>
        <w:lastRenderedPageBreak/>
        <w:t>d)</w:t>
      </w:r>
      <w:r w:rsidR="00A47E36">
        <w:rPr>
          <w:rFonts w:asciiTheme="majorBidi" w:hAnsiTheme="majorBidi" w:cstheme="majorBidi"/>
          <w:i/>
          <w:iCs/>
        </w:rPr>
        <w:t xml:space="preserve"> </w:t>
      </w:r>
      <w:r w:rsidR="00A47E36" w:rsidRPr="008C3C79">
        <w:rPr>
          <w:rFonts w:asciiTheme="majorBidi" w:hAnsiTheme="majorBidi" w:cstheme="majorBidi"/>
          <w:i/>
          <w:iCs/>
        </w:rPr>
        <w:t xml:space="preserve">If both State </w:t>
      </w:r>
      <w:r w:rsidR="00A47E36">
        <w:rPr>
          <w:rFonts w:asciiTheme="majorBidi" w:hAnsiTheme="majorBidi" w:cstheme="majorBidi"/>
          <w:i/>
          <w:iCs/>
        </w:rPr>
        <w:t xml:space="preserve">Beneficiaries </w:t>
      </w:r>
      <w:r w:rsidR="00A47E36" w:rsidRPr="008C3C79">
        <w:rPr>
          <w:rFonts w:asciiTheme="majorBidi" w:hAnsiTheme="majorBidi" w:cstheme="majorBidi"/>
          <w:i/>
          <w:iCs/>
        </w:rPr>
        <w:t xml:space="preserve">having requested the </w:t>
      </w:r>
      <w:r w:rsidR="00A47E36">
        <w:rPr>
          <w:rFonts w:asciiTheme="majorBidi" w:hAnsiTheme="majorBidi" w:cstheme="majorBidi"/>
          <w:i/>
          <w:iCs/>
        </w:rPr>
        <w:t>S</w:t>
      </w:r>
      <w:r w:rsidR="00A47E36" w:rsidRPr="008C3C79">
        <w:rPr>
          <w:rFonts w:asciiTheme="majorBidi" w:hAnsiTheme="majorBidi" w:cstheme="majorBidi"/>
          <w:i/>
          <w:iCs/>
        </w:rPr>
        <w:t xml:space="preserve">ervices of the Centre are already represented by the Centre in other cases, the least developed State </w:t>
      </w:r>
      <w:r w:rsidR="00A47E36">
        <w:rPr>
          <w:rFonts w:asciiTheme="majorBidi" w:hAnsiTheme="majorBidi" w:cstheme="majorBidi"/>
          <w:i/>
          <w:iCs/>
        </w:rPr>
        <w:t xml:space="preserve">Beneficiary </w:t>
      </w:r>
      <w:r w:rsidR="00A47E36" w:rsidRPr="008C3C79">
        <w:rPr>
          <w:rFonts w:asciiTheme="majorBidi" w:hAnsiTheme="majorBidi" w:cstheme="majorBidi"/>
          <w:i/>
          <w:iCs/>
        </w:rPr>
        <w:t xml:space="preserve">shall be entitled to use the </w:t>
      </w:r>
      <w:r w:rsidR="00A47E36">
        <w:rPr>
          <w:rFonts w:asciiTheme="majorBidi" w:hAnsiTheme="majorBidi" w:cstheme="majorBidi"/>
          <w:i/>
          <w:iCs/>
        </w:rPr>
        <w:t>S</w:t>
      </w:r>
      <w:r w:rsidR="00A47E36" w:rsidRPr="008C3C79">
        <w:rPr>
          <w:rFonts w:asciiTheme="majorBidi" w:hAnsiTheme="majorBidi" w:cstheme="majorBidi"/>
          <w:i/>
          <w:iCs/>
        </w:rPr>
        <w:t xml:space="preserve">ervice. If the States </w:t>
      </w:r>
      <w:r w:rsidR="00A47E36">
        <w:rPr>
          <w:rFonts w:asciiTheme="majorBidi" w:hAnsiTheme="majorBidi" w:cstheme="majorBidi"/>
          <w:i/>
          <w:iCs/>
        </w:rPr>
        <w:t>have similar</w:t>
      </w:r>
      <w:r w:rsidR="00A47E36" w:rsidRPr="008C3C79">
        <w:rPr>
          <w:rFonts w:asciiTheme="majorBidi" w:hAnsiTheme="majorBidi" w:cstheme="majorBidi"/>
          <w:i/>
          <w:iCs/>
        </w:rPr>
        <w:t xml:space="preserve"> level</w:t>
      </w:r>
      <w:r w:rsidR="00A47E36">
        <w:rPr>
          <w:rFonts w:asciiTheme="majorBidi" w:hAnsiTheme="majorBidi" w:cstheme="majorBidi"/>
          <w:i/>
          <w:iCs/>
        </w:rPr>
        <w:t>s</w:t>
      </w:r>
      <w:r w:rsidR="00A47E36" w:rsidRPr="008C3C79">
        <w:rPr>
          <w:rFonts w:asciiTheme="majorBidi" w:hAnsiTheme="majorBidi" w:cstheme="majorBidi"/>
          <w:i/>
          <w:iCs/>
        </w:rPr>
        <w:t xml:space="preserve"> of development, the State, which is represented in fewer cases shall have priority.</w:t>
      </w:r>
    </w:p>
    <w:p w14:paraId="086BFC5F" w14:textId="68F3BDFD" w:rsidR="00A47E36" w:rsidRPr="00A47E36" w:rsidRDefault="00A47E36" w:rsidP="00A47E36">
      <w:pPr>
        <w:pStyle w:val="SingleTxt"/>
        <w:tabs>
          <w:tab w:val="clear" w:pos="1742"/>
          <w:tab w:val="clear" w:pos="2218"/>
          <w:tab w:val="left" w:pos="1701"/>
          <w:tab w:val="num" w:pos="3126"/>
        </w:tabs>
        <w:ind w:left="1276"/>
        <w:rPr>
          <w:rFonts w:asciiTheme="majorBidi" w:hAnsiTheme="majorBidi" w:cstheme="majorBidi"/>
          <w:b/>
          <w:bCs/>
        </w:rPr>
      </w:pPr>
      <w:r w:rsidRPr="00A47E36">
        <w:rPr>
          <w:rFonts w:asciiTheme="majorBidi" w:hAnsiTheme="majorBidi" w:cstheme="majorBidi"/>
          <w:b/>
          <w:bCs/>
          <w:i/>
          <w:iCs/>
        </w:rPr>
        <w:t>Comments</w:t>
      </w:r>
      <w:r w:rsidR="00545099">
        <w:rPr>
          <w:rFonts w:asciiTheme="majorBidi" w:hAnsiTheme="majorBidi" w:cstheme="majorBidi"/>
          <w:b/>
          <w:bCs/>
          <w:i/>
          <w:iCs/>
        </w:rPr>
        <w:t xml:space="preserve"> on draft provision 4(a)</w:t>
      </w:r>
    </w:p>
    <w:p w14:paraId="20D99E58" w14:textId="3F0898FF" w:rsidR="009211C0" w:rsidRPr="00A76744" w:rsidRDefault="00563250" w:rsidP="00A47E36">
      <w:pPr>
        <w:pStyle w:val="SingleTxt"/>
        <w:numPr>
          <w:ilvl w:val="2"/>
          <w:numId w:val="15"/>
        </w:numPr>
        <w:tabs>
          <w:tab w:val="clear" w:pos="1742"/>
          <w:tab w:val="clear" w:pos="2218"/>
          <w:tab w:val="left" w:pos="1701"/>
        </w:tabs>
        <w:rPr>
          <w:rFonts w:asciiTheme="majorBidi" w:hAnsiTheme="majorBidi" w:cstheme="majorBidi"/>
          <w:b/>
          <w:bCs/>
        </w:rPr>
      </w:pPr>
      <w:r w:rsidRPr="00A76744">
        <w:rPr>
          <w:rFonts w:asciiTheme="majorBidi" w:hAnsiTheme="majorBidi" w:cstheme="majorBidi"/>
          <w:b/>
          <w:bCs/>
        </w:rPr>
        <w:t>States</w:t>
      </w:r>
    </w:p>
    <w:p w14:paraId="093AEB6E" w14:textId="46342780" w:rsidR="00BB3B3A" w:rsidRPr="008C3C79" w:rsidRDefault="003265C2" w:rsidP="003865E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bookmarkStart w:id="8" w:name="_Hlk50532352"/>
      <w:r w:rsidRPr="008C3C79">
        <w:rPr>
          <w:rFonts w:asciiTheme="majorBidi" w:hAnsiTheme="majorBidi" w:cstheme="majorBidi"/>
        </w:rPr>
        <w:t>At the thirty-eighth session of the Working Group, it was suggested</w:t>
      </w:r>
      <w:r w:rsidR="00215C68" w:rsidRPr="008C3C79">
        <w:rPr>
          <w:rFonts w:asciiTheme="majorBidi" w:hAnsiTheme="majorBidi" w:cstheme="majorBidi"/>
        </w:rPr>
        <w:t xml:space="preserve"> that the beneficiaries should be States, preferably least</w:t>
      </w:r>
      <w:r w:rsidR="00CE2C77">
        <w:rPr>
          <w:rFonts w:asciiTheme="majorBidi" w:hAnsiTheme="majorBidi" w:cstheme="majorBidi"/>
        </w:rPr>
        <w:t xml:space="preserve"> </w:t>
      </w:r>
      <w:r w:rsidR="00215C68" w:rsidRPr="008C3C79">
        <w:rPr>
          <w:rFonts w:asciiTheme="majorBidi" w:hAnsiTheme="majorBidi" w:cstheme="majorBidi"/>
        </w:rPr>
        <w:t>developed and developing States as well as States with limited experience in ISDS (</w:t>
      </w:r>
      <w:hyperlink r:id="rId20" w:history="1">
        <w:r w:rsidR="00215C68" w:rsidRPr="008C3C79">
          <w:rPr>
            <w:rFonts w:asciiTheme="majorBidi" w:hAnsiTheme="majorBidi" w:cstheme="majorBidi"/>
          </w:rPr>
          <w:t>A/CN.9/1004</w:t>
        </w:r>
      </w:hyperlink>
      <w:r w:rsidR="00215C68" w:rsidRPr="008C3C79">
        <w:rPr>
          <w:rFonts w:asciiTheme="majorBidi" w:hAnsiTheme="majorBidi" w:cstheme="majorBidi"/>
        </w:rPr>
        <w:t>, para. 30).</w:t>
      </w:r>
      <w:r w:rsidR="008B3B32">
        <w:rPr>
          <w:rFonts w:asciiTheme="majorBidi" w:hAnsiTheme="majorBidi" w:cstheme="majorBidi"/>
        </w:rPr>
        <w:t xml:space="preserve"> </w:t>
      </w:r>
      <w:r w:rsidR="008B3B32" w:rsidRPr="008C3C79">
        <w:rPr>
          <w:rFonts w:asciiTheme="majorBidi" w:hAnsiTheme="majorBidi" w:cstheme="majorBidi"/>
        </w:rPr>
        <w:t>The Working Group may wish to decide which approach would be best suited to determine potential State beneficiarie</w:t>
      </w:r>
      <w:r w:rsidR="006E33F5">
        <w:rPr>
          <w:rFonts w:asciiTheme="majorBidi" w:hAnsiTheme="majorBidi" w:cstheme="majorBidi"/>
        </w:rPr>
        <w:t>s</w:t>
      </w:r>
      <w:r w:rsidR="008B3B32">
        <w:rPr>
          <w:rFonts w:asciiTheme="majorBidi" w:hAnsiTheme="majorBidi" w:cstheme="majorBidi"/>
        </w:rPr>
        <w:t xml:space="preserve"> as there are different approaches on how to classify States.</w:t>
      </w:r>
      <w:r w:rsidR="008B3B32">
        <w:rPr>
          <w:rStyle w:val="FootnoteReference"/>
          <w:rFonts w:asciiTheme="majorBidi" w:hAnsiTheme="majorBidi" w:cstheme="majorBidi"/>
        </w:rPr>
        <w:footnoteReference w:id="16"/>
      </w:r>
      <w:r w:rsidR="008B3B32">
        <w:rPr>
          <w:rFonts w:asciiTheme="majorBidi" w:hAnsiTheme="majorBidi" w:cstheme="majorBidi"/>
        </w:rPr>
        <w:t xml:space="preserve"> </w:t>
      </w:r>
      <w:r w:rsidR="00215C68" w:rsidRPr="008C3C79">
        <w:rPr>
          <w:rFonts w:asciiTheme="majorBidi" w:hAnsiTheme="majorBidi" w:cstheme="majorBidi"/>
        </w:rPr>
        <w:t xml:space="preserve"> </w:t>
      </w:r>
    </w:p>
    <w:p w14:paraId="07BE29A4" w14:textId="4F41CFE7" w:rsidR="003E57B1" w:rsidRPr="008C3C79" w:rsidRDefault="003E57B1" w:rsidP="003865E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The Working Group may further wish to consider whether developed States could be beneficiaries of certain limited services as reflected in draft provision </w:t>
      </w:r>
      <w:r w:rsidRPr="004B3E2A">
        <w:rPr>
          <w:rFonts w:asciiTheme="majorBidi" w:hAnsiTheme="majorBidi" w:cstheme="majorBidi"/>
        </w:rPr>
        <w:t xml:space="preserve">on objectives and functions of the </w:t>
      </w:r>
      <w:r w:rsidR="00CE2C77">
        <w:rPr>
          <w:rFonts w:asciiTheme="majorBidi" w:hAnsiTheme="majorBidi" w:cstheme="majorBidi"/>
        </w:rPr>
        <w:t>c</w:t>
      </w:r>
      <w:r w:rsidRPr="004B3E2A">
        <w:rPr>
          <w:rFonts w:asciiTheme="majorBidi" w:hAnsiTheme="majorBidi" w:cstheme="majorBidi"/>
        </w:rPr>
        <w:t>entre</w:t>
      </w:r>
      <w:r w:rsidR="005608D0">
        <w:rPr>
          <w:rFonts w:asciiTheme="majorBidi" w:hAnsiTheme="majorBidi" w:cstheme="majorBidi"/>
        </w:rPr>
        <w:t xml:space="preserve">. </w:t>
      </w:r>
    </w:p>
    <w:p w14:paraId="0C04E30F" w14:textId="6B43D09D" w:rsidR="006E1DA5" w:rsidRPr="008C3C79" w:rsidRDefault="006E1DA5" w:rsidP="006E1DA5">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To the extent an </w:t>
      </w:r>
      <w:r w:rsidR="00A76744">
        <w:rPr>
          <w:rFonts w:asciiTheme="majorBidi" w:hAnsiTheme="majorBidi" w:cstheme="majorBidi"/>
        </w:rPr>
        <w:t>advisory centre</w:t>
      </w:r>
      <w:r w:rsidRPr="008C3C79">
        <w:rPr>
          <w:rFonts w:asciiTheme="majorBidi" w:hAnsiTheme="majorBidi" w:cstheme="majorBidi"/>
        </w:rPr>
        <w:t xml:space="preserve"> is intended to address issues and capacity challenges related to policy formulation </w:t>
      </w:r>
      <w:r w:rsidR="00A76744">
        <w:rPr>
          <w:rFonts w:asciiTheme="majorBidi" w:hAnsiTheme="majorBidi" w:cstheme="majorBidi"/>
        </w:rPr>
        <w:t xml:space="preserve">of investment treaties </w:t>
      </w:r>
      <w:r w:rsidRPr="008C3C79">
        <w:rPr>
          <w:rFonts w:asciiTheme="majorBidi" w:hAnsiTheme="majorBidi" w:cstheme="majorBidi"/>
        </w:rPr>
        <w:t xml:space="preserve">and implementation, beneficiaries could be limited to investment treaty negotiators; or they could </w:t>
      </w:r>
      <w:r w:rsidR="004B3E2A">
        <w:rPr>
          <w:rFonts w:asciiTheme="majorBidi" w:hAnsiTheme="majorBidi" w:cstheme="majorBidi"/>
        </w:rPr>
        <w:t>include</w:t>
      </w:r>
      <w:r w:rsidRPr="008C3C79">
        <w:rPr>
          <w:rFonts w:asciiTheme="majorBidi" w:hAnsiTheme="majorBidi" w:cstheme="majorBidi"/>
        </w:rPr>
        <w:t xml:space="preserve"> a wider </w:t>
      </w:r>
      <w:r w:rsidR="004B3E2A">
        <w:rPr>
          <w:rFonts w:asciiTheme="majorBidi" w:hAnsiTheme="majorBidi" w:cstheme="majorBidi"/>
        </w:rPr>
        <w:t>range</w:t>
      </w:r>
      <w:r w:rsidRPr="008C3C79">
        <w:rPr>
          <w:rFonts w:asciiTheme="majorBidi" w:hAnsiTheme="majorBidi" w:cstheme="majorBidi"/>
        </w:rPr>
        <w:t xml:space="preserve"> of stakeholders, </w:t>
      </w:r>
      <w:r w:rsidR="005608D0">
        <w:rPr>
          <w:rFonts w:asciiTheme="majorBidi" w:hAnsiTheme="majorBidi" w:cstheme="majorBidi"/>
        </w:rPr>
        <w:t>such as</w:t>
      </w:r>
      <w:r w:rsidRPr="008C3C79">
        <w:rPr>
          <w:rFonts w:asciiTheme="majorBidi" w:hAnsiTheme="majorBidi" w:cstheme="majorBidi"/>
        </w:rPr>
        <w:t xml:space="preserve"> national parliamentarians or ministry/agency officials, state/provincial or local-level government actors, and civil society organizations</w:t>
      </w:r>
      <w:r w:rsidR="005608D0">
        <w:rPr>
          <w:rFonts w:asciiTheme="majorBidi" w:hAnsiTheme="majorBidi" w:cstheme="majorBidi"/>
        </w:rPr>
        <w:t>,</w:t>
      </w:r>
      <w:r w:rsidRPr="008C3C79">
        <w:rPr>
          <w:rFonts w:asciiTheme="majorBidi" w:hAnsiTheme="majorBidi" w:cstheme="majorBidi"/>
        </w:rPr>
        <w:t xml:space="preserve"> all engaged in efforts to understand how to attract, retain, and benefit from inward investment, and whether, how, and when to promote outward investment. </w:t>
      </w:r>
      <w:r w:rsidR="005608D0">
        <w:rPr>
          <w:rFonts w:asciiTheme="majorBidi" w:hAnsiTheme="majorBidi" w:cstheme="majorBidi"/>
        </w:rPr>
        <w:t>The Working Group may wish to consider whether this</w:t>
      </w:r>
      <w:r w:rsidR="004B3E2A">
        <w:rPr>
          <w:rFonts w:asciiTheme="majorBidi" w:hAnsiTheme="majorBidi" w:cstheme="majorBidi"/>
        </w:rPr>
        <w:t xml:space="preserve"> would permit for </w:t>
      </w:r>
      <w:r w:rsidRPr="008C3C79">
        <w:rPr>
          <w:rFonts w:asciiTheme="majorBidi" w:hAnsiTheme="majorBidi" w:cstheme="majorBidi"/>
        </w:rPr>
        <w:t>much broader capacity across government</w:t>
      </w:r>
      <w:r w:rsidR="004B3E2A">
        <w:rPr>
          <w:rFonts w:asciiTheme="majorBidi" w:hAnsiTheme="majorBidi" w:cstheme="majorBidi"/>
        </w:rPr>
        <w:t>s to</w:t>
      </w:r>
      <w:r w:rsidRPr="008C3C79">
        <w:rPr>
          <w:rFonts w:asciiTheme="majorBidi" w:hAnsiTheme="majorBidi" w:cstheme="majorBidi"/>
        </w:rPr>
        <w:t xml:space="preserve"> be developed.</w:t>
      </w:r>
      <w:r w:rsidR="000B05FF" w:rsidRPr="008C3C79">
        <w:rPr>
          <w:rFonts w:asciiTheme="majorBidi" w:hAnsiTheme="majorBidi" w:cstheme="majorBidi"/>
        </w:rPr>
        <w:t xml:space="preserve"> </w:t>
      </w:r>
      <w:r w:rsidRPr="008C3C79">
        <w:rPr>
          <w:rFonts w:asciiTheme="majorBidi" w:hAnsiTheme="majorBidi" w:cstheme="majorBidi"/>
        </w:rPr>
        <w:t xml:space="preserve">Decisions regarding intended beneficiaries in this context will naturally depend on broader decisions regarding what kind of capacity, if any, an </w:t>
      </w:r>
      <w:r w:rsidR="004B3E2A">
        <w:rPr>
          <w:rFonts w:asciiTheme="majorBidi" w:hAnsiTheme="majorBidi" w:cstheme="majorBidi"/>
        </w:rPr>
        <w:t>advisory centre</w:t>
      </w:r>
      <w:r w:rsidRPr="008C3C79">
        <w:rPr>
          <w:rFonts w:asciiTheme="majorBidi" w:hAnsiTheme="majorBidi" w:cstheme="majorBidi"/>
        </w:rPr>
        <w:t xml:space="preserve"> is intended to address (e.g. narrow technical capacity, or broader or longer-term organizational, institutional and cross-sectoral capacities) and the nuanced context of capacity needs and gaps experienced by and within particular </w:t>
      </w:r>
      <w:r w:rsidR="000B05FF" w:rsidRPr="008C3C79">
        <w:rPr>
          <w:rFonts w:asciiTheme="majorBidi" w:hAnsiTheme="majorBidi" w:cstheme="majorBidi"/>
        </w:rPr>
        <w:t>S</w:t>
      </w:r>
      <w:r w:rsidRPr="008C3C79">
        <w:rPr>
          <w:rFonts w:asciiTheme="majorBidi" w:hAnsiTheme="majorBidi" w:cstheme="majorBidi"/>
        </w:rPr>
        <w:t>tates.</w:t>
      </w:r>
      <w:r w:rsidR="004B3E2A">
        <w:rPr>
          <w:rStyle w:val="FootnoteReference"/>
          <w:rFonts w:asciiTheme="majorBidi" w:hAnsiTheme="majorBidi" w:cstheme="majorBidi"/>
        </w:rPr>
        <w:footnoteReference w:id="17"/>
      </w:r>
    </w:p>
    <w:p w14:paraId="32876BCD" w14:textId="72DF32FB" w:rsidR="006E1DA5" w:rsidRDefault="006E1DA5" w:rsidP="006E1DA5">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In the context of investment treaty disputes, the beneficiary most commonly identified for additional support from </w:t>
      </w:r>
      <w:r w:rsidR="00A76744">
        <w:rPr>
          <w:rFonts w:asciiTheme="majorBidi" w:hAnsiTheme="majorBidi" w:cstheme="majorBidi"/>
        </w:rPr>
        <w:t>an advisory centre</w:t>
      </w:r>
      <w:r w:rsidRPr="008C3C79">
        <w:rPr>
          <w:rFonts w:asciiTheme="majorBidi" w:hAnsiTheme="majorBidi" w:cstheme="majorBidi"/>
        </w:rPr>
        <w:t xml:space="preserve"> is the respondent host</w:t>
      </w:r>
      <w:r w:rsidR="00D56BCD">
        <w:rPr>
          <w:rFonts w:asciiTheme="majorBidi" w:hAnsiTheme="majorBidi" w:cstheme="majorBidi"/>
        </w:rPr>
        <w:t xml:space="preserve"> </w:t>
      </w:r>
      <w:r w:rsidR="000B05FF" w:rsidRPr="008C3C79">
        <w:rPr>
          <w:rFonts w:asciiTheme="majorBidi" w:hAnsiTheme="majorBidi" w:cstheme="majorBidi"/>
        </w:rPr>
        <w:t>S</w:t>
      </w:r>
      <w:r w:rsidRPr="008C3C79">
        <w:rPr>
          <w:rFonts w:asciiTheme="majorBidi" w:hAnsiTheme="majorBidi" w:cstheme="majorBidi"/>
        </w:rPr>
        <w:t>tate. This category of beneficiar</w:t>
      </w:r>
      <w:r w:rsidR="000B05FF" w:rsidRPr="008C3C79">
        <w:rPr>
          <w:rFonts w:asciiTheme="majorBidi" w:hAnsiTheme="majorBidi" w:cstheme="majorBidi"/>
        </w:rPr>
        <w:t>ies</w:t>
      </w:r>
      <w:r w:rsidRPr="008C3C79">
        <w:rPr>
          <w:rFonts w:asciiTheme="majorBidi" w:hAnsiTheme="majorBidi" w:cstheme="majorBidi"/>
        </w:rPr>
        <w:t xml:space="preserve"> could and would likely need to be further defined</w:t>
      </w:r>
      <w:r w:rsidR="00D56BCD">
        <w:rPr>
          <w:rFonts w:asciiTheme="majorBidi" w:hAnsiTheme="majorBidi" w:cstheme="majorBidi"/>
        </w:rPr>
        <w:t xml:space="preserve">, e.g. whether developing or only least developed States are targeted. </w:t>
      </w:r>
    </w:p>
    <w:p w14:paraId="78FE4506" w14:textId="17EC9FCA" w:rsidR="00C83C4C" w:rsidRPr="00A76744" w:rsidRDefault="00C83C4C" w:rsidP="00A47E36">
      <w:pPr>
        <w:pStyle w:val="SingleTxt"/>
        <w:numPr>
          <w:ilvl w:val="2"/>
          <w:numId w:val="15"/>
        </w:numPr>
        <w:tabs>
          <w:tab w:val="left" w:pos="709"/>
          <w:tab w:val="left" w:pos="1701"/>
          <w:tab w:val="left" w:pos="2127"/>
        </w:tabs>
        <w:rPr>
          <w:rFonts w:asciiTheme="majorBidi" w:hAnsiTheme="majorBidi" w:cstheme="majorBidi"/>
          <w:b/>
          <w:bCs/>
        </w:rPr>
      </w:pPr>
      <w:r w:rsidRPr="00A76744">
        <w:rPr>
          <w:rFonts w:asciiTheme="majorBidi" w:hAnsiTheme="majorBidi" w:cstheme="majorBidi"/>
          <w:b/>
          <w:bCs/>
        </w:rPr>
        <w:t>SMEs</w:t>
      </w:r>
    </w:p>
    <w:p w14:paraId="1627CB54" w14:textId="42EDA001" w:rsidR="009211C0" w:rsidRPr="008C3C79" w:rsidRDefault="00C83C4C" w:rsidP="00726882">
      <w:pPr>
        <w:pStyle w:val="SingleTxt"/>
        <w:tabs>
          <w:tab w:val="clear" w:pos="1742"/>
          <w:tab w:val="left" w:pos="709"/>
          <w:tab w:val="left" w:pos="2127"/>
        </w:tabs>
        <w:rPr>
          <w:rFonts w:asciiTheme="majorBidi" w:hAnsiTheme="majorBidi" w:cstheme="majorBidi"/>
        </w:rPr>
      </w:pPr>
      <w:r w:rsidRPr="00C619BA">
        <w:rPr>
          <w:rFonts w:asciiTheme="majorBidi" w:hAnsiTheme="majorBidi" w:cstheme="majorBidi"/>
        </w:rPr>
        <w:t>The Working Group expressed differ</w:t>
      </w:r>
      <w:r w:rsidR="003265C2" w:rsidRPr="00C619BA">
        <w:rPr>
          <w:rFonts w:asciiTheme="majorBidi" w:hAnsiTheme="majorBidi" w:cstheme="majorBidi"/>
        </w:rPr>
        <w:t>ing</w:t>
      </w:r>
      <w:r w:rsidRPr="00C619BA">
        <w:rPr>
          <w:rFonts w:asciiTheme="majorBidi" w:hAnsiTheme="majorBidi" w:cstheme="majorBidi"/>
        </w:rPr>
        <w:t xml:space="preserve"> views</w:t>
      </w:r>
      <w:r w:rsidR="003265C2" w:rsidRPr="00C619BA">
        <w:rPr>
          <w:rFonts w:asciiTheme="majorBidi" w:hAnsiTheme="majorBidi" w:cstheme="majorBidi"/>
        </w:rPr>
        <w:t xml:space="preserve"> on</w:t>
      </w:r>
      <w:r w:rsidRPr="00C619BA">
        <w:rPr>
          <w:rFonts w:asciiTheme="majorBidi" w:hAnsiTheme="majorBidi" w:cstheme="majorBidi"/>
        </w:rPr>
        <w:t xml:space="preserve"> whether small and medium sized enterprises (SMEs) should be able to access the services of </w:t>
      </w:r>
      <w:r w:rsidR="003265C2" w:rsidRPr="00726882">
        <w:rPr>
          <w:rFonts w:asciiTheme="majorBidi" w:hAnsiTheme="majorBidi" w:cstheme="majorBidi"/>
        </w:rPr>
        <w:t>an</w:t>
      </w:r>
      <w:r w:rsidRPr="00726882">
        <w:rPr>
          <w:rFonts w:asciiTheme="majorBidi" w:hAnsiTheme="majorBidi" w:cstheme="majorBidi"/>
        </w:rPr>
        <w:t xml:space="preserve"> </w:t>
      </w:r>
      <w:r w:rsidR="002160BE" w:rsidRPr="00726882">
        <w:rPr>
          <w:rFonts w:asciiTheme="majorBidi" w:hAnsiTheme="majorBidi" w:cstheme="majorBidi"/>
        </w:rPr>
        <w:t>a</w:t>
      </w:r>
      <w:r w:rsidRPr="00726882">
        <w:rPr>
          <w:rFonts w:asciiTheme="majorBidi" w:hAnsiTheme="majorBidi" w:cstheme="majorBidi"/>
        </w:rPr>
        <w:t xml:space="preserve">dvisory centre </w:t>
      </w:r>
      <w:r w:rsidRPr="00726882">
        <w:rPr>
          <w:rFonts w:asciiTheme="majorBidi" w:hAnsiTheme="majorBidi" w:cstheme="majorBidi"/>
          <w:lang w:val="en-CA"/>
        </w:rPr>
        <w:t>(</w:t>
      </w:r>
      <w:hyperlink r:id="rId21" w:history="1">
        <w:r w:rsidRPr="00C619BA">
          <w:rPr>
            <w:rStyle w:val="Hyperlink"/>
            <w:rFonts w:asciiTheme="majorBidi" w:hAnsiTheme="majorBidi" w:cstheme="majorBidi"/>
          </w:rPr>
          <w:t>A/CN.9/1004</w:t>
        </w:r>
      </w:hyperlink>
      <w:r w:rsidRPr="00C619BA">
        <w:rPr>
          <w:rFonts w:asciiTheme="majorBidi" w:hAnsiTheme="majorBidi" w:cstheme="majorBidi"/>
          <w:lang w:val="en-CA"/>
        </w:rPr>
        <w:t>, para. 30)</w:t>
      </w:r>
      <w:r w:rsidRPr="00C619BA">
        <w:rPr>
          <w:rFonts w:asciiTheme="majorBidi" w:hAnsiTheme="majorBidi" w:cstheme="majorBidi"/>
        </w:rPr>
        <w:t>.</w:t>
      </w:r>
      <w:bookmarkEnd w:id="8"/>
      <w:r w:rsidR="00C619BA">
        <w:rPr>
          <w:rFonts w:asciiTheme="majorBidi" w:hAnsiTheme="majorBidi" w:cstheme="majorBidi"/>
        </w:rPr>
        <w:t xml:space="preserve"> </w:t>
      </w:r>
      <w:r w:rsidR="00F33B89" w:rsidRPr="008C3C79">
        <w:rPr>
          <w:rFonts w:asciiTheme="majorBidi" w:hAnsiTheme="majorBidi" w:cstheme="majorBidi"/>
        </w:rPr>
        <w:t>The Working Group may wish to note that</w:t>
      </w:r>
      <w:r w:rsidR="002D1E69" w:rsidRPr="008C3C79">
        <w:rPr>
          <w:rFonts w:asciiTheme="majorBidi" w:hAnsiTheme="majorBidi" w:cstheme="majorBidi"/>
        </w:rPr>
        <w:t xml:space="preserve"> it </w:t>
      </w:r>
      <w:r w:rsidR="00F33B89" w:rsidRPr="008C3C79">
        <w:rPr>
          <w:rFonts w:asciiTheme="majorBidi" w:hAnsiTheme="majorBidi" w:cstheme="majorBidi"/>
        </w:rPr>
        <w:t xml:space="preserve">might </w:t>
      </w:r>
      <w:r w:rsidR="002D1E69" w:rsidRPr="008C3C79">
        <w:rPr>
          <w:rFonts w:asciiTheme="majorBidi" w:hAnsiTheme="majorBidi" w:cstheme="majorBidi"/>
        </w:rPr>
        <w:t xml:space="preserve">be difficult to set objective criteria on which enterprises </w:t>
      </w:r>
      <w:r w:rsidR="00F33B89" w:rsidRPr="008C3C79">
        <w:rPr>
          <w:rFonts w:asciiTheme="majorBidi" w:hAnsiTheme="majorBidi" w:cstheme="majorBidi"/>
        </w:rPr>
        <w:t>c</w:t>
      </w:r>
      <w:r w:rsidR="002D1E69" w:rsidRPr="008C3C79">
        <w:rPr>
          <w:rFonts w:asciiTheme="majorBidi" w:hAnsiTheme="majorBidi" w:cstheme="majorBidi"/>
        </w:rPr>
        <w:t xml:space="preserve">ould be given access </w:t>
      </w:r>
      <w:r w:rsidR="002D1E69" w:rsidRPr="008C3C79">
        <w:rPr>
          <w:rFonts w:asciiTheme="majorBidi" w:hAnsiTheme="majorBidi" w:cstheme="majorBidi"/>
          <w:lang w:val="en-CA"/>
        </w:rPr>
        <w:t>(</w:t>
      </w:r>
      <w:hyperlink r:id="rId22" w:history="1">
        <w:r w:rsidR="002D1E69" w:rsidRPr="008C3C79">
          <w:rPr>
            <w:rStyle w:val="Hyperlink"/>
            <w:rFonts w:asciiTheme="majorBidi" w:hAnsiTheme="majorBidi" w:cstheme="majorBidi"/>
          </w:rPr>
          <w:t>A/CN.9/1004</w:t>
        </w:r>
      </w:hyperlink>
      <w:r w:rsidR="002D1E69" w:rsidRPr="008C3C79">
        <w:rPr>
          <w:rFonts w:asciiTheme="majorBidi" w:hAnsiTheme="majorBidi" w:cstheme="majorBidi"/>
          <w:lang w:val="en-CA"/>
        </w:rPr>
        <w:t>, para. 30)</w:t>
      </w:r>
      <w:r w:rsidR="002D1E69" w:rsidRPr="008C3C79">
        <w:rPr>
          <w:rFonts w:asciiTheme="majorBidi" w:hAnsiTheme="majorBidi" w:cstheme="majorBidi"/>
        </w:rPr>
        <w:t>.</w:t>
      </w:r>
      <w:r w:rsidR="00F33B89" w:rsidRPr="008C3C79">
        <w:rPr>
          <w:rFonts w:asciiTheme="majorBidi" w:hAnsiTheme="majorBidi" w:cstheme="majorBidi"/>
        </w:rPr>
        <w:t xml:space="preserve"> </w:t>
      </w:r>
      <w:r w:rsidR="002D1E69" w:rsidRPr="008C3C79">
        <w:rPr>
          <w:rFonts w:asciiTheme="majorBidi" w:hAnsiTheme="majorBidi" w:cstheme="majorBidi"/>
        </w:rPr>
        <w:t xml:space="preserve">There </w:t>
      </w:r>
      <w:r w:rsidR="009418E2" w:rsidRPr="008C3C79">
        <w:rPr>
          <w:rFonts w:asciiTheme="majorBidi" w:hAnsiTheme="majorBidi" w:cstheme="majorBidi"/>
        </w:rPr>
        <w:t>is no standardized international definition of what constitutes a SME, since each economy will define its own parameters for each size of business by taking into account its own specific economic context</w:t>
      </w:r>
      <w:r w:rsidR="008B6416" w:rsidRPr="008C3C79">
        <w:rPr>
          <w:rFonts w:asciiTheme="majorBidi" w:hAnsiTheme="majorBidi" w:cstheme="majorBidi"/>
        </w:rPr>
        <w:t xml:space="preserve"> (see A/CN.9/WG.I/WP.92, para 11)</w:t>
      </w:r>
      <w:r w:rsidR="003E57B1" w:rsidRPr="008C3C79">
        <w:rPr>
          <w:rFonts w:asciiTheme="majorBidi" w:hAnsiTheme="majorBidi" w:cstheme="majorBidi"/>
        </w:rPr>
        <w:t xml:space="preserve">.  </w:t>
      </w:r>
    </w:p>
    <w:p w14:paraId="5861FCE0" w14:textId="57B6F4BA" w:rsidR="005608D0" w:rsidRPr="00726882" w:rsidRDefault="00F33B89" w:rsidP="00C619BA">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C619BA">
        <w:rPr>
          <w:rFonts w:asciiTheme="majorBidi" w:hAnsiTheme="majorBidi" w:cstheme="majorBidi"/>
        </w:rPr>
        <w:t xml:space="preserve">In addition, the Working Group may wish to note </w:t>
      </w:r>
      <w:r w:rsidR="00C619BA">
        <w:rPr>
          <w:rFonts w:asciiTheme="majorBidi" w:hAnsiTheme="majorBidi" w:cstheme="majorBidi"/>
        </w:rPr>
        <w:t>that p</w:t>
      </w:r>
      <w:r w:rsidR="00EA19BC" w:rsidRPr="00C619BA">
        <w:rPr>
          <w:rFonts w:asciiTheme="majorBidi" w:hAnsiTheme="majorBidi" w:cstheme="majorBidi"/>
        </w:rPr>
        <w:t xml:space="preserve">ossible conflict of interests might arise </w:t>
      </w:r>
      <w:r w:rsidR="00C619BA">
        <w:rPr>
          <w:rFonts w:asciiTheme="majorBidi" w:hAnsiTheme="majorBidi" w:cstheme="majorBidi"/>
        </w:rPr>
        <w:t>from the inclusion of</w:t>
      </w:r>
      <w:r w:rsidR="00C619BA" w:rsidRPr="00C619BA">
        <w:rPr>
          <w:rFonts w:asciiTheme="majorBidi" w:hAnsiTheme="majorBidi" w:cstheme="majorBidi"/>
        </w:rPr>
        <w:t xml:space="preserve"> SMEs as beneficiaries of the services of an advisory centre</w:t>
      </w:r>
      <w:r w:rsidR="00C619BA">
        <w:rPr>
          <w:rFonts w:asciiTheme="majorBidi" w:hAnsiTheme="majorBidi" w:cstheme="majorBidi"/>
        </w:rPr>
        <w:t>. This would</w:t>
      </w:r>
      <w:r w:rsidRPr="00C619BA">
        <w:rPr>
          <w:rFonts w:asciiTheme="majorBidi" w:hAnsiTheme="majorBidi" w:cstheme="majorBidi"/>
        </w:rPr>
        <w:t xml:space="preserve"> depend</w:t>
      </w:r>
      <w:r w:rsidR="00EA19BC" w:rsidRPr="00C619BA">
        <w:rPr>
          <w:rFonts w:asciiTheme="majorBidi" w:hAnsiTheme="majorBidi" w:cstheme="majorBidi"/>
        </w:rPr>
        <w:t xml:space="preserve"> largely on the nature and scope of </w:t>
      </w:r>
      <w:r w:rsidRPr="00C619BA">
        <w:rPr>
          <w:rFonts w:asciiTheme="majorBidi" w:hAnsiTheme="majorBidi" w:cstheme="majorBidi"/>
        </w:rPr>
        <w:t xml:space="preserve">the services </w:t>
      </w:r>
      <w:r w:rsidR="00EA19BC" w:rsidRPr="00C619BA">
        <w:rPr>
          <w:rFonts w:asciiTheme="majorBidi" w:hAnsiTheme="majorBidi" w:cstheme="majorBidi"/>
        </w:rPr>
        <w:t xml:space="preserve">that the </w:t>
      </w:r>
      <w:r w:rsidR="002160BE" w:rsidRPr="00C619BA">
        <w:rPr>
          <w:rFonts w:asciiTheme="majorBidi" w:hAnsiTheme="majorBidi" w:cstheme="majorBidi"/>
        </w:rPr>
        <w:t>c</w:t>
      </w:r>
      <w:r w:rsidR="00EA19BC" w:rsidRPr="00C619BA">
        <w:rPr>
          <w:rFonts w:asciiTheme="majorBidi" w:hAnsiTheme="majorBidi" w:cstheme="majorBidi"/>
        </w:rPr>
        <w:t xml:space="preserve">entre </w:t>
      </w:r>
      <w:r w:rsidRPr="00726882">
        <w:rPr>
          <w:rFonts w:asciiTheme="majorBidi" w:hAnsiTheme="majorBidi" w:cstheme="majorBidi"/>
        </w:rPr>
        <w:t>would</w:t>
      </w:r>
      <w:r w:rsidR="00EA19BC" w:rsidRPr="00726882">
        <w:rPr>
          <w:rFonts w:asciiTheme="majorBidi" w:hAnsiTheme="majorBidi" w:cstheme="majorBidi"/>
        </w:rPr>
        <w:t xml:space="preserve"> offer. </w:t>
      </w:r>
      <w:r w:rsidRPr="00726882">
        <w:rPr>
          <w:rFonts w:asciiTheme="majorBidi" w:hAnsiTheme="majorBidi" w:cstheme="majorBidi"/>
        </w:rPr>
        <w:t xml:space="preserve">For instance, if SMEs were to benefit from </w:t>
      </w:r>
      <w:r w:rsidR="00EA19BC" w:rsidRPr="00726882">
        <w:rPr>
          <w:rFonts w:asciiTheme="majorBidi" w:hAnsiTheme="majorBidi" w:cstheme="majorBidi"/>
        </w:rPr>
        <w:t>legal representation</w:t>
      </w:r>
      <w:r w:rsidRPr="00726882">
        <w:rPr>
          <w:rFonts w:asciiTheme="majorBidi" w:hAnsiTheme="majorBidi" w:cstheme="majorBidi"/>
        </w:rPr>
        <w:t xml:space="preserve"> as States would do</w:t>
      </w:r>
      <w:r w:rsidR="00B61E46" w:rsidRPr="00726882">
        <w:rPr>
          <w:rFonts w:asciiTheme="majorBidi" w:hAnsiTheme="majorBidi" w:cstheme="majorBidi"/>
        </w:rPr>
        <w:t>, this might</w:t>
      </w:r>
      <w:r w:rsidR="00EA19BC" w:rsidRPr="00726882">
        <w:rPr>
          <w:rFonts w:asciiTheme="majorBidi" w:hAnsiTheme="majorBidi" w:cstheme="majorBidi"/>
        </w:rPr>
        <w:t xml:space="preserve"> give rise to situations where an investor </w:t>
      </w:r>
      <w:r w:rsidR="00EA19BC" w:rsidRPr="00726882">
        <w:rPr>
          <w:rFonts w:asciiTheme="majorBidi" w:hAnsiTheme="majorBidi" w:cstheme="majorBidi"/>
        </w:rPr>
        <w:lastRenderedPageBreak/>
        <w:t xml:space="preserve">would initiate a claim and be represented by the </w:t>
      </w:r>
      <w:r w:rsidR="002160BE" w:rsidRPr="00726882">
        <w:rPr>
          <w:rFonts w:asciiTheme="majorBidi" w:hAnsiTheme="majorBidi" w:cstheme="majorBidi"/>
        </w:rPr>
        <w:t>c</w:t>
      </w:r>
      <w:r w:rsidR="00EA19BC" w:rsidRPr="00726882">
        <w:rPr>
          <w:rFonts w:asciiTheme="majorBidi" w:hAnsiTheme="majorBidi" w:cstheme="majorBidi"/>
        </w:rPr>
        <w:t xml:space="preserve">entre in a dispute, thus depriving the State </w:t>
      </w:r>
      <w:r w:rsidR="00B61E46" w:rsidRPr="00726882">
        <w:rPr>
          <w:rFonts w:asciiTheme="majorBidi" w:hAnsiTheme="majorBidi" w:cstheme="majorBidi"/>
        </w:rPr>
        <w:t xml:space="preserve">against </w:t>
      </w:r>
      <w:r w:rsidR="00EA19BC" w:rsidRPr="00726882">
        <w:rPr>
          <w:rFonts w:asciiTheme="majorBidi" w:hAnsiTheme="majorBidi" w:cstheme="majorBidi"/>
        </w:rPr>
        <w:t xml:space="preserve">whom the claim is </w:t>
      </w:r>
      <w:r w:rsidR="00B61E46" w:rsidRPr="00726882">
        <w:rPr>
          <w:rFonts w:asciiTheme="majorBidi" w:hAnsiTheme="majorBidi" w:cstheme="majorBidi"/>
        </w:rPr>
        <w:t xml:space="preserve">made of </w:t>
      </w:r>
      <w:r w:rsidR="00EA19BC" w:rsidRPr="00726882">
        <w:rPr>
          <w:rFonts w:asciiTheme="majorBidi" w:hAnsiTheme="majorBidi" w:cstheme="majorBidi"/>
        </w:rPr>
        <w:t xml:space="preserve">the same opportunity. </w:t>
      </w:r>
    </w:p>
    <w:p w14:paraId="18A251AC" w14:textId="08AA16AC" w:rsidR="00EA19BC" w:rsidRPr="008C3C79" w:rsidRDefault="00D735AB" w:rsidP="003865E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T</w:t>
      </w:r>
      <w:r w:rsidR="00EA19BC" w:rsidRPr="008C3C79">
        <w:rPr>
          <w:rFonts w:asciiTheme="majorBidi" w:hAnsiTheme="majorBidi" w:cstheme="majorBidi"/>
        </w:rPr>
        <w:t xml:space="preserve">he ACWL offers </w:t>
      </w:r>
      <w:r>
        <w:rPr>
          <w:rFonts w:asciiTheme="majorBidi" w:hAnsiTheme="majorBidi" w:cstheme="majorBidi"/>
        </w:rPr>
        <w:t xml:space="preserve">an interesting model </w:t>
      </w:r>
      <w:r w:rsidR="00A56E8A">
        <w:rPr>
          <w:rFonts w:asciiTheme="majorBidi" w:hAnsiTheme="majorBidi" w:cstheme="majorBidi"/>
        </w:rPr>
        <w:t>regarding</w:t>
      </w:r>
      <w:r>
        <w:rPr>
          <w:rFonts w:asciiTheme="majorBidi" w:hAnsiTheme="majorBidi" w:cstheme="majorBidi"/>
        </w:rPr>
        <w:t xml:space="preserve"> how t</w:t>
      </w:r>
      <w:r w:rsidRPr="008C3C79">
        <w:rPr>
          <w:rFonts w:asciiTheme="majorBidi" w:hAnsiTheme="majorBidi" w:cstheme="majorBidi"/>
        </w:rPr>
        <w:t>o solve such potential conflict of interest</w:t>
      </w:r>
      <w:r>
        <w:rPr>
          <w:rFonts w:asciiTheme="majorBidi" w:hAnsiTheme="majorBidi" w:cstheme="majorBidi"/>
        </w:rPr>
        <w:t>s.</w:t>
      </w:r>
      <w:r w:rsidR="00EA19BC" w:rsidRPr="008C3C79">
        <w:rPr>
          <w:rFonts w:asciiTheme="majorBidi" w:hAnsiTheme="majorBidi" w:cstheme="majorBidi"/>
        </w:rPr>
        <w:t xml:space="preserve"> Usually, the ACWL represent</w:t>
      </w:r>
      <w:r>
        <w:rPr>
          <w:rFonts w:asciiTheme="majorBidi" w:hAnsiTheme="majorBidi" w:cstheme="majorBidi"/>
        </w:rPr>
        <w:t>s</w:t>
      </w:r>
      <w:r w:rsidR="00EA19BC" w:rsidRPr="008C3C79">
        <w:rPr>
          <w:rFonts w:asciiTheme="majorBidi" w:hAnsiTheme="majorBidi" w:cstheme="majorBidi"/>
        </w:rPr>
        <w:t xml:space="preserve"> the first country that requested its assistance. With respect to the other country, the ACWL maintains a curated list of lawyers and law firms who have agreed to represent ACWL Members and </w:t>
      </w:r>
      <w:r w:rsidR="00170BE1">
        <w:rPr>
          <w:rFonts w:asciiTheme="majorBidi" w:hAnsiTheme="majorBidi" w:cstheme="majorBidi"/>
        </w:rPr>
        <w:t>LDCs</w:t>
      </w:r>
      <w:r w:rsidR="00F87329">
        <w:rPr>
          <w:rFonts w:asciiTheme="majorBidi" w:hAnsiTheme="majorBidi" w:cstheme="majorBidi"/>
        </w:rPr>
        <w:t xml:space="preserve"> </w:t>
      </w:r>
      <w:r w:rsidR="00EA19BC" w:rsidRPr="008C3C79">
        <w:rPr>
          <w:rFonts w:asciiTheme="majorBidi" w:hAnsiTheme="majorBidi" w:cstheme="majorBidi"/>
        </w:rPr>
        <w:t xml:space="preserve">on the same terms as those provided by the </w:t>
      </w:r>
      <w:r w:rsidR="002160BE" w:rsidRPr="008C3C79">
        <w:rPr>
          <w:rFonts w:asciiTheme="majorBidi" w:hAnsiTheme="majorBidi" w:cstheme="majorBidi"/>
        </w:rPr>
        <w:t>c</w:t>
      </w:r>
      <w:r w:rsidR="00EA19BC" w:rsidRPr="008C3C79">
        <w:rPr>
          <w:rFonts w:asciiTheme="majorBidi" w:hAnsiTheme="majorBidi" w:cstheme="majorBidi"/>
        </w:rPr>
        <w:t>entre, including with respect to fixed rates.</w:t>
      </w:r>
      <w:r w:rsidR="00EA19BC" w:rsidRPr="008C3C79">
        <w:rPr>
          <w:rStyle w:val="FootnoteReference"/>
          <w:rFonts w:asciiTheme="majorBidi" w:hAnsiTheme="majorBidi" w:cstheme="majorBidi"/>
        </w:rPr>
        <w:footnoteReference w:id="18"/>
      </w:r>
      <w:r w:rsidR="00944427" w:rsidRPr="008C3C79">
        <w:rPr>
          <w:rFonts w:asciiTheme="majorBidi" w:hAnsiTheme="majorBidi" w:cstheme="majorBidi"/>
        </w:rPr>
        <w:t xml:space="preserve"> </w:t>
      </w:r>
      <w:r w:rsidR="00944427" w:rsidRPr="008C3C79">
        <w:rPr>
          <w:rFonts w:asciiTheme="majorBidi" w:hAnsiTheme="majorBidi" w:cstheme="majorBidi"/>
          <w:lang w:val="en-US"/>
        </w:rPr>
        <w:t xml:space="preserve">However, such an approach </w:t>
      </w:r>
      <w:r w:rsidR="00B61E46" w:rsidRPr="008C3C79">
        <w:rPr>
          <w:rFonts w:asciiTheme="majorBidi" w:hAnsiTheme="majorBidi" w:cstheme="majorBidi"/>
          <w:lang w:val="en-US"/>
        </w:rPr>
        <w:t>w</w:t>
      </w:r>
      <w:r w:rsidR="00944427" w:rsidRPr="008C3C79">
        <w:rPr>
          <w:rFonts w:asciiTheme="majorBidi" w:hAnsiTheme="majorBidi" w:cstheme="majorBidi"/>
          <w:lang w:val="en-US"/>
        </w:rPr>
        <w:t xml:space="preserve">ould result in </w:t>
      </w:r>
      <w:r w:rsidR="00EA19BC" w:rsidRPr="008C3C79">
        <w:rPr>
          <w:rFonts w:asciiTheme="majorBidi" w:hAnsiTheme="majorBidi" w:cstheme="majorBidi"/>
          <w:lang w:val="en-US"/>
        </w:rPr>
        <w:t xml:space="preserve">governments funding claims against themselves from foreign investors. </w:t>
      </w:r>
    </w:p>
    <w:p w14:paraId="222ADF17" w14:textId="27FE8266" w:rsidR="00EA19BC" w:rsidRDefault="00B61E46" w:rsidP="003865E3">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The Working Group may wish to note that </w:t>
      </w:r>
      <w:r w:rsidR="009E27DE" w:rsidRPr="008C3C79">
        <w:rPr>
          <w:rFonts w:asciiTheme="majorBidi" w:hAnsiTheme="majorBidi" w:cstheme="majorBidi"/>
        </w:rPr>
        <w:t>a</w:t>
      </w:r>
      <w:r w:rsidR="00EA19BC" w:rsidRPr="008C3C79">
        <w:rPr>
          <w:rFonts w:asciiTheme="majorBidi" w:hAnsiTheme="majorBidi" w:cstheme="majorBidi"/>
        </w:rPr>
        <w:t xml:space="preserve"> scoping study provides an insightful analysis on SME</w:t>
      </w:r>
      <w:r w:rsidR="00D735AB">
        <w:rPr>
          <w:rFonts w:asciiTheme="majorBidi" w:hAnsiTheme="majorBidi" w:cstheme="majorBidi"/>
        </w:rPr>
        <w:t>s</w:t>
      </w:r>
      <w:r w:rsidR="00EA19BC" w:rsidRPr="008C3C79">
        <w:rPr>
          <w:rFonts w:asciiTheme="majorBidi" w:hAnsiTheme="majorBidi" w:cstheme="majorBidi"/>
        </w:rPr>
        <w:t>’ access to ISDS. In this regard, the study concluded that the SMEs</w:t>
      </w:r>
      <w:r w:rsidR="00D735AB">
        <w:rPr>
          <w:rFonts w:asciiTheme="majorBidi" w:hAnsiTheme="majorBidi" w:cstheme="majorBidi"/>
        </w:rPr>
        <w:t>’</w:t>
      </w:r>
      <w:r w:rsidR="00EA19BC" w:rsidRPr="008C3C79">
        <w:rPr>
          <w:rFonts w:asciiTheme="majorBidi" w:hAnsiTheme="majorBidi" w:cstheme="majorBidi"/>
        </w:rPr>
        <w:t xml:space="preserve"> experiences with ISDS are hard to draw given the significant data gaps.</w:t>
      </w:r>
      <w:r w:rsidR="00EA19BC" w:rsidRPr="008C3C79">
        <w:rPr>
          <w:rStyle w:val="FootnoteReference"/>
          <w:rFonts w:asciiTheme="majorBidi" w:hAnsiTheme="majorBidi" w:cstheme="majorBidi"/>
        </w:rPr>
        <w:footnoteReference w:id="19"/>
      </w:r>
      <w:r w:rsidR="00EA19BC" w:rsidRPr="008C3C79">
        <w:rPr>
          <w:rFonts w:asciiTheme="majorBidi" w:hAnsiTheme="majorBidi" w:cstheme="majorBidi"/>
        </w:rPr>
        <w:t xml:space="preserve"> </w:t>
      </w:r>
      <w:r w:rsidRPr="008C3C79">
        <w:rPr>
          <w:rFonts w:asciiTheme="majorBidi" w:hAnsiTheme="majorBidi" w:cstheme="majorBidi"/>
        </w:rPr>
        <w:t xml:space="preserve">According to the study, </w:t>
      </w:r>
      <w:r w:rsidR="00EA19BC" w:rsidRPr="008C3C79">
        <w:rPr>
          <w:rFonts w:asciiTheme="majorBidi" w:hAnsiTheme="majorBidi" w:cstheme="majorBidi"/>
        </w:rPr>
        <w:t xml:space="preserve">SMEs are reportedly facing constraints in financing claims due to high costs of litigation and limited access to capital. Based on the hurdles experienced and concerns expressed, the scoping study considers the forms of available assistance that may assist SMEs in overcoming ISDS access issues. These include an ombuds-type office, pre-dispute technical assistance, market-based </w:t>
      </w:r>
      <w:r w:rsidR="00A82102">
        <w:rPr>
          <w:rFonts w:asciiTheme="majorBidi" w:hAnsiTheme="majorBidi" w:cstheme="majorBidi"/>
        </w:rPr>
        <w:t>a</w:t>
      </w:r>
      <w:r w:rsidR="00EA19BC" w:rsidRPr="008C3C79">
        <w:rPr>
          <w:rFonts w:asciiTheme="majorBidi" w:hAnsiTheme="majorBidi" w:cstheme="majorBidi"/>
        </w:rPr>
        <w:t xml:space="preserve">ssistance </w:t>
      </w:r>
      <w:r w:rsidR="00A82102">
        <w:rPr>
          <w:rFonts w:asciiTheme="majorBidi" w:hAnsiTheme="majorBidi" w:cstheme="majorBidi"/>
        </w:rPr>
        <w:t>m</w:t>
      </w:r>
      <w:r w:rsidR="00EA19BC" w:rsidRPr="008C3C79">
        <w:rPr>
          <w:rFonts w:asciiTheme="majorBidi" w:hAnsiTheme="majorBidi" w:cstheme="majorBidi"/>
        </w:rPr>
        <w:t>echanisms, capacity-building models, and a model incorporating institutionalized defen</w:t>
      </w:r>
      <w:r w:rsidR="00403C85" w:rsidRPr="008C3C79">
        <w:rPr>
          <w:rFonts w:asciiTheme="majorBidi" w:hAnsiTheme="majorBidi" w:cstheme="majorBidi"/>
        </w:rPr>
        <w:t>c</w:t>
      </w:r>
      <w:r w:rsidR="00EA19BC" w:rsidRPr="008C3C79">
        <w:rPr>
          <w:rFonts w:asciiTheme="majorBidi" w:hAnsiTheme="majorBidi" w:cstheme="majorBidi"/>
        </w:rPr>
        <w:t>e and legal representation.</w:t>
      </w:r>
      <w:r w:rsidR="00EA19BC" w:rsidRPr="008C3C79">
        <w:rPr>
          <w:rStyle w:val="FootnoteReference"/>
          <w:rFonts w:asciiTheme="majorBidi" w:hAnsiTheme="majorBidi" w:cstheme="majorBidi"/>
        </w:rPr>
        <w:footnoteReference w:id="20"/>
      </w:r>
    </w:p>
    <w:p w14:paraId="43D726C1" w14:textId="7060B317" w:rsidR="00545099" w:rsidRPr="00726882" w:rsidRDefault="00545099" w:rsidP="00545099">
      <w:pPr>
        <w:pStyle w:val="SingleTxt"/>
        <w:tabs>
          <w:tab w:val="clear" w:pos="1742"/>
          <w:tab w:val="clear" w:pos="2218"/>
          <w:tab w:val="left" w:pos="1701"/>
          <w:tab w:val="num" w:pos="3126"/>
        </w:tabs>
        <w:ind w:left="1276"/>
        <w:rPr>
          <w:rFonts w:asciiTheme="majorBidi" w:hAnsiTheme="majorBidi" w:cstheme="majorBidi"/>
          <w:b/>
          <w:bCs/>
          <w:i/>
          <w:iCs/>
          <w:lang w:val="en-US"/>
        </w:rPr>
      </w:pPr>
      <w:r w:rsidRPr="00726882">
        <w:rPr>
          <w:rFonts w:asciiTheme="majorBidi" w:hAnsiTheme="majorBidi" w:cstheme="majorBidi"/>
          <w:b/>
          <w:bCs/>
          <w:i/>
          <w:iCs/>
          <w:lang w:val="en-US"/>
        </w:rPr>
        <w:t xml:space="preserve">Comments on draft provision </w:t>
      </w:r>
      <w:r w:rsidR="00453A6F" w:rsidRPr="00726882">
        <w:rPr>
          <w:rFonts w:asciiTheme="majorBidi" w:hAnsiTheme="majorBidi" w:cstheme="majorBidi"/>
          <w:b/>
          <w:bCs/>
          <w:i/>
          <w:iCs/>
          <w:lang w:val="en-US"/>
        </w:rPr>
        <w:t>4(b) to (</w:t>
      </w:r>
      <w:r w:rsidR="00453A6F">
        <w:rPr>
          <w:rFonts w:asciiTheme="majorBidi" w:hAnsiTheme="majorBidi" w:cstheme="majorBidi"/>
          <w:b/>
          <w:bCs/>
          <w:i/>
          <w:iCs/>
          <w:lang w:val="en-US"/>
        </w:rPr>
        <w:t>d)</w:t>
      </w:r>
    </w:p>
    <w:p w14:paraId="0C0EAF48" w14:textId="17D13E11" w:rsidR="00C619BA" w:rsidRDefault="00C619BA" w:rsidP="00C619BA">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The Working Group may wish to consider that, i</w:t>
      </w:r>
      <w:r w:rsidRPr="008C3C79">
        <w:rPr>
          <w:rFonts w:asciiTheme="majorBidi" w:hAnsiTheme="majorBidi" w:cstheme="majorBidi"/>
        </w:rPr>
        <w:t xml:space="preserve">n order to ensure the sustainability of the centre, rules </w:t>
      </w:r>
      <w:r>
        <w:rPr>
          <w:rFonts w:asciiTheme="majorBidi" w:hAnsiTheme="majorBidi" w:cstheme="majorBidi"/>
        </w:rPr>
        <w:t>may</w:t>
      </w:r>
      <w:r w:rsidRPr="008C3C79">
        <w:rPr>
          <w:rFonts w:asciiTheme="majorBidi" w:hAnsiTheme="majorBidi" w:cstheme="majorBidi"/>
        </w:rPr>
        <w:t xml:space="preserve"> need to be developed regarding whether certain services would be available to certain categories of beneficiaries only, and </w:t>
      </w:r>
      <w:r>
        <w:rPr>
          <w:rFonts w:asciiTheme="majorBidi" w:hAnsiTheme="majorBidi" w:cstheme="majorBidi"/>
        </w:rPr>
        <w:t>how</w:t>
      </w:r>
      <w:r w:rsidRPr="008C3C79">
        <w:rPr>
          <w:rFonts w:asciiTheme="majorBidi" w:hAnsiTheme="majorBidi" w:cstheme="majorBidi"/>
        </w:rPr>
        <w:t xml:space="preserve"> prioritization </w:t>
      </w:r>
      <w:r>
        <w:rPr>
          <w:rFonts w:asciiTheme="majorBidi" w:hAnsiTheme="majorBidi" w:cstheme="majorBidi"/>
        </w:rPr>
        <w:t>could</w:t>
      </w:r>
      <w:r w:rsidRPr="008C3C79">
        <w:rPr>
          <w:rFonts w:asciiTheme="majorBidi" w:hAnsiTheme="majorBidi" w:cstheme="majorBidi"/>
        </w:rPr>
        <w:t xml:space="preserve"> to be set up (A/CN.9/1004, para. 43).  On that basis, the Working Group may wish to </w:t>
      </w:r>
      <w:r>
        <w:rPr>
          <w:rFonts w:asciiTheme="majorBidi" w:hAnsiTheme="majorBidi" w:cstheme="majorBidi"/>
        </w:rPr>
        <w:t>consider</w:t>
      </w:r>
      <w:r w:rsidRPr="008C3C79">
        <w:rPr>
          <w:rFonts w:asciiTheme="majorBidi" w:hAnsiTheme="majorBidi" w:cstheme="majorBidi"/>
        </w:rPr>
        <w:t xml:space="preserve"> whether and how a sliding scale of services could be implemented for States at different levels of development</w:t>
      </w:r>
      <w:r>
        <w:rPr>
          <w:rFonts w:asciiTheme="majorBidi" w:hAnsiTheme="majorBidi" w:cstheme="majorBidi"/>
        </w:rPr>
        <w:t>, and more generally for the various categories of potential beneficiaries (see Annex 2)</w:t>
      </w:r>
      <w:r w:rsidRPr="008C3C79">
        <w:rPr>
          <w:rFonts w:asciiTheme="majorBidi" w:hAnsiTheme="majorBidi" w:cstheme="majorBidi"/>
        </w:rPr>
        <w:t>.</w:t>
      </w:r>
      <w:r w:rsidRPr="00C619BA">
        <w:rPr>
          <w:rFonts w:asciiTheme="majorBidi" w:hAnsiTheme="majorBidi" w:cstheme="majorBidi"/>
        </w:rPr>
        <w:t xml:space="preserve"> </w:t>
      </w:r>
    </w:p>
    <w:p w14:paraId="1DF89BF3" w14:textId="2A671055" w:rsidR="00C619BA" w:rsidRDefault="00C619BA" w:rsidP="00C619BA">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D</w:t>
      </w:r>
      <w:r w:rsidRPr="00DF7F30">
        <w:rPr>
          <w:rFonts w:asciiTheme="majorBidi" w:hAnsiTheme="majorBidi" w:cstheme="majorBidi"/>
        </w:rPr>
        <w:t xml:space="preserve">raft provision </w:t>
      </w:r>
      <w:r>
        <w:rPr>
          <w:rFonts w:asciiTheme="majorBidi" w:hAnsiTheme="majorBidi" w:cstheme="majorBidi"/>
        </w:rPr>
        <w:t>4(b) to (d)</w:t>
      </w:r>
      <w:r w:rsidRPr="00DF7F30">
        <w:rPr>
          <w:rFonts w:asciiTheme="majorBidi" w:hAnsiTheme="majorBidi" w:cstheme="majorBidi"/>
        </w:rPr>
        <w:t xml:space="preserve"> foresees qualifying criteria for the prioritization of services, such as that </w:t>
      </w:r>
      <w:r>
        <w:rPr>
          <w:rFonts w:asciiTheme="majorBidi" w:hAnsiTheme="majorBidi" w:cstheme="majorBidi"/>
        </w:rPr>
        <w:t>least developed State beneficiaries</w:t>
      </w:r>
      <w:r w:rsidRPr="00DF7F30">
        <w:rPr>
          <w:rFonts w:asciiTheme="majorBidi" w:hAnsiTheme="majorBidi" w:cstheme="majorBidi"/>
        </w:rPr>
        <w:t xml:space="preserve"> </w:t>
      </w:r>
      <w:r>
        <w:rPr>
          <w:rFonts w:asciiTheme="majorBidi" w:hAnsiTheme="majorBidi" w:cstheme="majorBidi"/>
        </w:rPr>
        <w:t>could</w:t>
      </w:r>
      <w:r w:rsidRPr="00DF7F30">
        <w:rPr>
          <w:rFonts w:asciiTheme="majorBidi" w:hAnsiTheme="majorBidi" w:cstheme="majorBidi"/>
        </w:rPr>
        <w:t xml:space="preserve"> be prioritized in the accorded precedence, subject to any conflicts of interest and on a first-come-first-served basis.</w:t>
      </w:r>
    </w:p>
    <w:p w14:paraId="201E3A42" w14:textId="77777777" w:rsidR="00545099" w:rsidRPr="00DF7F30" w:rsidRDefault="00545099" w:rsidP="00545099">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DF7F30">
        <w:rPr>
          <w:rFonts w:asciiTheme="majorBidi" w:hAnsiTheme="majorBidi" w:cstheme="majorBidi"/>
        </w:rPr>
        <w:t xml:space="preserve">The most resource-intensive services, such as advisory and defence services in relation to cases, may indeed require such rules on prioritization. Also, </w:t>
      </w:r>
      <w:r>
        <w:rPr>
          <w:rFonts w:asciiTheme="majorBidi" w:hAnsiTheme="majorBidi" w:cstheme="majorBidi"/>
        </w:rPr>
        <w:t>s</w:t>
      </w:r>
      <w:r w:rsidRPr="00DF7F30">
        <w:rPr>
          <w:rFonts w:asciiTheme="majorBidi" w:hAnsiTheme="majorBidi" w:cstheme="majorBidi"/>
        </w:rPr>
        <w:t>hould the centre provide</w:t>
      </w:r>
      <w:r>
        <w:rPr>
          <w:rFonts w:asciiTheme="majorBidi" w:hAnsiTheme="majorBidi" w:cstheme="majorBidi"/>
        </w:rPr>
        <w:t xml:space="preserve"> such</w:t>
      </w:r>
      <w:r w:rsidRPr="00DF7F30">
        <w:rPr>
          <w:rFonts w:asciiTheme="majorBidi" w:hAnsiTheme="majorBidi" w:cstheme="majorBidi"/>
        </w:rPr>
        <w:t xml:space="preserve"> advisory or defence services, rules might</w:t>
      </w:r>
      <w:r>
        <w:rPr>
          <w:rFonts w:asciiTheme="majorBidi" w:hAnsiTheme="majorBidi" w:cstheme="majorBidi"/>
        </w:rPr>
        <w:t xml:space="preserve"> be needed</w:t>
      </w:r>
      <w:r w:rsidRPr="00DF7F30">
        <w:rPr>
          <w:rFonts w:asciiTheme="majorBidi" w:hAnsiTheme="majorBidi" w:cstheme="majorBidi"/>
        </w:rPr>
        <w:t xml:space="preserve"> to address situations where the centre has too many cases from the same beneficiary, limiting capacity for new cases from other beneficiaries. Similarly, if beneficiaries include investors, a balance might need to be found regarding the feasibility of rendering services to such beneficiaries and sustainability of the centre.</w:t>
      </w:r>
    </w:p>
    <w:p w14:paraId="2010E969" w14:textId="42ADABC6" w:rsidR="00545099" w:rsidRDefault="00545099" w:rsidP="00545099">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278A4">
        <w:rPr>
          <w:rFonts w:asciiTheme="majorBidi" w:hAnsiTheme="majorBidi" w:cstheme="majorBidi"/>
        </w:rPr>
        <w:t>The Working Group may wish to note the issue of internal conflicts of interest that can arise where an advisory centre would provide substantive guidance in both treaty formulation, interpretation, and legal defence</w:t>
      </w:r>
      <w:r>
        <w:rPr>
          <w:rFonts w:asciiTheme="majorBidi" w:hAnsiTheme="majorBidi" w:cstheme="majorBidi"/>
        </w:rPr>
        <w:t>.</w:t>
      </w:r>
    </w:p>
    <w:p w14:paraId="2640B8D3" w14:textId="0BAE47E0" w:rsidR="007A737C" w:rsidRPr="008C3C79" w:rsidRDefault="00290C7A" w:rsidP="007A737C">
      <w:pPr>
        <w:pStyle w:val="SingleTxt"/>
        <w:tabs>
          <w:tab w:val="clear" w:pos="1742"/>
          <w:tab w:val="clear" w:pos="2218"/>
          <w:tab w:val="left" w:pos="1701"/>
          <w:tab w:val="num" w:pos="2843"/>
        </w:tabs>
        <w:ind w:left="1276" w:hanging="567"/>
        <w:outlineLvl w:val="1"/>
        <w:rPr>
          <w:rFonts w:asciiTheme="majorBidi" w:hAnsiTheme="majorBidi" w:cstheme="majorBidi"/>
          <w:b/>
          <w:bCs/>
          <w:sz w:val="24"/>
          <w:szCs w:val="24"/>
        </w:rPr>
      </w:pPr>
      <w:bookmarkStart w:id="9" w:name="_Toc63421430"/>
      <w:r>
        <w:rPr>
          <w:rFonts w:asciiTheme="majorBidi" w:hAnsiTheme="majorBidi" w:cstheme="majorBidi"/>
          <w:b/>
          <w:bCs/>
          <w:sz w:val="24"/>
          <w:szCs w:val="24"/>
        </w:rPr>
        <w:t>E</w:t>
      </w:r>
      <w:r w:rsidR="007A737C">
        <w:rPr>
          <w:rFonts w:asciiTheme="majorBidi" w:hAnsiTheme="majorBidi" w:cstheme="majorBidi"/>
          <w:b/>
          <w:bCs/>
          <w:sz w:val="24"/>
          <w:szCs w:val="24"/>
        </w:rPr>
        <w:t>.</w:t>
      </w:r>
      <w:r w:rsidR="007A737C" w:rsidRPr="008C3C79">
        <w:rPr>
          <w:rFonts w:asciiTheme="majorBidi" w:hAnsiTheme="majorBidi" w:cstheme="majorBidi"/>
          <w:b/>
          <w:bCs/>
          <w:sz w:val="24"/>
          <w:szCs w:val="24"/>
        </w:rPr>
        <w:tab/>
      </w:r>
      <w:r w:rsidR="0085623F">
        <w:rPr>
          <w:rFonts w:asciiTheme="majorBidi" w:hAnsiTheme="majorBidi" w:cstheme="majorBidi"/>
          <w:b/>
          <w:bCs/>
          <w:sz w:val="24"/>
          <w:szCs w:val="24"/>
        </w:rPr>
        <w:t>Possible l</w:t>
      </w:r>
      <w:r w:rsidR="007A737C">
        <w:rPr>
          <w:rFonts w:asciiTheme="majorBidi" w:hAnsiTheme="majorBidi" w:cstheme="majorBidi"/>
          <w:b/>
          <w:bCs/>
          <w:sz w:val="24"/>
          <w:szCs w:val="24"/>
        </w:rPr>
        <w:t>egal structure</w:t>
      </w:r>
      <w:bookmarkEnd w:id="9"/>
      <w:r w:rsidR="0085623F">
        <w:rPr>
          <w:rFonts w:asciiTheme="majorBidi" w:hAnsiTheme="majorBidi" w:cstheme="majorBidi"/>
          <w:b/>
          <w:bCs/>
          <w:sz w:val="24"/>
          <w:szCs w:val="24"/>
        </w:rPr>
        <w:t>s</w:t>
      </w:r>
      <w:r w:rsidR="007A737C" w:rsidRPr="008C3C79">
        <w:rPr>
          <w:rFonts w:asciiTheme="majorBidi" w:hAnsiTheme="majorBidi" w:cstheme="majorBidi"/>
          <w:b/>
          <w:bCs/>
          <w:sz w:val="24"/>
          <w:szCs w:val="24"/>
        </w:rPr>
        <w:t xml:space="preserve"> </w:t>
      </w:r>
      <w:r w:rsidR="00726882">
        <w:rPr>
          <w:rFonts w:asciiTheme="majorBidi" w:hAnsiTheme="majorBidi" w:cstheme="majorBidi"/>
          <w:b/>
          <w:bCs/>
          <w:sz w:val="24"/>
          <w:szCs w:val="24"/>
        </w:rPr>
        <w:t>and other topics</w:t>
      </w:r>
    </w:p>
    <w:p w14:paraId="74B73143" w14:textId="4B14E573" w:rsidR="007A737C" w:rsidRPr="00CE553C" w:rsidRDefault="00F22E4C" w:rsidP="007A737C">
      <w:pPr>
        <w:pStyle w:val="SingleTxt"/>
        <w:tabs>
          <w:tab w:val="clear" w:pos="1742"/>
          <w:tab w:val="clear" w:pos="2218"/>
          <w:tab w:val="left" w:pos="1701"/>
        </w:tabs>
        <w:rPr>
          <w:rFonts w:asciiTheme="majorBidi" w:hAnsiTheme="majorBidi" w:cstheme="majorBidi"/>
          <w:b/>
          <w:bCs/>
          <w:i/>
          <w:iCs/>
          <w:spacing w:val="0"/>
          <w:w w:val="100"/>
          <w:kern w:val="0"/>
        </w:rPr>
      </w:pPr>
      <w:r>
        <w:rPr>
          <w:rFonts w:asciiTheme="majorBidi" w:hAnsiTheme="majorBidi" w:cstheme="majorBidi"/>
          <w:b/>
          <w:bCs/>
        </w:rPr>
        <w:t>1</w:t>
      </w:r>
      <w:r w:rsidR="007A737C" w:rsidRPr="00001006">
        <w:rPr>
          <w:rFonts w:asciiTheme="majorBidi" w:hAnsiTheme="majorBidi" w:cstheme="majorBidi"/>
          <w:b/>
          <w:bCs/>
        </w:rPr>
        <w:t xml:space="preserve">. </w:t>
      </w:r>
      <w:r w:rsidR="007A737C">
        <w:rPr>
          <w:rFonts w:asciiTheme="majorBidi" w:hAnsiTheme="majorBidi" w:cstheme="majorBidi"/>
          <w:b/>
          <w:bCs/>
        </w:rPr>
        <w:t>Possible models for the establishment</w:t>
      </w:r>
      <w:r w:rsidR="007A737C" w:rsidRPr="00001006">
        <w:rPr>
          <w:rFonts w:asciiTheme="majorBidi" w:hAnsiTheme="majorBidi" w:cstheme="majorBidi"/>
          <w:b/>
          <w:bCs/>
        </w:rPr>
        <w:t xml:space="preserve"> of the centre</w:t>
      </w:r>
    </w:p>
    <w:p w14:paraId="50E626CB" w14:textId="5146C9EC" w:rsidR="007A737C" w:rsidRPr="00726882" w:rsidRDefault="007A737C" w:rsidP="00C619BA">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C619BA">
        <w:rPr>
          <w:rFonts w:asciiTheme="majorBidi" w:hAnsiTheme="majorBidi" w:cstheme="majorBidi"/>
        </w:rPr>
        <w:t>The Working Group identified that</w:t>
      </w:r>
      <w:r w:rsidRPr="00726882">
        <w:rPr>
          <w:rFonts w:asciiTheme="majorBidi" w:hAnsiTheme="majorBidi" w:cstheme="majorBidi"/>
        </w:rPr>
        <w:t xml:space="preserve">, to ensure the legitimacy of the centre, independence and impartiality are central values (A/CN.9/1004, para. 37). </w:t>
      </w:r>
      <w:r w:rsidRPr="00C619BA">
        <w:rPr>
          <w:rFonts w:asciiTheme="majorBidi" w:hAnsiTheme="majorBidi" w:cstheme="majorBidi"/>
        </w:rPr>
        <w:t xml:space="preserve">The Working Group may wish to consider the legal status that the advisory centre could </w:t>
      </w:r>
      <w:r w:rsidRPr="00C619BA">
        <w:rPr>
          <w:rFonts w:asciiTheme="majorBidi" w:hAnsiTheme="majorBidi" w:cstheme="majorBidi"/>
        </w:rPr>
        <w:lastRenderedPageBreak/>
        <w:t>have, which includes being established as an independ</w:t>
      </w:r>
      <w:r w:rsidRPr="00726882">
        <w:rPr>
          <w:rFonts w:asciiTheme="majorBidi" w:hAnsiTheme="majorBidi" w:cstheme="majorBidi"/>
        </w:rPr>
        <w:t xml:space="preserve">ent body, or hosted by an existing body with a separate trust fund, or other possible form. The level of institutionalisation may have an impact on the manner in which the services are rendered, as well as on its independence or perceived independence and on the funding scheme. </w:t>
      </w:r>
    </w:p>
    <w:p w14:paraId="286B2425" w14:textId="77777777" w:rsidR="007A737C" w:rsidRPr="008C3C79" w:rsidRDefault="007A737C" w:rsidP="007A737C">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In that light, the Working Group may wish to consider  the possible institutional setting of the centre, whether the centre would</w:t>
      </w:r>
      <w:r>
        <w:rPr>
          <w:rFonts w:asciiTheme="majorBidi" w:hAnsiTheme="majorBidi" w:cstheme="majorBidi"/>
        </w:rPr>
        <w:t xml:space="preserve"> be</w:t>
      </w:r>
      <w:r w:rsidRPr="008C3C79">
        <w:rPr>
          <w:rFonts w:asciiTheme="majorBidi" w:hAnsiTheme="majorBidi" w:cstheme="majorBidi"/>
        </w:rPr>
        <w:t xml:space="preserve"> (i) a legally independent intergovernmental body (with eventually regional branch offices to be accessible within different geographical areas); or (ii) attached to a structure that could be any existing international organization, a standing multilateral</w:t>
      </w:r>
      <w:r>
        <w:rPr>
          <w:rFonts w:asciiTheme="majorBidi" w:hAnsiTheme="majorBidi" w:cstheme="majorBidi"/>
        </w:rPr>
        <w:t xml:space="preserve"> first instance and/or appellate</w:t>
      </w:r>
      <w:r w:rsidRPr="008C3C79">
        <w:rPr>
          <w:rFonts w:asciiTheme="majorBidi" w:hAnsiTheme="majorBidi" w:cstheme="majorBidi"/>
        </w:rPr>
        <w:t xml:space="preserve"> court that would be set up as part of the ISDS reform, or one or more (if the centre were to be set-up in a decentralized fashion) existing arbitral institutions</w:t>
      </w:r>
      <w:r>
        <w:rPr>
          <w:rFonts w:asciiTheme="majorBidi" w:hAnsiTheme="majorBidi" w:cstheme="majorBidi"/>
        </w:rPr>
        <w:t xml:space="preserve"> </w:t>
      </w:r>
      <w:r w:rsidRPr="008C3C79">
        <w:rPr>
          <w:rFonts w:asciiTheme="majorBidi" w:hAnsiTheme="majorBidi" w:cstheme="majorBidi"/>
          <w:lang w:val="en-US"/>
        </w:rPr>
        <w:t>(A/CN.9/1004, para. 37)</w:t>
      </w:r>
      <w:r w:rsidRPr="008C3C79">
        <w:rPr>
          <w:rFonts w:asciiTheme="majorBidi" w:hAnsiTheme="majorBidi" w:cstheme="majorBidi"/>
        </w:rPr>
        <w:t xml:space="preserve">. </w:t>
      </w:r>
    </w:p>
    <w:p w14:paraId="31567696" w14:textId="77777777" w:rsidR="007A737C" w:rsidRPr="008C3C79" w:rsidRDefault="007A737C" w:rsidP="007A737C">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 xml:space="preserve"> T</w:t>
      </w:r>
      <w:r w:rsidRPr="008C3C79">
        <w:rPr>
          <w:rFonts w:asciiTheme="majorBidi" w:hAnsiTheme="majorBidi" w:cstheme="majorBidi"/>
          <w:lang w:val="en-US"/>
        </w:rPr>
        <w:t xml:space="preserve">he Working Group may wish to note that the </w:t>
      </w:r>
      <w:r w:rsidRPr="008C3C79">
        <w:rPr>
          <w:rFonts w:asciiTheme="majorBidi" w:hAnsiTheme="majorBidi" w:cstheme="majorBidi"/>
        </w:rPr>
        <w:t xml:space="preserve">main advantage of a legally independent intergovernmental body would be that the centre could define the </w:t>
      </w:r>
      <w:r>
        <w:rPr>
          <w:rFonts w:asciiTheme="majorBidi" w:hAnsiTheme="majorBidi" w:cstheme="majorBidi"/>
        </w:rPr>
        <w:t>nature, scope, and prioritization of its</w:t>
      </w:r>
      <w:r w:rsidRPr="008C3C79">
        <w:rPr>
          <w:rFonts w:asciiTheme="majorBidi" w:hAnsiTheme="majorBidi" w:cstheme="majorBidi"/>
        </w:rPr>
        <w:t xml:space="preserve"> activities</w:t>
      </w:r>
      <w:r>
        <w:rPr>
          <w:rFonts w:asciiTheme="majorBidi" w:hAnsiTheme="majorBidi" w:cstheme="majorBidi"/>
        </w:rPr>
        <w:t xml:space="preserve">. Such an independent centre could avoid real or perceived influence from, or </w:t>
      </w:r>
      <w:r w:rsidRPr="008C3C79">
        <w:rPr>
          <w:rFonts w:asciiTheme="majorBidi" w:hAnsiTheme="majorBidi" w:cstheme="majorBidi"/>
        </w:rPr>
        <w:t>conflicts of interest with</w:t>
      </w:r>
      <w:r>
        <w:rPr>
          <w:rFonts w:asciiTheme="majorBidi" w:hAnsiTheme="majorBidi" w:cstheme="majorBidi"/>
        </w:rPr>
        <w:t>,</w:t>
      </w:r>
      <w:r w:rsidRPr="008C3C79">
        <w:rPr>
          <w:rFonts w:asciiTheme="majorBidi" w:hAnsiTheme="majorBidi" w:cstheme="majorBidi"/>
        </w:rPr>
        <w:t xml:space="preserve"> the activities of the organization hosting</w:t>
      </w:r>
      <w:r>
        <w:rPr>
          <w:rFonts w:asciiTheme="majorBidi" w:hAnsiTheme="majorBidi" w:cstheme="majorBidi"/>
        </w:rPr>
        <w:t xml:space="preserve"> it</w:t>
      </w:r>
      <w:r w:rsidRPr="008C3C79">
        <w:rPr>
          <w:rFonts w:asciiTheme="majorBidi" w:hAnsiTheme="majorBidi" w:cstheme="majorBidi"/>
        </w:rPr>
        <w:t xml:space="preserve">.  </w:t>
      </w:r>
    </w:p>
    <w:p w14:paraId="5D10157B" w14:textId="16F4CBDA" w:rsidR="007A737C" w:rsidRDefault="007A737C" w:rsidP="007A737C">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sidRPr="008C3C79">
        <w:rPr>
          <w:rFonts w:asciiTheme="majorBidi" w:hAnsiTheme="majorBidi" w:cstheme="majorBidi"/>
        </w:rPr>
        <w:t>If the centre were to be attached to an existing structure or a structure to be created as part of the reform (a</w:t>
      </w:r>
      <w:r>
        <w:rPr>
          <w:rFonts w:asciiTheme="majorBidi" w:hAnsiTheme="majorBidi" w:cstheme="majorBidi"/>
        </w:rPr>
        <w:t xml:space="preserve"> standing body</w:t>
      </w:r>
      <w:r w:rsidRPr="008C3C79">
        <w:rPr>
          <w:rFonts w:asciiTheme="majorBidi" w:hAnsiTheme="majorBidi" w:cstheme="majorBidi"/>
        </w:rPr>
        <w:t xml:space="preserve">, for instance), synergies between such permanent structure and the activities of the centre should be considered and developed. Such host structure could assist the advisory centre with institutional resources </w:t>
      </w:r>
      <w:r>
        <w:rPr>
          <w:rFonts w:asciiTheme="majorBidi" w:hAnsiTheme="majorBidi" w:cstheme="majorBidi"/>
        </w:rPr>
        <w:t xml:space="preserve">and </w:t>
      </w:r>
      <w:r w:rsidRPr="008C3C79">
        <w:rPr>
          <w:rFonts w:asciiTheme="majorBidi" w:hAnsiTheme="majorBidi" w:cstheme="majorBidi"/>
        </w:rPr>
        <w:t xml:space="preserve">build on existing trust and relationships. However, the attachment to an existing institution might also be perceived as hampering confidence and trust building. </w:t>
      </w:r>
    </w:p>
    <w:p w14:paraId="4D150A57" w14:textId="2C61571F" w:rsidR="007A737C" w:rsidRPr="00001006" w:rsidRDefault="00F22E4C" w:rsidP="007A737C">
      <w:pPr>
        <w:pStyle w:val="SingleTxt"/>
        <w:tabs>
          <w:tab w:val="clear" w:pos="1742"/>
          <w:tab w:val="clear" w:pos="2218"/>
          <w:tab w:val="left" w:pos="1701"/>
        </w:tabs>
        <w:rPr>
          <w:rFonts w:asciiTheme="majorBidi" w:hAnsiTheme="majorBidi" w:cstheme="majorBidi"/>
          <w:b/>
          <w:bCs/>
        </w:rPr>
      </w:pPr>
      <w:r>
        <w:rPr>
          <w:rFonts w:asciiTheme="majorBidi" w:hAnsiTheme="majorBidi" w:cstheme="majorBidi"/>
          <w:b/>
          <w:bCs/>
        </w:rPr>
        <w:t>2</w:t>
      </w:r>
      <w:r w:rsidR="007A737C">
        <w:rPr>
          <w:rFonts w:asciiTheme="majorBidi" w:hAnsiTheme="majorBidi" w:cstheme="majorBidi"/>
          <w:b/>
          <w:bCs/>
        </w:rPr>
        <w:t xml:space="preserve">. </w:t>
      </w:r>
      <w:r w:rsidR="007A737C" w:rsidRPr="00001006">
        <w:rPr>
          <w:rFonts w:asciiTheme="majorBidi" w:hAnsiTheme="majorBidi" w:cstheme="majorBidi"/>
          <w:b/>
          <w:bCs/>
        </w:rPr>
        <w:t>Membership</w:t>
      </w:r>
      <w:r w:rsidR="00726882">
        <w:rPr>
          <w:rFonts w:asciiTheme="majorBidi" w:hAnsiTheme="majorBidi" w:cstheme="majorBidi"/>
          <w:b/>
          <w:bCs/>
        </w:rPr>
        <w:t xml:space="preserve"> and internal organization </w:t>
      </w:r>
    </w:p>
    <w:p w14:paraId="3B3A92B5" w14:textId="1DCAEA21" w:rsidR="007A737C" w:rsidRDefault="00545349" w:rsidP="007A737C">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The Working Group may wish to consider the following draft provision 5 on membership</w:t>
      </w:r>
      <w:r w:rsidR="00726882">
        <w:rPr>
          <w:rFonts w:asciiTheme="majorBidi" w:hAnsiTheme="majorBidi" w:cstheme="majorBidi"/>
        </w:rPr>
        <w:t>.</w:t>
      </w:r>
    </w:p>
    <w:p w14:paraId="02BA6B02" w14:textId="5CE1DACF" w:rsidR="00545349" w:rsidRPr="00545349" w:rsidRDefault="00545349" w:rsidP="00545349">
      <w:pPr>
        <w:pStyle w:val="SingleTxt"/>
        <w:tabs>
          <w:tab w:val="left" w:pos="1701"/>
          <w:tab w:val="num" w:pos="3126"/>
        </w:tabs>
        <w:ind w:left="1276"/>
        <w:rPr>
          <w:rFonts w:asciiTheme="majorBidi" w:hAnsiTheme="majorBidi" w:cstheme="majorBidi"/>
          <w:b/>
          <w:bCs/>
          <w:i/>
          <w:iCs/>
        </w:rPr>
      </w:pPr>
      <w:r w:rsidRPr="00545349">
        <w:rPr>
          <w:rFonts w:asciiTheme="majorBidi" w:hAnsiTheme="majorBidi" w:cstheme="majorBidi"/>
          <w:b/>
          <w:bCs/>
          <w:i/>
          <w:iCs/>
        </w:rPr>
        <w:t xml:space="preserve">Draft provision 5 </w:t>
      </w:r>
      <w:r w:rsidR="00726882">
        <w:rPr>
          <w:rFonts w:asciiTheme="majorBidi" w:hAnsiTheme="majorBidi" w:cstheme="majorBidi"/>
          <w:b/>
          <w:bCs/>
          <w:i/>
          <w:iCs/>
        </w:rPr>
        <w:t>-</w:t>
      </w:r>
      <w:r w:rsidRPr="00545349">
        <w:rPr>
          <w:rFonts w:asciiTheme="majorBidi" w:hAnsiTheme="majorBidi" w:cstheme="majorBidi"/>
          <w:b/>
          <w:bCs/>
          <w:i/>
          <w:iCs/>
        </w:rPr>
        <w:t xml:space="preserve"> </w:t>
      </w:r>
      <w:r w:rsidR="00726882">
        <w:rPr>
          <w:rFonts w:asciiTheme="majorBidi" w:hAnsiTheme="majorBidi" w:cstheme="majorBidi"/>
          <w:b/>
          <w:bCs/>
          <w:i/>
          <w:iCs/>
        </w:rPr>
        <w:t>M</w:t>
      </w:r>
      <w:r w:rsidRPr="00545349">
        <w:rPr>
          <w:rFonts w:asciiTheme="majorBidi" w:hAnsiTheme="majorBidi" w:cstheme="majorBidi"/>
          <w:b/>
          <w:bCs/>
          <w:i/>
          <w:iCs/>
        </w:rPr>
        <w:t>embership</w:t>
      </w:r>
    </w:p>
    <w:p w14:paraId="6992944D" w14:textId="44A7EE1D" w:rsidR="00545349" w:rsidRPr="00545349" w:rsidRDefault="00545349" w:rsidP="00545349">
      <w:pPr>
        <w:pStyle w:val="SingleTxt"/>
        <w:tabs>
          <w:tab w:val="clear" w:pos="1742"/>
          <w:tab w:val="clear" w:pos="2218"/>
          <w:tab w:val="left" w:pos="1701"/>
          <w:tab w:val="num" w:pos="3126"/>
        </w:tabs>
        <w:ind w:left="1701"/>
        <w:rPr>
          <w:rFonts w:asciiTheme="majorBidi" w:hAnsiTheme="majorBidi" w:cstheme="majorBidi"/>
          <w:i/>
          <w:iCs/>
        </w:rPr>
      </w:pPr>
      <w:r w:rsidRPr="00545349">
        <w:rPr>
          <w:rFonts w:asciiTheme="majorBidi" w:hAnsiTheme="majorBidi" w:cstheme="majorBidi"/>
          <w:i/>
          <w:iCs/>
        </w:rPr>
        <w:t xml:space="preserve"> The Centre shall remain open to membership by [States – regional economic integration organizations – private donors] in accordance with the provisions of this Agreement.</w:t>
      </w:r>
    </w:p>
    <w:p w14:paraId="71F497F2" w14:textId="14F6F302" w:rsidR="00545349" w:rsidRPr="00545349" w:rsidRDefault="00545349" w:rsidP="00545349">
      <w:pPr>
        <w:pStyle w:val="SingleTxt"/>
        <w:tabs>
          <w:tab w:val="clear" w:pos="1742"/>
          <w:tab w:val="clear" w:pos="2218"/>
          <w:tab w:val="left" w:pos="1701"/>
          <w:tab w:val="num" w:pos="3126"/>
        </w:tabs>
        <w:ind w:left="1276"/>
        <w:rPr>
          <w:rFonts w:asciiTheme="majorBidi" w:hAnsiTheme="majorBidi" w:cstheme="majorBidi"/>
          <w:b/>
          <w:bCs/>
          <w:i/>
          <w:iCs/>
        </w:rPr>
      </w:pPr>
      <w:r w:rsidRPr="00545349">
        <w:rPr>
          <w:rFonts w:asciiTheme="majorBidi" w:hAnsiTheme="majorBidi" w:cstheme="majorBidi"/>
          <w:b/>
          <w:bCs/>
          <w:i/>
          <w:iCs/>
        </w:rPr>
        <w:t>Comments</w:t>
      </w:r>
    </w:p>
    <w:p w14:paraId="47F64F45" w14:textId="6E11C9A4" w:rsidR="00726882" w:rsidRPr="00726882" w:rsidRDefault="00726882" w:rsidP="001019DF">
      <w:pPr>
        <w:pStyle w:val="SingleTxt"/>
        <w:numPr>
          <w:ilvl w:val="2"/>
          <w:numId w:val="6"/>
        </w:numPr>
        <w:tabs>
          <w:tab w:val="clear" w:pos="1742"/>
          <w:tab w:val="clear" w:pos="2218"/>
          <w:tab w:val="left" w:pos="1701"/>
          <w:tab w:val="num" w:pos="1728"/>
        </w:tabs>
        <w:ind w:left="1276" w:firstLine="0"/>
        <w:rPr>
          <w:rFonts w:asciiTheme="majorBidi" w:hAnsiTheme="majorBidi" w:cstheme="majorBidi"/>
          <w:b/>
          <w:bCs/>
        </w:rPr>
      </w:pPr>
      <w:r>
        <w:rPr>
          <w:rFonts w:asciiTheme="majorBidi" w:hAnsiTheme="majorBidi" w:cstheme="majorBidi"/>
        </w:rPr>
        <w:t>T</w:t>
      </w:r>
      <w:r w:rsidRPr="008C3C79">
        <w:rPr>
          <w:rFonts w:asciiTheme="majorBidi" w:hAnsiTheme="majorBidi" w:cstheme="majorBidi"/>
        </w:rPr>
        <w:t>he membership</w:t>
      </w:r>
      <w:r>
        <w:rPr>
          <w:rFonts w:asciiTheme="majorBidi" w:hAnsiTheme="majorBidi" w:cstheme="majorBidi"/>
        </w:rPr>
        <w:t>, including</w:t>
      </w:r>
      <w:r w:rsidRPr="008C3C79">
        <w:rPr>
          <w:rFonts w:asciiTheme="majorBidi" w:hAnsiTheme="majorBidi" w:cstheme="majorBidi"/>
        </w:rPr>
        <w:t xml:space="preserve"> </w:t>
      </w:r>
      <w:r>
        <w:rPr>
          <w:rFonts w:asciiTheme="majorBidi" w:hAnsiTheme="majorBidi" w:cstheme="majorBidi"/>
        </w:rPr>
        <w:t xml:space="preserve">the rights </w:t>
      </w:r>
      <w:r w:rsidRPr="000F7DB6">
        <w:rPr>
          <w:rFonts w:asciiTheme="majorBidi" w:hAnsiTheme="majorBidi" w:cstheme="majorBidi"/>
        </w:rPr>
        <w:t>attached to</w:t>
      </w:r>
      <w:r>
        <w:rPr>
          <w:rFonts w:asciiTheme="majorBidi" w:hAnsiTheme="majorBidi" w:cstheme="majorBidi"/>
        </w:rPr>
        <w:t xml:space="preserve"> it,</w:t>
      </w:r>
      <w:r w:rsidRPr="008C3C79">
        <w:rPr>
          <w:rFonts w:asciiTheme="majorBidi" w:hAnsiTheme="majorBidi" w:cstheme="majorBidi"/>
        </w:rPr>
        <w:t xml:space="preserve"> would need to be carefully considered in light of the services to be rendered by the centre, its beneficiaries</w:t>
      </w:r>
      <w:r w:rsidR="008771CF">
        <w:rPr>
          <w:rFonts w:asciiTheme="majorBidi" w:hAnsiTheme="majorBidi" w:cstheme="majorBidi"/>
        </w:rPr>
        <w:t>,</w:t>
      </w:r>
      <w:r w:rsidRPr="008C3C79">
        <w:rPr>
          <w:rFonts w:asciiTheme="majorBidi" w:hAnsiTheme="majorBidi" w:cstheme="majorBidi"/>
        </w:rPr>
        <w:t xml:space="preserve"> and potential conflicts of interest.</w:t>
      </w:r>
      <w:r w:rsidRPr="008C3C79">
        <w:rPr>
          <w:rStyle w:val="FootnoteReference"/>
          <w:rFonts w:asciiTheme="majorBidi" w:hAnsiTheme="majorBidi" w:cstheme="majorBidi"/>
        </w:rPr>
        <w:footnoteReference w:id="21"/>
      </w:r>
    </w:p>
    <w:p w14:paraId="511B0132" w14:textId="29AF5FAE" w:rsidR="007A737C" w:rsidRPr="00290C7A" w:rsidRDefault="007A737C" w:rsidP="001019DF">
      <w:pPr>
        <w:pStyle w:val="SingleTxt"/>
        <w:numPr>
          <w:ilvl w:val="2"/>
          <w:numId w:val="6"/>
        </w:numPr>
        <w:tabs>
          <w:tab w:val="clear" w:pos="1742"/>
          <w:tab w:val="clear" w:pos="2218"/>
          <w:tab w:val="left" w:pos="1701"/>
          <w:tab w:val="num" w:pos="1728"/>
        </w:tabs>
        <w:ind w:left="1276" w:firstLine="0"/>
        <w:rPr>
          <w:rFonts w:asciiTheme="majorBidi" w:hAnsiTheme="majorBidi" w:cstheme="majorBidi"/>
          <w:b/>
          <w:bCs/>
        </w:rPr>
      </w:pPr>
      <w:r w:rsidRPr="00E8310B">
        <w:rPr>
          <w:rFonts w:asciiTheme="majorBidi" w:hAnsiTheme="majorBidi" w:cstheme="majorBidi"/>
        </w:rPr>
        <w:lastRenderedPageBreak/>
        <w:t xml:space="preserve">Whatever the structure ultimately selected, the Working Group may wish to consider the functions that might need to be fulfilled by the members of the centre, such as to evaluate and monitor its performance; to agree on rules for the nomination, term of office and removal of the governing bodies; to agree on the fee structure and necessary adjustments; and to adopt the necessary rules to regulate potential conflicts of interest, prioritization and other aspects related to the provision of services to beneficiaries. </w:t>
      </w:r>
    </w:p>
    <w:p w14:paraId="6D6AC89E" w14:textId="10A19AF0" w:rsidR="00290C7A" w:rsidRPr="00290C7A" w:rsidRDefault="00290C7A" w:rsidP="00290C7A">
      <w:pPr>
        <w:pStyle w:val="SingleTxt"/>
        <w:numPr>
          <w:ilvl w:val="2"/>
          <w:numId w:val="6"/>
        </w:numPr>
        <w:tabs>
          <w:tab w:val="clear" w:pos="1742"/>
          <w:tab w:val="clear" w:pos="2218"/>
          <w:tab w:val="left" w:pos="1701"/>
          <w:tab w:val="num" w:pos="1728"/>
        </w:tabs>
        <w:ind w:left="1276" w:firstLine="0"/>
        <w:rPr>
          <w:rFonts w:asciiTheme="majorBidi" w:hAnsiTheme="majorBidi" w:cstheme="majorBidi"/>
        </w:rPr>
      </w:pPr>
      <w:r>
        <w:rPr>
          <w:rFonts w:asciiTheme="majorBidi" w:hAnsiTheme="majorBidi" w:cstheme="majorBidi"/>
        </w:rPr>
        <w:t>On a different note, t</w:t>
      </w:r>
      <w:r w:rsidRPr="00290C7A">
        <w:rPr>
          <w:rFonts w:asciiTheme="majorBidi" w:hAnsiTheme="majorBidi" w:cstheme="majorBidi"/>
        </w:rPr>
        <w:t>he internal organization and the staffing of the advisory centre has also a bearing on its independence and impartiality. Questions such as whether staff would be permanent, composed of consultants or member-government secondees (or a combination) and the manner in which the centre may work with external service providers would need careful consideration. Any misalignment of perspective and interest between a support provider and the beneficiary might create difficulties in the operation of the centre.</w:t>
      </w:r>
      <w:r w:rsidRPr="008C3C79">
        <w:rPr>
          <w:rStyle w:val="FootnoteReference"/>
          <w:rFonts w:asciiTheme="majorBidi" w:hAnsiTheme="majorBidi" w:cstheme="majorBidi"/>
        </w:rPr>
        <w:footnoteReference w:id="22"/>
      </w:r>
      <w:r w:rsidRPr="00290C7A">
        <w:rPr>
          <w:rFonts w:asciiTheme="majorBidi" w:hAnsiTheme="majorBidi" w:cstheme="majorBidi"/>
        </w:rPr>
        <w:t xml:space="preserve"> The Working Group may also wish to note that an advisory centre would need to have a diverse staff, including a diversity of expertise and experience, as well as diversity in legal, social, and governmental backgrounds. The staff requires sufficient expertise to ensure that it can deliver the highest quality services, and sufficient experience to independently render the full range of required services, including assistance and defence in ISDS cases. </w:t>
      </w:r>
    </w:p>
    <w:p w14:paraId="60B979FB" w14:textId="3539042B" w:rsidR="007A737C" w:rsidRPr="00001006" w:rsidRDefault="00290C7A" w:rsidP="007A737C">
      <w:pPr>
        <w:pStyle w:val="SingleTxt"/>
        <w:tabs>
          <w:tab w:val="clear" w:pos="1742"/>
          <w:tab w:val="clear" w:pos="2218"/>
          <w:tab w:val="left" w:pos="1701"/>
          <w:tab w:val="num" w:pos="2843"/>
        </w:tabs>
        <w:ind w:left="1276"/>
        <w:rPr>
          <w:rFonts w:asciiTheme="majorBidi" w:hAnsiTheme="majorBidi" w:cstheme="majorBidi"/>
          <w:b/>
          <w:bCs/>
        </w:rPr>
      </w:pPr>
      <w:r>
        <w:rPr>
          <w:rFonts w:asciiTheme="majorBidi" w:hAnsiTheme="majorBidi" w:cstheme="majorBidi"/>
          <w:b/>
          <w:bCs/>
        </w:rPr>
        <w:t>3</w:t>
      </w:r>
      <w:r w:rsidR="007A737C" w:rsidRPr="00001006">
        <w:rPr>
          <w:rFonts w:asciiTheme="majorBidi" w:hAnsiTheme="majorBidi" w:cstheme="majorBidi"/>
          <w:b/>
          <w:bCs/>
        </w:rPr>
        <w:t>. Virtual centre/Location or locations</w:t>
      </w:r>
    </w:p>
    <w:p w14:paraId="4290B7DC" w14:textId="5F9419BA" w:rsidR="00545349" w:rsidRPr="00545349" w:rsidRDefault="00545349" w:rsidP="007A737C">
      <w:pPr>
        <w:pStyle w:val="SingleTxt"/>
        <w:numPr>
          <w:ilvl w:val="2"/>
          <w:numId w:val="6"/>
        </w:numPr>
        <w:tabs>
          <w:tab w:val="clear" w:pos="1742"/>
          <w:tab w:val="clear" w:pos="2218"/>
          <w:tab w:val="left" w:pos="1701"/>
          <w:tab w:val="num" w:pos="1728"/>
        </w:tabs>
        <w:ind w:left="1276" w:firstLine="0"/>
        <w:rPr>
          <w:rFonts w:asciiTheme="majorBidi" w:hAnsiTheme="majorBidi" w:cstheme="majorBidi"/>
          <w:b/>
          <w:bCs/>
          <w:i/>
          <w:iCs/>
          <w:lang w:val="en-US"/>
        </w:rPr>
      </w:pPr>
      <w:r>
        <w:rPr>
          <w:rFonts w:asciiTheme="majorBidi" w:hAnsiTheme="majorBidi" w:cstheme="majorBidi"/>
          <w:lang w:val="en-US"/>
        </w:rPr>
        <w:t xml:space="preserve">The Working Group may wish to consider draft provision </w:t>
      </w:r>
      <w:r w:rsidR="00726882">
        <w:rPr>
          <w:rFonts w:asciiTheme="majorBidi" w:hAnsiTheme="majorBidi" w:cstheme="majorBidi"/>
          <w:lang w:val="en-US"/>
        </w:rPr>
        <w:t>6</w:t>
      </w:r>
      <w:r>
        <w:rPr>
          <w:rFonts w:asciiTheme="majorBidi" w:hAnsiTheme="majorBidi" w:cstheme="majorBidi"/>
          <w:lang w:val="en-US"/>
        </w:rPr>
        <w:t xml:space="preserve"> on the location of the centre.</w:t>
      </w:r>
    </w:p>
    <w:p w14:paraId="19A86B1A" w14:textId="12084B0C" w:rsidR="00545349" w:rsidRPr="00545349" w:rsidRDefault="00545349" w:rsidP="00545349">
      <w:pPr>
        <w:pStyle w:val="SingleTxt"/>
        <w:tabs>
          <w:tab w:val="left" w:pos="1701"/>
          <w:tab w:val="num" w:pos="3126"/>
        </w:tabs>
        <w:ind w:left="1276"/>
        <w:rPr>
          <w:rFonts w:asciiTheme="majorBidi" w:hAnsiTheme="majorBidi" w:cstheme="majorBidi"/>
          <w:b/>
          <w:bCs/>
          <w:i/>
          <w:iCs/>
        </w:rPr>
      </w:pPr>
      <w:r w:rsidRPr="00545349">
        <w:rPr>
          <w:rFonts w:asciiTheme="majorBidi" w:hAnsiTheme="majorBidi" w:cstheme="majorBidi"/>
          <w:b/>
          <w:bCs/>
          <w:i/>
          <w:iCs/>
        </w:rPr>
        <w:t xml:space="preserve">Draft provision </w:t>
      </w:r>
      <w:r w:rsidR="00726882">
        <w:rPr>
          <w:rFonts w:asciiTheme="majorBidi" w:hAnsiTheme="majorBidi" w:cstheme="majorBidi"/>
          <w:b/>
          <w:bCs/>
          <w:i/>
          <w:iCs/>
        </w:rPr>
        <w:t>6 -</w:t>
      </w:r>
      <w:r w:rsidRPr="00545349">
        <w:rPr>
          <w:rFonts w:asciiTheme="majorBidi" w:hAnsiTheme="majorBidi" w:cstheme="majorBidi"/>
          <w:b/>
          <w:bCs/>
          <w:i/>
          <w:iCs/>
        </w:rPr>
        <w:t xml:space="preserve"> Location</w:t>
      </w:r>
    </w:p>
    <w:p w14:paraId="6D2191EB" w14:textId="6333B851" w:rsidR="00545349" w:rsidRPr="00545349" w:rsidRDefault="00726882" w:rsidP="00545349">
      <w:pPr>
        <w:pStyle w:val="SingleTxt"/>
        <w:tabs>
          <w:tab w:val="left" w:pos="1701"/>
          <w:tab w:val="num" w:pos="3126"/>
        </w:tabs>
        <w:ind w:left="1276"/>
        <w:rPr>
          <w:rFonts w:asciiTheme="majorBidi" w:hAnsiTheme="majorBidi" w:cstheme="majorBidi"/>
          <w:i/>
          <w:iCs/>
        </w:rPr>
      </w:pPr>
      <w:r>
        <w:rPr>
          <w:rFonts w:asciiTheme="majorBidi" w:hAnsiTheme="majorBidi" w:cstheme="majorBidi"/>
          <w:i/>
          <w:iCs/>
        </w:rPr>
        <w:t>a</w:t>
      </w:r>
      <w:r w:rsidR="00545349" w:rsidRPr="00545349">
        <w:rPr>
          <w:rFonts w:asciiTheme="majorBidi" w:hAnsiTheme="majorBidi" w:cstheme="majorBidi"/>
          <w:i/>
          <w:iCs/>
        </w:rPr>
        <w:t>. The Centre shall be based in […].</w:t>
      </w:r>
    </w:p>
    <w:p w14:paraId="3DD9F36C" w14:textId="0315646A" w:rsidR="00545349" w:rsidRPr="00545349" w:rsidRDefault="00726882" w:rsidP="00545349">
      <w:pPr>
        <w:pStyle w:val="SingleTxt"/>
        <w:tabs>
          <w:tab w:val="clear" w:pos="1742"/>
          <w:tab w:val="clear" w:pos="2218"/>
          <w:tab w:val="left" w:pos="1701"/>
          <w:tab w:val="num" w:pos="3126"/>
        </w:tabs>
        <w:ind w:left="1276"/>
        <w:rPr>
          <w:rFonts w:asciiTheme="majorBidi" w:hAnsiTheme="majorBidi" w:cstheme="majorBidi"/>
          <w:i/>
          <w:iCs/>
        </w:rPr>
      </w:pPr>
      <w:r>
        <w:rPr>
          <w:rFonts w:asciiTheme="majorBidi" w:hAnsiTheme="majorBidi" w:cstheme="majorBidi"/>
          <w:i/>
          <w:iCs/>
        </w:rPr>
        <w:t>b</w:t>
      </w:r>
      <w:r w:rsidR="00545349" w:rsidRPr="00545349">
        <w:rPr>
          <w:rFonts w:asciiTheme="majorBidi" w:hAnsiTheme="majorBidi" w:cstheme="majorBidi"/>
          <w:i/>
          <w:iCs/>
        </w:rPr>
        <w:t xml:space="preserve">. The Centre shall seek to ensure adequate global coverage, whether through virtual and, as feasible, physical presence regionally.  </w:t>
      </w:r>
    </w:p>
    <w:p w14:paraId="0AE8AA06" w14:textId="7C52E6CC" w:rsidR="00545349" w:rsidRDefault="00545349" w:rsidP="00545349">
      <w:pPr>
        <w:pStyle w:val="SingleTxt"/>
        <w:tabs>
          <w:tab w:val="clear" w:pos="1742"/>
          <w:tab w:val="clear" w:pos="2218"/>
          <w:tab w:val="left" w:pos="1701"/>
          <w:tab w:val="num" w:pos="3126"/>
        </w:tabs>
        <w:ind w:left="1276"/>
        <w:rPr>
          <w:rFonts w:asciiTheme="majorBidi" w:hAnsiTheme="majorBidi" w:cstheme="majorBidi"/>
          <w:b/>
          <w:bCs/>
          <w:i/>
          <w:iCs/>
        </w:rPr>
      </w:pPr>
      <w:r>
        <w:rPr>
          <w:rFonts w:asciiTheme="majorBidi" w:hAnsiTheme="majorBidi" w:cstheme="majorBidi"/>
          <w:b/>
          <w:bCs/>
          <w:i/>
          <w:iCs/>
        </w:rPr>
        <w:t>Comments</w:t>
      </w:r>
    </w:p>
    <w:p w14:paraId="46898BB8" w14:textId="44EA3BC1" w:rsidR="007A737C" w:rsidRPr="008C3C79" w:rsidRDefault="007A737C" w:rsidP="007A737C">
      <w:pPr>
        <w:pStyle w:val="SingleTxt"/>
        <w:numPr>
          <w:ilvl w:val="2"/>
          <w:numId w:val="6"/>
        </w:numPr>
        <w:tabs>
          <w:tab w:val="clear" w:pos="1742"/>
          <w:tab w:val="clear" w:pos="2218"/>
          <w:tab w:val="left" w:pos="1701"/>
          <w:tab w:val="num" w:pos="1728"/>
        </w:tabs>
        <w:ind w:left="1276" w:firstLine="0"/>
        <w:rPr>
          <w:rFonts w:asciiTheme="majorBidi" w:hAnsiTheme="majorBidi" w:cstheme="majorBidi"/>
          <w:b/>
          <w:bCs/>
          <w:i/>
          <w:iCs/>
          <w:lang w:val="en-US"/>
        </w:rPr>
      </w:pPr>
      <w:r w:rsidRPr="008C3C79">
        <w:rPr>
          <w:rFonts w:asciiTheme="majorBidi" w:hAnsiTheme="majorBidi" w:cstheme="majorBidi"/>
        </w:rPr>
        <w:t>The location, or locations, of an advisory centre could depend on a range of factors, including the form that such a mechanism</w:t>
      </w:r>
      <w:r>
        <w:rPr>
          <w:rFonts w:asciiTheme="majorBidi" w:hAnsiTheme="majorBidi" w:cstheme="majorBidi"/>
        </w:rPr>
        <w:t xml:space="preserve"> would</w:t>
      </w:r>
      <w:r w:rsidRPr="008C3C79">
        <w:rPr>
          <w:rFonts w:asciiTheme="majorBidi" w:hAnsiTheme="majorBidi" w:cstheme="majorBidi"/>
        </w:rPr>
        <w:t xml:space="preserve"> take, its mandate and roles, the identity and preferences of its beneficiaries and </w:t>
      </w:r>
      <w:r>
        <w:rPr>
          <w:rFonts w:asciiTheme="majorBidi" w:hAnsiTheme="majorBidi" w:cstheme="majorBidi"/>
        </w:rPr>
        <w:t>donors</w:t>
      </w:r>
      <w:r w:rsidRPr="008C3C79">
        <w:rPr>
          <w:rFonts w:asciiTheme="majorBidi" w:hAnsiTheme="majorBidi" w:cstheme="majorBidi"/>
        </w:rPr>
        <w:t xml:space="preserve">, its legal needs, and its budget. This question is also connected to the sustainability of the centre. The Working Group may wish to consider the objective of an advisory centre to assist </w:t>
      </w:r>
      <w:r>
        <w:rPr>
          <w:rFonts w:asciiTheme="majorBidi" w:hAnsiTheme="majorBidi" w:cstheme="majorBidi"/>
        </w:rPr>
        <w:t>States</w:t>
      </w:r>
      <w:r w:rsidRPr="008C3C79">
        <w:rPr>
          <w:rFonts w:asciiTheme="majorBidi" w:hAnsiTheme="majorBidi" w:cstheme="majorBidi"/>
        </w:rPr>
        <w:t xml:space="preserve"> and ensure that the perspective of the various regions is taken into account, and the impact </w:t>
      </w:r>
      <w:r>
        <w:rPr>
          <w:rFonts w:asciiTheme="majorBidi" w:hAnsiTheme="majorBidi" w:cstheme="majorBidi"/>
        </w:rPr>
        <w:t xml:space="preserve">of this </w:t>
      </w:r>
      <w:r w:rsidRPr="008C3C79">
        <w:rPr>
          <w:rFonts w:asciiTheme="majorBidi" w:hAnsiTheme="majorBidi" w:cstheme="majorBidi"/>
        </w:rPr>
        <w:t xml:space="preserve">on its location. </w:t>
      </w:r>
    </w:p>
    <w:p w14:paraId="25C1DD26" w14:textId="17204A2A" w:rsidR="007A737C" w:rsidRPr="009B7882" w:rsidRDefault="007A737C" w:rsidP="007A737C">
      <w:pPr>
        <w:pStyle w:val="SingleTxt"/>
        <w:numPr>
          <w:ilvl w:val="2"/>
          <w:numId w:val="6"/>
        </w:numPr>
        <w:tabs>
          <w:tab w:val="clear" w:pos="1742"/>
          <w:tab w:val="clear" w:pos="2218"/>
          <w:tab w:val="left" w:pos="1701"/>
          <w:tab w:val="num" w:pos="1728"/>
        </w:tabs>
        <w:ind w:left="1276" w:firstLine="0"/>
        <w:rPr>
          <w:rFonts w:asciiTheme="majorBidi" w:hAnsiTheme="majorBidi" w:cstheme="majorBidi"/>
          <w:b/>
          <w:bCs/>
        </w:rPr>
      </w:pPr>
      <w:r w:rsidRPr="008C3C79">
        <w:rPr>
          <w:rFonts w:asciiTheme="majorBidi" w:hAnsiTheme="majorBidi" w:cstheme="majorBidi"/>
        </w:rPr>
        <w:t xml:space="preserve">It may be conceived that an advisory centre could have several offices, located in different regions of the world, although this may raise costs and associated funding challenges. </w:t>
      </w:r>
      <w:r>
        <w:rPr>
          <w:rFonts w:asciiTheme="majorBidi" w:hAnsiTheme="majorBidi" w:cstheme="majorBidi"/>
        </w:rPr>
        <w:t xml:space="preserve">Given the implications on budget and sustainability of the centre, it could be decided to set up virtual centres in the form of dedicated desks at the centre or in regional development banks or relevant institutions and structures in various regions. </w:t>
      </w:r>
    </w:p>
    <w:p w14:paraId="4CC9DC3D" w14:textId="7712E5BA" w:rsidR="009B7882" w:rsidRDefault="009B7882" w:rsidP="009B7882">
      <w:pPr>
        <w:pStyle w:val="SingleTxt"/>
        <w:tabs>
          <w:tab w:val="clear" w:pos="1742"/>
          <w:tab w:val="clear" w:pos="2218"/>
          <w:tab w:val="left" w:pos="1701"/>
          <w:tab w:val="num" w:pos="3126"/>
        </w:tabs>
        <w:rPr>
          <w:rFonts w:asciiTheme="majorBidi" w:hAnsiTheme="majorBidi" w:cstheme="majorBidi"/>
        </w:rPr>
      </w:pPr>
    </w:p>
    <w:p w14:paraId="7F2BADAB" w14:textId="4812A545" w:rsidR="009B7882" w:rsidRDefault="009B7882" w:rsidP="009B7882">
      <w:pPr>
        <w:pStyle w:val="SingleTxt"/>
        <w:ind w:left="0"/>
        <w:jc w:val="center"/>
        <w:rPr>
          <w:rFonts w:asciiTheme="majorBidi" w:hAnsiTheme="majorBidi" w:cstheme="majorBidi"/>
          <w:b/>
          <w:bCs/>
          <w:sz w:val="24"/>
          <w:szCs w:val="24"/>
          <w:u w:val="single"/>
        </w:rPr>
      </w:pPr>
      <w:r>
        <w:rPr>
          <w:rFonts w:asciiTheme="majorBidi" w:hAnsiTheme="majorBidi" w:cstheme="majorBidi"/>
          <w:b/>
          <w:bCs/>
          <w:sz w:val="24"/>
          <w:szCs w:val="24"/>
          <w:u w:val="single"/>
        </w:rPr>
        <w:lastRenderedPageBreak/>
        <w:t>Annex 1 – Table of services</w:t>
      </w:r>
    </w:p>
    <w:tbl>
      <w:tblPr>
        <w:tblStyle w:val="GridTable1Light"/>
        <w:tblW w:w="9835" w:type="dxa"/>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2094"/>
        <w:gridCol w:w="2197"/>
        <w:gridCol w:w="2069"/>
        <w:gridCol w:w="2943"/>
      </w:tblGrid>
      <w:tr w:rsidR="009B7882" w14:paraId="544A830E" w14:textId="77777777" w:rsidTr="001019DF">
        <w:trPr>
          <w:cnfStyle w:val="100000000000" w:firstRow="1" w:lastRow="0" w:firstColumn="0" w:lastColumn="0" w:oddVBand="0" w:evenVBand="0" w:oddHBand="0" w:evenHBand="0" w:firstRowFirstColumn="0" w:firstRowLastColumn="0" w:lastRowFirstColumn="0" w:lastRowLastColumn="0"/>
          <w:trHeight w:val="114"/>
        </w:trPr>
        <w:tc>
          <w:tcPr>
            <w:cnfStyle w:val="001000000000" w:firstRow="0" w:lastRow="0" w:firstColumn="1" w:lastColumn="0" w:oddVBand="0" w:evenVBand="0" w:oddHBand="0" w:evenHBand="0" w:firstRowFirstColumn="0" w:firstRowLastColumn="0" w:lastRowFirstColumn="0" w:lastRowLastColumn="0"/>
            <w:tcW w:w="532"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3A5FCD6" w14:textId="77777777" w:rsidR="009B7882" w:rsidRDefault="009B7882" w:rsidP="001019DF">
            <w:pPr>
              <w:spacing w:before="120" w:after="120"/>
              <w:jc w:val="center"/>
            </w:pPr>
            <w:r>
              <w:t>No.</w:t>
            </w:r>
          </w:p>
        </w:tc>
        <w:tc>
          <w:tcPr>
            <w:tcW w:w="9303"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51E188D0" w14:textId="77777777" w:rsidR="009B7882" w:rsidRPr="00CF29D3" w:rsidRDefault="009B7882" w:rsidP="001019DF">
            <w:pPr>
              <w:spacing w:before="120" w:after="120"/>
              <w:jc w:val="center"/>
              <w:cnfStyle w:val="100000000000" w:firstRow="1" w:lastRow="0" w:firstColumn="0" w:lastColumn="0" w:oddVBand="0" w:evenVBand="0" w:oddHBand="0" w:evenHBand="0" w:firstRowFirstColumn="0" w:firstRowLastColumn="0" w:lastRowFirstColumn="0" w:lastRowLastColumn="0"/>
            </w:pPr>
            <w:r>
              <w:t xml:space="preserve">Services to be provided by the Advisory Centre </w:t>
            </w:r>
          </w:p>
        </w:tc>
      </w:tr>
      <w:tr w:rsidR="009B7882" w14:paraId="4D0E6952" w14:textId="77777777" w:rsidTr="001019DF">
        <w:trPr>
          <w:trHeight w:val="386"/>
        </w:trPr>
        <w:tc>
          <w:tcPr>
            <w:cnfStyle w:val="001000000000" w:firstRow="0" w:lastRow="0" w:firstColumn="1" w:lastColumn="0" w:oddVBand="0" w:evenVBand="0" w:oddHBand="0" w:evenHBand="0" w:firstRowFirstColumn="0" w:firstRowLastColumn="0" w:lastRowFirstColumn="0" w:lastRowLastColumn="0"/>
            <w:tcW w:w="53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499294B7" w14:textId="77777777" w:rsidR="009B7882" w:rsidRDefault="009B7882" w:rsidP="001019DF">
            <w:pPr>
              <w:spacing w:before="120" w:after="120"/>
              <w:jc w:val="center"/>
              <w:rPr>
                <w:b w:val="0"/>
                <w:bCs w:val="0"/>
              </w:rPr>
            </w:pPr>
            <w:r>
              <w:rPr>
                <w:b w:val="0"/>
                <w:bCs w:val="0"/>
              </w:rPr>
              <w:t>1</w:t>
            </w:r>
          </w:p>
        </w:tc>
        <w:tc>
          <w:tcPr>
            <w:tcW w:w="2094" w:type="dxa"/>
            <w:vMerge w:val="restart"/>
            <w:tcBorders>
              <w:top w:val="single" w:sz="4" w:space="0" w:color="auto"/>
              <w:left w:val="single" w:sz="4" w:space="0" w:color="auto"/>
              <w:bottom w:val="single" w:sz="4" w:space="0" w:color="auto"/>
              <w:right w:val="single" w:sz="4" w:space="0" w:color="auto"/>
            </w:tcBorders>
            <w:hideMark/>
          </w:tcPr>
          <w:p w14:paraId="17600826"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rPr>
                <w:b/>
                <w:bCs/>
              </w:rPr>
            </w:pPr>
            <w:r>
              <w:t>Pre-dispute and dispute avoidance services</w:t>
            </w:r>
          </w:p>
        </w:tc>
        <w:tc>
          <w:tcPr>
            <w:tcW w:w="2197" w:type="dxa"/>
            <w:vMerge w:val="restart"/>
            <w:tcBorders>
              <w:top w:val="single" w:sz="4" w:space="0" w:color="auto"/>
              <w:left w:val="single" w:sz="4" w:space="0" w:color="auto"/>
              <w:bottom w:val="single" w:sz="4" w:space="0" w:color="auto"/>
              <w:right w:val="single" w:sz="4" w:space="0" w:color="auto"/>
            </w:tcBorders>
            <w:hideMark/>
          </w:tcPr>
          <w:p w14:paraId="5A256136" w14:textId="77777777" w:rsidR="009B7882" w:rsidRDefault="009B7882" w:rsidP="001019DF">
            <w:pPr>
              <w:pStyle w:val="ListParagraph"/>
              <w:spacing w:before="120" w:after="120"/>
              <w:ind w:left="0"/>
              <w:jc w:val="center"/>
              <w:cnfStyle w:val="000000000000" w:firstRow="0" w:lastRow="0" w:firstColumn="0" w:lastColumn="0" w:oddVBand="0" w:evenVBand="0" w:oddHBand="0" w:evenHBand="0" w:firstRowFirstColumn="0" w:firstRowLastColumn="0" w:lastRowFirstColumn="0" w:lastRowLastColumn="0"/>
            </w:pPr>
            <w:r>
              <w:t>Pre-dispute phase</w:t>
            </w:r>
          </w:p>
        </w:tc>
        <w:tc>
          <w:tcPr>
            <w:tcW w:w="5012" w:type="dxa"/>
            <w:gridSpan w:val="2"/>
            <w:tcBorders>
              <w:top w:val="single" w:sz="4" w:space="0" w:color="auto"/>
              <w:left w:val="single" w:sz="4" w:space="0" w:color="auto"/>
              <w:bottom w:val="single" w:sz="4" w:space="0" w:color="auto"/>
              <w:right w:val="single" w:sz="4" w:space="0" w:color="auto"/>
            </w:tcBorders>
            <w:hideMark/>
          </w:tcPr>
          <w:p w14:paraId="670F326D" w14:textId="77777777" w:rsidR="009B7882" w:rsidRDefault="009B7882" w:rsidP="001019D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pPr>
            <w:r>
              <w:t>Acts as a platform for sharing of best practices and information on the drafting of investment treaties and conflict management to build a stable climate for investment.</w:t>
            </w:r>
          </w:p>
        </w:tc>
      </w:tr>
      <w:tr w:rsidR="009B7882" w14:paraId="6C2269DB" w14:textId="77777777" w:rsidTr="001019DF">
        <w:trPr>
          <w:trHeight w:val="386"/>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3CEB53F1"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0026A2"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D6E5C6"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3239BD5D" w14:textId="77777777" w:rsidR="009B7882" w:rsidRDefault="009B7882" w:rsidP="001019D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pPr>
            <w:r>
              <w:t>Assistance regarding the establishment of a lead agency that would ensure proper attention to potential investor-State disputes, provide adequate responses to problems with foreign investors, and defend the interests of the State at each stage.</w:t>
            </w:r>
          </w:p>
        </w:tc>
      </w:tr>
      <w:tr w:rsidR="009B7882" w14:paraId="2903B92C" w14:textId="77777777" w:rsidTr="001019DF">
        <w:trPr>
          <w:trHeight w:val="300"/>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7F43E4ED"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B2475D"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2197" w:type="dxa"/>
            <w:tcBorders>
              <w:top w:val="single" w:sz="4" w:space="0" w:color="auto"/>
              <w:left w:val="single" w:sz="4" w:space="0" w:color="auto"/>
              <w:bottom w:val="single" w:sz="4" w:space="0" w:color="auto"/>
              <w:right w:val="single" w:sz="4" w:space="0" w:color="auto"/>
            </w:tcBorders>
            <w:hideMark/>
          </w:tcPr>
          <w:p w14:paraId="5468B0F2" w14:textId="77777777" w:rsidR="009B7882" w:rsidRDefault="009B7882" w:rsidP="001019DF">
            <w:pPr>
              <w:pStyle w:val="ListParagraph"/>
              <w:spacing w:before="120" w:after="120"/>
              <w:ind w:left="0"/>
              <w:jc w:val="center"/>
              <w:cnfStyle w:val="000000000000" w:firstRow="0" w:lastRow="0" w:firstColumn="0" w:lastColumn="0" w:oddVBand="0" w:evenVBand="0" w:oddHBand="0" w:evenHBand="0" w:firstRowFirstColumn="0" w:firstRowLastColumn="0" w:lastRowFirstColumn="0" w:lastRowLastColumn="0"/>
            </w:pPr>
            <w:r>
              <w:t>Post-dispute phase</w:t>
            </w:r>
          </w:p>
        </w:tc>
        <w:tc>
          <w:tcPr>
            <w:tcW w:w="5012" w:type="dxa"/>
            <w:gridSpan w:val="2"/>
            <w:tcBorders>
              <w:top w:val="single" w:sz="4" w:space="0" w:color="auto"/>
              <w:left w:val="single" w:sz="4" w:space="0" w:color="auto"/>
              <w:bottom w:val="single" w:sz="4" w:space="0" w:color="auto"/>
              <w:right w:val="single" w:sz="4" w:space="0" w:color="auto"/>
            </w:tcBorders>
            <w:hideMark/>
          </w:tcPr>
          <w:p w14:paraId="4F591EE9" w14:textId="77777777" w:rsidR="009B7882" w:rsidRDefault="009B7882" w:rsidP="001019D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pPr>
            <w:r>
              <w:t>Assistance to resolve investor-State disputes at the national level to avoid escalation of disputes into an adversarial proceeding.</w:t>
            </w:r>
          </w:p>
        </w:tc>
      </w:tr>
      <w:tr w:rsidR="009B7882" w14:paraId="51871377" w14:textId="77777777" w:rsidTr="001019DF">
        <w:trPr>
          <w:trHeight w:val="52"/>
        </w:trPr>
        <w:tc>
          <w:tcPr>
            <w:cnfStyle w:val="001000000000" w:firstRow="0" w:lastRow="0" w:firstColumn="1" w:lastColumn="0" w:oddVBand="0" w:evenVBand="0" w:oddHBand="0" w:evenHBand="0" w:firstRowFirstColumn="0" w:firstRowLastColumn="0" w:lastRowFirstColumn="0" w:lastRowLastColumn="0"/>
            <w:tcW w:w="53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0EE38F60" w14:textId="77777777" w:rsidR="009B7882" w:rsidRDefault="009B7882" w:rsidP="001019DF">
            <w:pPr>
              <w:spacing w:before="120" w:after="120"/>
              <w:jc w:val="center"/>
              <w:rPr>
                <w:b w:val="0"/>
                <w:bCs w:val="0"/>
              </w:rPr>
            </w:pPr>
            <w:r>
              <w:rPr>
                <w:b w:val="0"/>
                <w:bCs w:val="0"/>
              </w:rPr>
              <w:t>2</w:t>
            </w:r>
          </w:p>
        </w:tc>
        <w:tc>
          <w:tcPr>
            <w:tcW w:w="2094" w:type="dxa"/>
            <w:vMerge w:val="restart"/>
            <w:tcBorders>
              <w:top w:val="single" w:sz="4" w:space="0" w:color="auto"/>
              <w:left w:val="single" w:sz="4" w:space="0" w:color="auto"/>
              <w:bottom w:val="single" w:sz="4" w:space="0" w:color="auto"/>
              <w:right w:val="single" w:sz="4" w:space="0" w:color="auto"/>
            </w:tcBorders>
            <w:hideMark/>
          </w:tcPr>
          <w:p w14:paraId="4B0006CE"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rPr>
                <w:b/>
                <w:bCs/>
              </w:rPr>
            </w:pPr>
            <w:r>
              <w:t>Mediation and other alternative dispute resolution (ADR) methods</w:t>
            </w:r>
          </w:p>
        </w:tc>
        <w:tc>
          <w:tcPr>
            <w:tcW w:w="2197" w:type="dxa"/>
            <w:vMerge w:val="restart"/>
            <w:tcBorders>
              <w:top w:val="single" w:sz="4" w:space="0" w:color="auto"/>
              <w:left w:val="single" w:sz="4" w:space="0" w:color="auto"/>
              <w:bottom w:val="single" w:sz="4" w:space="0" w:color="auto"/>
              <w:right w:val="single" w:sz="4" w:space="0" w:color="auto"/>
            </w:tcBorders>
            <w:hideMark/>
          </w:tcPr>
          <w:p w14:paraId="5B11D7C3" w14:textId="77777777" w:rsidR="009B7882" w:rsidRDefault="009B7882" w:rsidP="001019DF">
            <w:pPr>
              <w:pStyle w:val="ListParagraph"/>
              <w:spacing w:before="120" w:after="120"/>
              <w:ind w:left="0"/>
              <w:jc w:val="center"/>
              <w:cnfStyle w:val="000000000000" w:firstRow="0" w:lastRow="0" w:firstColumn="0" w:lastColumn="0" w:oddVBand="0" w:evenVBand="0" w:oddHBand="0" w:evenHBand="0" w:firstRowFirstColumn="0" w:firstRowLastColumn="0" w:lastRowFirstColumn="0" w:lastRowLastColumn="0"/>
            </w:pPr>
            <w:r>
              <w:t>Risk assessments</w:t>
            </w:r>
          </w:p>
        </w:tc>
        <w:tc>
          <w:tcPr>
            <w:tcW w:w="5012" w:type="dxa"/>
            <w:gridSpan w:val="2"/>
            <w:tcBorders>
              <w:top w:val="single" w:sz="4" w:space="0" w:color="auto"/>
              <w:left w:val="single" w:sz="4" w:space="0" w:color="auto"/>
              <w:bottom w:val="single" w:sz="4" w:space="0" w:color="auto"/>
              <w:right w:val="single" w:sz="4" w:space="0" w:color="auto"/>
            </w:tcBorders>
            <w:hideMark/>
          </w:tcPr>
          <w:p w14:paraId="568F4641" w14:textId="77777777" w:rsidR="009B7882" w:rsidRDefault="009B7882" w:rsidP="001019D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pPr>
            <w:r>
              <w:t>Analysis of the case in terms of its strengths and weaknesses.</w:t>
            </w:r>
          </w:p>
        </w:tc>
      </w:tr>
      <w:tr w:rsidR="009B7882" w14:paraId="0AEAF0C6" w14:textId="77777777" w:rsidTr="001019DF">
        <w:trPr>
          <w:trHeight w:val="170"/>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46028CA1"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D9D281"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6D8CC9"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22BEC07B" w14:textId="77777777" w:rsidR="009B7882" w:rsidRDefault="009B7882" w:rsidP="001019D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pPr>
            <w:r>
              <w:t>Assessment of appropriate dispute resolution method.</w:t>
            </w:r>
          </w:p>
        </w:tc>
      </w:tr>
      <w:tr w:rsidR="009B7882" w14:paraId="3DA867B8" w14:textId="77777777" w:rsidTr="001019DF">
        <w:trPr>
          <w:trHeight w:val="170"/>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72239758"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20CBE"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FC5F0"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49397E20" w14:textId="77777777" w:rsidR="009B7882" w:rsidRDefault="009B7882" w:rsidP="001019DF">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pPr>
            <w:r>
              <w:t>Reflection on necessary resources to defend the case.</w:t>
            </w:r>
          </w:p>
        </w:tc>
      </w:tr>
      <w:tr w:rsidR="009B7882" w14:paraId="40D50100" w14:textId="77777777" w:rsidTr="001019DF">
        <w:trPr>
          <w:trHeight w:val="382"/>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009FCC5F"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7019C7"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2197" w:type="dxa"/>
            <w:vMerge w:val="restart"/>
            <w:tcBorders>
              <w:top w:val="single" w:sz="4" w:space="0" w:color="auto"/>
              <w:left w:val="single" w:sz="4" w:space="0" w:color="auto"/>
              <w:bottom w:val="single" w:sz="4" w:space="0" w:color="auto"/>
              <w:right w:val="single" w:sz="4" w:space="0" w:color="auto"/>
            </w:tcBorders>
            <w:hideMark/>
          </w:tcPr>
          <w:p w14:paraId="2099A2CA"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Offers ADR services and supports early settlement disputes (e.g., cooling-off period)</w:t>
            </w:r>
          </w:p>
        </w:tc>
        <w:tc>
          <w:tcPr>
            <w:tcW w:w="5012" w:type="dxa"/>
            <w:gridSpan w:val="2"/>
            <w:tcBorders>
              <w:top w:val="single" w:sz="4" w:space="0" w:color="auto"/>
              <w:left w:val="single" w:sz="4" w:space="0" w:color="auto"/>
              <w:bottom w:val="single" w:sz="4" w:space="0" w:color="auto"/>
              <w:right w:val="single" w:sz="4" w:space="0" w:color="auto"/>
            </w:tcBorders>
            <w:hideMark/>
          </w:tcPr>
          <w:p w14:paraId="4106E6E7"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Functioning as a mediation institute.</w:t>
            </w:r>
          </w:p>
        </w:tc>
      </w:tr>
      <w:tr w:rsidR="006652BE" w14:paraId="09461B60" w14:textId="77777777" w:rsidTr="001019DF">
        <w:trPr>
          <w:trHeight w:val="382"/>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tcPr>
          <w:p w14:paraId="4062CFDD" w14:textId="77777777" w:rsidR="006652BE" w:rsidRDefault="006652BE"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9CD39F6" w14:textId="77777777" w:rsidR="006652BE" w:rsidRDefault="006652BE"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2197" w:type="dxa"/>
            <w:vMerge/>
            <w:tcBorders>
              <w:top w:val="single" w:sz="4" w:space="0" w:color="auto"/>
              <w:left w:val="single" w:sz="4" w:space="0" w:color="auto"/>
              <w:bottom w:val="single" w:sz="4" w:space="0" w:color="auto"/>
              <w:right w:val="single" w:sz="4" w:space="0" w:color="auto"/>
            </w:tcBorders>
          </w:tcPr>
          <w:p w14:paraId="413562B1" w14:textId="77777777" w:rsidR="006652BE" w:rsidRDefault="006652BE" w:rsidP="001019DF">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5012" w:type="dxa"/>
            <w:gridSpan w:val="2"/>
            <w:tcBorders>
              <w:top w:val="single" w:sz="4" w:space="0" w:color="auto"/>
              <w:left w:val="single" w:sz="4" w:space="0" w:color="auto"/>
              <w:bottom w:val="single" w:sz="4" w:space="0" w:color="auto"/>
              <w:right w:val="single" w:sz="4" w:space="0" w:color="auto"/>
            </w:tcBorders>
          </w:tcPr>
          <w:p w14:paraId="3817EF5A" w14:textId="6823E735" w:rsidR="006652BE" w:rsidRPr="006652BE" w:rsidRDefault="006652BE" w:rsidP="001019DF">
            <w:pPr>
              <w:spacing w:before="120" w:after="120"/>
              <w:cnfStyle w:val="000000000000" w:firstRow="0" w:lastRow="0" w:firstColumn="0" w:lastColumn="0" w:oddVBand="0" w:evenVBand="0" w:oddHBand="0" w:evenHBand="0" w:firstRowFirstColumn="0" w:firstRowLastColumn="0" w:lastRowFirstColumn="0" w:lastRowLastColumn="0"/>
            </w:pPr>
            <w:r>
              <w:t xml:space="preserve">Providing advisory services to respondent in mediation, </w:t>
            </w:r>
            <w:r>
              <w:rPr>
                <w:i/>
                <w:iCs/>
              </w:rPr>
              <w:t>inter alia</w:t>
            </w:r>
            <w:r>
              <w:t xml:space="preserve">, assessment of cases, identification of strategies, course of actions, preparation for mediation procedures, counselling to States during mediation. </w:t>
            </w:r>
          </w:p>
        </w:tc>
      </w:tr>
      <w:tr w:rsidR="009B7882" w14:paraId="05FABD5E" w14:textId="77777777" w:rsidTr="001019DF">
        <w:trPr>
          <w:trHeight w:val="309"/>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46942D53"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9B9834"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2ACE92"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26437C0D" w14:textId="284D3371" w:rsidR="009B7882" w:rsidRDefault="006652BE" w:rsidP="001019DF">
            <w:pPr>
              <w:spacing w:before="120" w:after="120"/>
              <w:jc w:val="both"/>
              <w:cnfStyle w:val="000000000000" w:firstRow="0" w:lastRow="0" w:firstColumn="0" w:lastColumn="0" w:oddVBand="0" w:evenVBand="0" w:oddHBand="0" w:evenHBand="0" w:firstRowFirstColumn="0" w:firstRowLastColumn="0" w:lastRowFirstColumn="0" w:lastRowLastColumn="0"/>
            </w:pPr>
            <w:r w:rsidRPr="006652BE">
              <w:t>Representing or assisting State Beneficiaries in a mediation procedure</w:t>
            </w:r>
            <w:r>
              <w:t>.</w:t>
            </w:r>
          </w:p>
        </w:tc>
      </w:tr>
      <w:tr w:rsidR="009B7882" w14:paraId="130C2737" w14:textId="77777777" w:rsidTr="001019DF">
        <w:trPr>
          <w:trHeight w:val="172"/>
        </w:trPr>
        <w:tc>
          <w:tcPr>
            <w:cnfStyle w:val="001000000000" w:firstRow="0" w:lastRow="0" w:firstColumn="1" w:lastColumn="0" w:oddVBand="0" w:evenVBand="0" w:oddHBand="0" w:evenHBand="0" w:firstRowFirstColumn="0" w:firstRowLastColumn="0" w:lastRowFirstColumn="0" w:lastRowLastColumn="0"/>
            <w:tcW w:w="532" w:type="dxa"/>
            <w:vMerge w:val="restart"/>
            <w:tcBorders>
              <w:top w:val="single" w:sz="4" w:space="0" w:color="auto"/>
              <w:left w:val="single" w:sz="4" w:space="0" w:color="auto"/>
              <w:right w:val="single" w:sz="4" w:space="0" w:color="auto"/>
            </w:tcBorders>
            <w:shd w:val="clear" w:color="auto" w:fill="DDD9C3" w:themeFill="background2" w:themeFillShade="E6"/>
          </w:tcPr>
          <w:p w14:paraId="7F3F6CED" w14:textId="77777777" w:rsidR="009B7882" w:rsidRDefault="009B7882" w:rsidP="001019DF">
            <w:pPr>
              <w:spacing w:before="120" w:after="120"/>
              <w:jc w:val="center"/>
            </w:pPr>
            <w:r>
              <w:rPr>
                <w:b w:val="0"/>
                <w:bCs w:val="0"/>
              </w:rPr>
              <w:t>3</w:t>
            </w:r>
          </w:p>
        </w:tc>
        <w:tc>
          <w:tcPr>
            <w:tcW w:w="2094" w:type="dxa"/>
            <w:vMerge w:val="restart"/>
            <w:tcBorders>
              <w:top w:val="single" w:sz="4" w:space="0" w:color="auto"/>
              <w:left w:val="single" w:sz="4" w:space="0" w:color="auto"/>
              <w:bottom w:val="single" w:sz="4" w:space="0" w:color="auto"/>
              <w:right w:val="single" w:sz="4" w:space="0" w:color="auto"/>
            </w:tcBorders>
            <w:hideMark/>
          </w:tcPr>
          <w:p w14:paraId="3F42BFA0"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Defence services</w:t>
            </w:r>
          </w:p>
        </w:tc>
        <w:tc>
          <w:tcPr>
            <w:tcW w:w="2197" w:type="dxa"/>
            <w:vMerge w:val="restart"/>
            <w:tcBorders>
              <w:top w:val="single" w:sz="4" w:space="0" w:color="auto"/>
              <w:left w:val="single" w:sz="4" w:space="0" w:color="auto"/>
              <w:bottom w:val="single" w:sz="4" w:space="0" w:color="auto"/>
              <w:right w:val="single" w:sz="4" w:space="0" w:color="auto"/>
            </w:tcBorders>
            <w:hideMark/>
          </w:tcPr>
          <w:p w14:paraId="7EBE3CF4"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 xml:space="preserve">Models of services </w:t>
            </w:r>
          </w:p>
        </w:tc>
        <w:tc>
          <w:tcPr>
            <w:tcW w:w="5012" w:type="dxa"/>
            <w:gridSpan w:val="2"/>
            <w:tcBorders>
              <w:top w:val="single" w:sz="4" w:space="0" w:color="auto"/>
              <w:left w:val="single" w:sz="4" w:space="0" w:color="auto"/>
              <w:bottom w:val="single" w:sz="4" w:space="0" w:color="auto"/>
              <w:right w:val="single" w:sz="4" w:space="0" w:color="auto"/>
            </w:tcBorders>
            <w:hideMark/>
          </w:tcPr>
          <w:p w14:paraId="6335690E"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 xml:space="preserve">Facilitation in organizing defence with the in-house or external counsel by advising on litigation risks, dispute resolution options, strategic arbitration, available defence and/or possible counter claim. </w:t>
            </w:r>
          </w:p>
        </w:tc>
      </w:tr>
      <w:tr w:rsidR="009B7882" w14:paraId="02B37855" w14:textId="77777777" w:rsidTr="001019DF">
        <w:trPr>
          <w:trHeight w:val="170"/>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54491663" w14:textId="77777777" w:rsidR="009B7882" w:rsidRDefault="009B7882" w:rsidP="001019DF">
            <w:pPr>
              <w:spacing w:before="120" w:after="120"/>
              <w:jc w:val="cente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CB0A7"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41C499"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7F1FD175"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Supporting services on some or all aspects of the dispute resolution process to establish or build upon existing in-house capacity.</w:t>
            </w:r>
          </w:p>
        </w:tc>
      </w:tr>
      <w:tr w:rsidR="009B7882" w14:paraId="4FA4AA78" w14:textId="77777777" w:rsidTr="001019DF">
        <w:trPr>
          <w:trHeight w:val="170"/>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3A1C0E0D" w14:textId="77777777" w:rsidR="009B7882" w:rsidRDefault="009B7882" w:rsidP="001019DF">
            <w:pPr>
              <w:spacing w:before="120" w:after="120"/>
              <w:jc w:val="cente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3D2E7"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CED204"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045BC517"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 xml:space="preserve">Representing fully in the dispute resolution proceedings as playing the lead role in assisting State. </w:t>
            </w:r>
          </w:p>
        </w:tc>
      </w:tr>
      <w:tr w:rsidR="009B7882" w14:paraId="3EFD6481" w14:textId="77777777" w:rsidTr="001019DF">
        <w:trPr>
          <w:trHeight w:val="358"/>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shd w:val="clear" w:color="auto" w:fill="DDD9C3" w:themeFill="background2" w:themeFillShade="E6"/>
            <w:hideMark/>
          </w:tcPr>
          <w:p w14:paraId="7B2C9063" w14:textId="77777777" w:rsidR="009B7882" w:rsidRDefault="009B7882" w:rsidP="001019DF">
            <w:pPr>
              <w:spacing w:before="120" w:after="120"/>
              <w:jc w:val="center"/>
              <w:rPr>
                <w:b w:val="0"/>
                <w:bCs w:val="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AC1B26"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197" w:type="dxa"/>
            <w:vMerge w:val="restart"/>
            <w:tcBorders>
              <w:top w:val="single" w:sz="4" w:space="0" w:color="auto"/>
              <w:left w:val="single" w:sz="4" w:space="0" w:color="auto"/>
              <w:bottom w:val="single" w:sz="4" w:space="0" w:color="auto"/>
              <w:right w:val="single" w:sz="4" w:space="0" w:color="auto"/>
            </w:tcBorders>
            <w:hideMark/>
          </w:tcPr>
          <w:p w14:paraId="209A844E" w14:textId="32C8DAE2"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Assistance in</w:t>
            </w:r>
            <w:r w:rsidR="006652BE">
              <w:t xml:space="preserve"> defence and its </w:t>
            </w:r>
            <w:r>
              <w:t>organiz</w:t>
            </w:r>
            <w:r w:rsidR="006652BE">
              <w:t>ation</w:t>
            </w:r>
            <w:r>
              <w:t xml:space="preserve"> </w:t>
            </w:r>
          </w:p>
        </w:tc>
        <w:tc>
          <w:tcPr>
            <w:tcW w:w="5012" w:type="dxa"/>
            <w:gridSpan w:val="2"/>
            <w:tcBorders>
              <w:top w:val="single" w:sz="4" w:space="0" w:color="auto"/>
              <w:left w:val="single" w:sz="4" w:space="0" w:color="auto"/>
              <w:bottom w:val="single" w:sz="4" w:space="0" w:color="auto"/>
              <w:right w:val="single" w:sz="4" w:space="0" w:color="auto"/>
            </w:tcBorders>
            <w:hideMark/>
          </w:tcPr>
          <w:p w14:paraId="62D275C8" w14:textId="10E0ED22" w:rsidR="009B7882" w:rsidRDefault="006652BE" w:rsidP="001019DF">
            <w:pPr>
              <w:spacing w:before="120" w:after="120"/>
              <w:cnfStyle w:val="000000000000" w:firstRow="0" w:lastRow="0" w:firstColumn="0" w:lastColumn="0" w:oddVBand="0" w:evenVBand="0" w:oddHBand="0" w:evenHBand="0" w:firstRowFirstColumn="0" w:firstRowLastColumn="0" w:lastRowFirstColumn="0" w:lastRowLastColumn="0"/>
            </w:pPr>
            <w:r w:rsidRPr="006652BE">
              <w:t xml:space="preserve">Representation of State beneficiaries </w:t>
            </w:r>
            <w:r w:rsidRPr="006652BE">
              <w:rPr>
                <w:rFonts w:asciiTheme="majorBidi" w:hAnsiTheme="majorBidi" w:cstheme="majorBidi"/>
              </w:rPr>
              <w:t>before any international forum and under any procedural rules</w:t>
            </w:r>
            <w:r w:rsidRPr="006652BE">
              <w:t>, including jointly with the defence team the State Beneficiary where so requested by such Beneficiar</w:t>
            </w:r>
            <w:r>
              <w:t>y</w:t>
            </w:r>
            <w:r w:rsidR="009B7882">
              <w:t>.</w:t>
            </w:r>
          </w:p>
        </w:tc>
      </w:tr>
      <w:tr w:rsidR="006652BE" w14:paraId="1707121D" w14:textId="77777777" w:rsidTr="001019DF">
        <w:trPr>
          <w:trHeight w:val="358"/>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shd w:val="clear" w:color="auto" w:fill="DDD9C3" w:themeFill="background2" w:themeFillShade="E6"/>
          </w:tcPr>
          <w:p w14:paraId="5BB2E99C" w14:textId="77777777" w:rsidR="006652BE" w:rsidRDefault="006652BE" w:rsidP="001019DF">
            <w:pPr>
              <w:spacing w:before="120" w:after="120"/>
              <w:jc w:val="center"/>
              <w:rPr>
                <w:b w:val="0"/>
                <w:bCs w:val="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79B8F2EB" w14:textId="77777777" w:rsidR="006652BE" w:rsidRDefault="006652BE"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197" w:type="dxa"/>
            <w:vMerge/>
            <w:tcBorders>
              <w:top w:val="single" w:sz="4" w:space="0" w:color="auto"/>
              <w:left w:val="single" w:sz="4" w:space="0" w:color="auto"/>
              <w:bottom w:val="single" w:sz="4" w:space="0" w:color="auto"/>
              <w:right w:val="single" w:sz="4" w:space="0" w:color="auto"/>
            </w:tcBorders>
          </w:tcPr>
          <w:p w14:paraId="474C0BC5" w14:textId="77777777" w:rsidR="006652BE" w:rsidRDefault="006652BE" w:rsidP="001019DF">
            <w:pPr>
              <w:spacing w:before="120" w:after="120"/>
              <w:jc w:val="center"/>
              <w:cnfStyle w:val="000000000000" w:firstRow="0" w:lastRow="0" w:firstColumn="0" w:lastColumn="0" w:oddVBand="0" w:evenVBand="0" w:oddHBand="0" w:evenHBand="0" w:firstRowFirstColumn="0" w:firstRowLastColumn="0" w:lastRowFirstColumn="0" w:lastRowLastColumn="0"/>
            </w:pPr>
          </w:p>
        </w:tc>
        <w:tc>
          <w:tcPr>
            <w:tcW w:w="5012" w:type="dxa"/>
            <w:gridSpan w:val="2"/>
            <w:tcBorders>
              <w:top w:val="single" w:sz="4" w:space="0" w:color="auto"/>
              <w:left w:val="single" w:sz="4" w:space="0" w:color="auto"/>
              <w:bottom w:val="single" w:sz="4" w:space="0" w:color="auto"/>
              <w:right w:val="single" w:sz="4" w:space="0" w:color="auto"/>
            </w:tcBorders>
          </w:tcPr>
          <w:p w14:paraId="4B6C5BB5" w14:textId="1A30B005" w:rsidR="006652BE" w:rsidRPr="006652BE" w:rsidRDefault="006652BE" w:rsidP="001019DF">
            <w:pPr>
              <w:spacing w:before="120" w:after="120"/>
              <w:cnfStyle w:val="000000000000" w:firstRow="0" w:lastRow="0" w:firstColumn="0" w:lastColumn="0" w:oddVBand="0" w:evenVBand="0" w:oddHBand="0" w:evenHBand="0" w:firstRowFirstColumn="0" w:firstRowLastColumn="0" w:lastRowFirstColumn="0" w:lastRowLastColumn="0"/>
            </w:pPr>
            <w:r>
              <w:t>Early assessment of the risks associated with a given claim</w:t>
            </w:r>
          </w:p>
        </w:tc>
      </w:tr>
      <w:tr w:rsidR="009B7882" w14:paraId="6932D957" w14:textId="77777777" w:rsidTr="001019DF">
        <w:trPr>
          <w:trHeight w:val="58"/>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1A058374"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90C3C4"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3331C"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71BC8B24"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Advice for the non-disputing treaty parties.</w:t>
            </w:r>
          </w:p>
        </w:tc>
      </w:tr>
      <w:tr w:rsidR="009B7882" w14:paraId="4E5CDAB0" w14:textId="77777777" w:rsidTr="001019DF">
        <w:trPr>
          <w:trHeight w:val="221"/>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5EC8C2C8"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56D3D"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9C9D4B"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254B21CF"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Cooperating with government to ensure the compatibility of the line of defence with the State’s overall approach to and interpretation of its investment commitments.</w:t>
            </w:r>
          </w:p>
        </w:tc>
      </w:tr>
      <w:tr w:rsidR="009B7882" w14:paraId="1C864DF4" w14:textId="77777777" w:rsidTr="001019DF">
        <w:trPr>
          <w:trHeight w:val="221"/>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5B3E7FA2"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B340B2"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C5B426"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759CD438"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Advice on dispute resolution options and/or strategic arbitration centres.</w:t>
            </w:r>
          </w:p>
        </w:tc>
      </w:tr>
      <w:tr w:rsidR="009B7882" w14:paraId="296DE47B" w14:textId="77777777" w:rsidTr="001019DF">
        <w:trPr>
          <w:trHeight w:val="221"/>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67693985"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D07FC7"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2D4AD"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3C65D374"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Assistance to States for the preparation of the defence of investment disputes, including assessment of the strengths and weaknesses of a case on a prima facie basis.</w:t>
            </w:r>
          </w:p>
        </w:tc>
      </w:tr>
      <w:tr w:rsidR="009B7882" w14:paraId="02A50F66" w14:textId="77777777" w:rsidTr="001019DF">
        <w:trPr>
          <w:trHeight w:val="52"/>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77E30644"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7458C3"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E06A3"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12D14DDF"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Determination of the financial implications and earmarking of a budget for the defence of a case.</w:t>
            </w:r>
          </w:p>
        </w:tc>
      </w:tr>
      <w:tr w:rsidR="009B7882" w14:paraId="74B54243" w14:textId="77777777" w:rsidTr="001019DF">
        <w:trPr>
          <w:trHeight w:val="50"/>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114C760D"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599AD4"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959A26"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53476331"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 xml:space="preserve">Assistance in the overall organization for dealing with ISDS. </w:t>
            </w:r>
          </w:p>
        </w:tc>
      </w:tr>
      <w:tr w:rsidR="009B7882" w14:paraId="7D75F515" w14:textId="77777777" w:rsidTr="001019DF">
        <w:trPr>
          <w:trHeight w:val="52"/>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68BC0105"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800040"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197" w:type="dxa"/>
            <w:vMerge w:val="restart"/>
            <w:tcBorders>
              <w:top w:val="single" w:sz="4" w:space="0" w:color="auto"/>
              <w:left w:val="single" w:sz="4" w:space="0" w:color="auto"/>
              <w:bottom w:val="single" w:sz="4" w:space="0" w:color="auto"/>
              <w:right w:val="single" w:sz="4" w:space="0" w:color="auto"/>
            </w:tcBorders>
            <w:hideMark/>
          </w:tcPr>
          <w:p w14:paraId="3C964C26"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Support during dispute settlement proceedings</w:t>
            </w:r>
          </w:p>
        </w:tc>
        <w:tc>
          <w:tcPr>
            <w:tcW w:w="2069" w:type="dxa"/>
            <w:vMerge w:val="restart"/>
            <w:tcBorders>
              <w:top w:val="single" w:sz="4" w:space="0" w:color="auto"/>
              <w:left w:val="single" w:sz="4" w:space="0" w:color="auto"/>
              <w:bottom w:val="single" w:sz="4" w:space="0" w:color="auto"/>
              <w:right w:val="single" w:sz="4" w:space="0" w:color="auto"/>
            </w:tcBorders>
            <w:hideMark/>
          </w:tcPr>
          <w:p w14:paraId="6CF430C8"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Selection and appointment</w:t>
            </w:r>
          </w:p>
        </w:tc>
        <w:tc>
          <w:tcPr>
            <w:tcW w:w="2943" w:type="dxa"/>
            <w:tcBorders>
              <w:top w:val="single" w:sz="4" w:space="0" w:color="auto"/>
              <w:left w:val="single" w:sz="4" w:space="0" w:color="auto"/>
              <w:bottom w:val="single" w:sz="4" w:space="0" w:color="auto"/>
              <w:right w:val="single" w:sz="4" w:space="0" w:color="auto"/>
            </w:tcBorders>
            <w:hideMark/>
          </w:tcPr>
          <w:p w14:paraId="6F0066D5"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Assistance in selecting and appointing the arbitrators/ adjudicators.</w:t>
            </w:r>
          </w:p>
        </w:tc>
      </w:tr>
      <w:tr w:rsidR="009B7882" w14:paraId="23B488CE" w14:textId="77777777" w:rsidTr="001019DF">
        <w:trPr>
          <w:trHeight w:val="52"/>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314822A3"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5925E"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AD011B"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10444B"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943" w:type="dxa"/>
            <w:tcBorders>
              <w:top w:val="single" w:sz="4" w:space="0" w:color="auto"/>
              <w:left w:val="single" w:sz="4" w:space="0" w:color="auto"/>
              <w:bottom w:val="single" w:sz="4" w:space="0" w:color="auto"/>
              <w:right w:val="single" w:sz="4" w:space="0" w:color="auto"/>
            </w:tcBorders>
            <w:hideMark/>
          </w:tcPr>
          <w:p w14:paraId="3118E922"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Assistance regarding procurement of counsel and identification of experts.</w:t>
            </w:r>
          </w:p>
        </w:tc>
      </w:tr>
      <w:tr w:rsidR="009B7882" w14:paraId="2C327E60" w14:textId="77777777" w:rsidTr="001019DF">
        <w:trPr>
          <w:trHeight w:val="433"/>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5FF11D4D"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FE0457"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F950A1"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069" w:type="dxa"/>
            <w:vMerge w:val="restart"/>
            <w:tcBorders>
              <w:top w:val="single" w:sz="4" w:space="0" w:color="auto"/>
              <w:left w:val="single" w:sz="4" w:space="0" w:color="auto"/>
              <w:bottom w:val="single" w:sz="4" w:space="0" w:color="auto"/>
              <w:right w:val="single" w:sz="4" w:space="0" w:color="auto"/>
            </w:tcBorders>
            <w:hideMark/>
          </w:tcPr>
          <w:p w14:paraId="0D96EDDC"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Written statements, documentary evidence</w:t>
            </w:r>
          </w:p>
        </w:tc>
        <w:tc>
          <w:tcPr>
            <w:tcW w:w="2943" w:type="dxa"/>
            <w:tcBorders>
              <w:top w:val="single" w:sz="4" w:space="0" w:color="auto"/>
              <w:left w:val="single" w:sz="4" w:space="0" w:color="auto"/>
              <w:bottom w:val="single" w:sz="4" w:space="0" w:color="auto"/>
              <w:right w:val="single" w:sz="4" w:space="0" w:color="auto"/>
            </w:tcBorders>
            <w:hideMark/>
          </w:tcPr>
          <w:p w14:paraId="722FBB54"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Briefing services and cooperation to in-house defence team of State to prepare high quality documents filed by State.</w:t>
            </w:r>
          </w:p>
        </w:tc>
      </w:tr>
      <w:tr w:rsidR="009B7882" w14:paraId="3ABAB4E0" w14:textId="77777777" w:rsidTr="001019DF">
        <w:trPr>
          <w:trHeight w:val="432"/>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28270244"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8EB8ED"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94E37"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1A6008"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943" w:type="dxa"/>
            <w:tcBorders>
              <w:top w:val="single" w:sz="4" w:space="0" w:color="auto"/>
              <w:left w:val="single" w:sz="4" w:space="0" w:color="auto"/>
              <w:bottom w:val="single" w:sz="4" w:space="0" w:color="auto"/>
              <w:right w:val="single" w:sz="4" w:space="0" w:color="auto"/>
            </w:tcBorders>
            <w:hideMark/>
          </w:tcPr>
          <w:p w14:paraId="4CE2FAC2"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Assistance to State in reviewing documents, conducting witness interviews, researching issues of law, facts and drafting correspondences</w:t>
            </w:r>
          </w:p>
        </w:tc>
      </w:tr>
      <w:tr w:rsidR="009B7882" w14:paraId="7A8FDAB1" w14:textId="77777777" w:rsidTr="001019DF">
        <w:trPr>
          <w:trHeight w:val="52"/>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right w:val="single" w:sz="4" w:space="0" w:color="auto"/>
            </w:tcBorders>
            <w:vAlign w:val="center"/>
            <w:hideMark/>
          </w:tcPr>
          <w:p w14:paraId="27B9CB65"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BCA940"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5C1A2"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069" w:type="dxa"/>
            <w:vMerge w:val="restart"/>
            <w:tcBorders>
              <w:top w:val="single" w:sz="4" w:space="0" w:color="auto"/>
              <w:left w:val="single" w:sz="4" w:space="0" w:color="auto"/>
              <w:bottom w:val="single" w:sz="4" w:space="0" w:color="auto"/>
              <w:right w:val="single" w:sz="4" w:space="0" w:color="auto"/>
            </w:tcBorders>
            <w:hideMark/>
          </w:tcPr>
          <w:p w14:paraId="7CD24554"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Representation at hearings</w:t>
            </w:r>
          </w:p>
        </w:tc>
        <w:tc>
          <w:tcPr>
            <w:tcW w:w="2943" w:type="dxa"/>
            <w:tcBorders>
              <w:top w:val="single" w:sz="4" w:space="0" w:color="auto"/>
              <w:left w:val="single" w:sz="4" w:space="0" w:color="auto"/>
              <w:bottom w:val="single" w:sz="4" w:space="0" w:color="auto"/>
              <w:right w:val="single" w:sz="4" w:space="0" w:color="auto"/>
            </w:tcBorders>
            <w:hideMark/>
          </w:tcPr>
          <w:p w14:paraId="29BAB3C8"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Advice during the procedure as to the arbitrator challenges.</w:t>
            </w:r>
          </w:p>
        </w:tc>
      </w:tr>
      <w:tr w:rsidR="009B7882" w14:paraId="796B770F" w14:textId="77777777" w:rsidTr="001019DF">
        <w:trPr>
          <w:trHeight w:val="432"/>
        </w:trPr>
        <w:tc>
          <w:tcPr>
            <w:cnfStyle w:val="001000000000" w:firstRow="0" w:lastRow="0" w:firstColumn="1" w:lastColumn="0" w:oddVBand="0" w:evenVBand="0" w:oddHBand="0" w:evenHBand="0" w:firstRowFirstColumn="0" w:firstRowLastColumn="0" w:lastRowFirstColumn="0" w:lastRowLastColumn="0"/>
            <w:tcW w:w="532" w:type="dxa"/>
            <w:vMerge/>
            <w:tcBorders>
              <w:left w:val="single" w:sz="4" w:space="0" w:color="auto"/>
              <w:bottom w:val="single" w:sz="4" w:space="0" w:color="auto"/>
              <w:right w:val="single" w:sz="4" w:space="0" w:color="auto"/>
            </w:tcBorders>
            <w:vAlign w:val="center"/>
            <w:hideMark/>
          </w:tcPr>
          <w:p w14:paraId="7BC5ACBC"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80B2FD"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5F7625"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E4421F0"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943" w:type="dxa"/>
            <w:tcBorders>
              <w:top w:val="single" w:sz="4" w:space="0" w:color="auto"/>
              <w:left w:val="single" w:sz="4" w:space="0" w:color="auto"/>
              <w:bottom w:val="single" w:sz="4" w:space="0" w:color="auto"/>
              <w:right w:val="single" w:sz="4" w:space="0" w:color="auto"/>
            </w:tcBorders>
            <w:hideMark/>
          </w:tcPr>
          <w:p w14:paraId="06D6CC62"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Providing high quality legal services as a cost-effective and competitive solution in handling hearing.</w:t>
            </w:r>
          </w:p>
        </w:tc>
      </w:tr>
      <w:tr w:rsidR="009B7882" w14:paraId="6B59A3CE" w14:textId="77777777" w:rsidTr="001019DF">
        <w:trPr>
          <w:trHeight w:val="54"/>
        </w:trPr>
        <w:tc>
          <w:tcPr>
            <w:cnfStyle w:val="001000000000" w:firstRow="0" w:lastRow="0" w:firstColumn="1" w:lastColumn="0" w:oddVBand="0" w:evenVBand="0" w:oddHBand="0" w:evenHBand="0" w:firstRowFirstColumn="0" w:firstRowLastColumn="0" w:lastRowFirstColumn="0" w:lastRowLastColumn="0"/>
            <w:tcW w:w="53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2AC361C7" w14:textId="77777777" w:rsidR="009B7882" w:rsidRDefault="009B7882" w:rsidP="001019DF">
            <w:pPr>
              <w:spacing w:before="120" w:after="120"/>
              <w:jc w:val="center"/>
              <w:rPr>
                <w:b w:val="0"/>
                <w:bCs w:val="0"/>
              </w:rPr>
            </w:pPr>
            <w:r>
              <w:rPr>
                <w:b w:val="0"/>
                <w:bCs w:val="0"/>
              </w:rPr>
              <w:t>4</w:t>
            </w:r>
          </w:p>
        </w:tc>
        <w:tc>
          <w:tcPr>
            <w:tcW w:w="2094" w:type="dxa"/>
            <w:vMerge w:val="restart"/>
            <w:tcBorders>
              <w:top w:val="single" w:sz="4" w:space="0" w:color="auto"/>
              <w:left w:val="single" w:sz="4" w:space="0" w:color="auto"/>
              <w:bottom w:val="single" w:sz="4" w:space="0" w:color="auto"/>
              <w:right w:val="single" w:sz="4" w:space="0" w:color="auto"/>
            </w:tcBorders>
            <w:hideMark/>
          </w:tcPr>
          <w:p w14:paraId="248AD55A"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Legal and policy advisory services</w:t>
            </w:r>
          </w:p>
        </w:tc>
        <w:tc>
          <w:tcPr>
            <w:tcW w:w="2197" w:type="dxa"/>
            <w:vMerge w:val="restart"/>
            <w:tcBorders>
              <w:top w:val="single" w:sz="4" w:space="0" w:color="auto"/>
              <w:left w:val="single" w:sz="4" w:space="0" w:color="auto"/>
              <w:bottom w:val="single" w:sz="4" w:space="0" w:color="auto"/>
              <w:right w:val="single" w:sz="4" w:space="0" w:color="auto"/>
            </w:tcBorders>
            <w:hideMark/>
          </w:tcPr>
          <w:p w14:paraId="7D27B129"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Policy development</w:t>
            </w:r>
          </w:p>
        </w:tc>
        <w:tc>
          <w:tcPr>
            <w:tcW w:w="5012" w:type="dxa"/>
            <w:gridSpan w:val="2"/>
            <w:tcBorders>
              <w:top w:val="single" w:sz="4" w:space="0" w:color="auto"/>
              <w:left w:val="single" w:sz="4" w:space="0" w:color="auto"/>
              <w:bottom w:val="single" w:sz="4" w:space="0" w:color="auto"/>
              <w:right w:val="single" w:sz="4" w:space="0" w:color="auto"/>
            </w:tcBorders>
            <w:hideMark/>
          </w:tcPr>
          <w:p w14:paraId="76C47F6E"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Assistance to States for the review of, and potential amendment to, their international investment instruments.</w:t>
            </w:r>
          </w:p>
        </w:tc>
      </w:tr>
      <w:tr w:rsidR="009B7882" w14:paraId="7B7482A8" w14:textId="77777777" w:rsidTr="001019DF">
        <w:trPr>
          <w:trHeight w:val="131"/>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68EE17FC"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1B0C05"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A8DDC1"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4A5008F5"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Assistance to States regarding the setting-up of conflict management systems, including early dispute prevention policies and alert procedures.</w:t>
            </w:r>
          </w:p>
        </w:tc>
      </w:tr>
      <w:tr w:rsidR="009B7882" w14:paraId="3B5F01EC" w14:textId="77777777" w:rsidTr="001019DF">
        <w:trPr>
          <w:trHeight w:val="54"/>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3FC55733"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F1639"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197" w:type="dxa"/>
            <w:tcBorders>
              <w:top w:val="single" w:sz="4" w:space="0" w:color="auto"/>
              <w:left w:val="single" w:sz="4" w:space="0" w:color="auto"/>
              <w:bottom w:val="single" w:sz="4" w:space="0" w:color="auto"/>
              <w:right w:val="single" w:sz="4" w:space="0" w:color="auto"/>
            </w:tcBorders>
            <w:hideMark/>
          </w:tcPr>
          <w:p w14:paraId="27F44241"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Advisory services</w:t>
            </w:r>
          </w:p>
        </w:tc>
        <w:tc>
          <w:tcPr>
            <w:tcW w:w="5012" w:type="dxa"/>
            <w:gridSpan w:val="2"/>
            <w:tcBorders>
              <w:top w:val="single" w:sz="4" w:space="0" w:color="auto"/>
              <w:left w:val="single" w:sz="4" w:space="0" w:color="auto"/>
              <w:bottom w:val="single" w:sz="4" w:space="0" w:color="auto"/>
              <w:right w:val="single" w:sz="4" w:space="0" w:color="auto"/>
            </w:tcBorders>
            <w:hideMark/>
          </w:tcPr>
          <w:p w14:paraId="609E7E45"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 xml:space="preserve">Legal advice on whether a measure or the contemplated measure would violate treaty obligations </w:t>
            </w:r>
            <w:r>
              <w:lastRenderedPageBreak/>
              <w:t>(which might require considering whether early legal advice by an advisory centre would carry any formal significance).</w:t>
            </w:r>
          </w:p>
        </w:tc>
      </w:tr>
      <w:tr w:rsidR="009B7882" w14:paraId="5E01552E" w14:textId="77777777" w:rsidTr="001019DF">
        <w:trPr>
          <w:trHeight w:val="382"/>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46D980F1"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47EF6"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2197" w:type="dxa"/>
            <w:vMerge w:val="restart"/>
            <w:tcBorders>
              <w:top w:val="single" w:sz="4" w:space="0" w:color="auto"/>
              <w:left w:val="single" w:sz="4" w:space="0" w:color="auto"/>
              <w:bottom w:val="single" w:sz="4" w:space="0" w:color="auto"/>
              <w:right w:val="single" w:sz="4" w:space="0" w:color="auto"/>
            </w:tcBorders>
            <w:hideMark/>
          </w:tcPr>
          <w:p w14:paraId="75F75BEF"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Facilitation and monitoring</w:t>
            </w:r>
          </w:p>
        </w:tc>
        <w:tc>
          <w:tcPr>
            <w:tcW w:w="5012" w:type="dxa"/>
            <w:gridSpan w:val="2"/>
            <w:tcBorders>
              <w:top w:val="single" w:sz="4" w:space="0" w:color="auto"/>
              <w:left w:val="single" w:sz="4" w:space="0" w:color="auto"/>
              <w:bottom w:val="single" w:sz="4" w:space="0" w:color="auto"/>
              <w:right w:val="single" w:sz="4" w:space="0" w:color="auto"/>
            </w:tcBorders>
            <w:hideMark/>
          </w:tcPr>
          <w:p w14:paraId="2D8EE559"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Facilitation of close interaction between defence counsels and treaty negotiators and implementing authorities/ agencies.</w:t>
            </w:r>
          </w:p>
        </w:tc>
      </w:tr>
      <w:tr w:rsidR="009B7882" w14:paraId="4E43D399" w14:textId="77777777" w:rsidTr="001019DF">
        <w:trPr>
          <w:trHeight w:val="52"/>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742DBB58"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7925EB"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06117"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24899C74"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Serving as a platform for future monitoring and discussion for all stakeholders.</w:t>
            </w:r>
          </w:p>
        </w:tc>
      </w:tr>
      <w:tr w:rsidR="009B7882" w14:paraId="2B88F5D3" w14:textId="77777777" w:rsidTr="001019DF">
        <w:trPr>
          <w:trHeight w:val="73"/>
        </w:trPr>
        <w:tc>
          <w:tcPr>
            <w:cnfStyle w:val="001000000000" w:firstRow="0" w:lastRow="0" w:firstColumn="1" w:lastColumn="0" w:oddVBand="0" w:evenVBand="0" w:oddHBand="0" w:evenHBand="0" w:firstRowFirstColumn="0" w:firstRowLastColumn="0" w:lastRowFirstColumn="0" w:lastRowLastColumn="0"/>
            <w:tcW w:w="532" w:type="dxa"/>
            <w:vMerge w:val="restart"/>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14:paraId="1B197D09" w14:textId="77777777" w:rsidR="009B7882" w:rsidRDefault="009B7882" w:rsidP="001019DF">
            <w:pPr>
              <w:spacing w:before="120" w:after="120"/>
              <w:jc w:val="center"/>
              <w:rPr>
                <w:b w:val="0"/>
                <w:bCs w:val="0"/>
              </w:rPr>
            </w:pPr>
            <w:r>
              <w:rPr>
                <w:b w:val="0"/>
                <w:bCs w:val="0"/>
              </w:rPr>
              <w:t>5</w:t>
            </w:r>
          </w:p>
        </w:tc>
        <w:tc>
          <w:tcPr>
            <w:tcW w:w="2094" w:type="dxa"/>
            <w:vMerge w:val="restart"/>
            <w:tcBorders>
              <w:top w:val="single" w:sz="4" w:space="0" w:color="auto"/>
              <w:left w:val="single" w:sz="4" w:space="0" w:color="auto"/>
              <w:bottom w:val="single" w:sz="4" w:space="0" w:color="auto"/>
              <w:right w:val="single" w:sz="4" w:space="0" w:color="auto"/>
            </w:tcBorders>
            <w:hideMark/>
          </w:tcPr>
          <w:p w14:paraId="3BDE7DB0"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rPr>
                <w:b/>
                <w:bCs/>
              </w:rPr>
            </w:pPr>
            <w:r>
              <w:t>Capacity building and sharing of best practices.</w:t>
            </w:r>
          </w:p>
        </w:tc>
        <w:tc>
          <w:tcPr>
            <w:tcW w:w="2197" w:type="dxa"/>
            <w:vMerge w:val="restart"/>
            <w:tcBorders>
              <w:top w:val="single" w:sz="4" w:space="0" w:color="auto"/>
              <w:left w:val="single" w:sz="4" w:space="0" w:color="auto"/>
              <w:bottom w:val="single" w:sz="4" w:space="0" w:color="auto"/>
              <w:right w:val="single" w:sz="4" w:space="0" w:color="auto"/>
            </w:tcBorders>
            <w:hideMark/>
          </w:tcPr>
          <w:p w14:paraId="6188A459"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Capacity building</w:t>
            </w:r>
          </w:p>
        </w:tc>
        <w:tc>
          <w:tcPr>
            <w:tcW w:w="5012" w:type="dxa"/>
            <w:gridSpan w:val="2"/>
            <w:tcBorders>
              <w:top w:val="single" w:sz="4" w:space="0" w:color="auto"/>
              <w:left w:val="single" w:sz="4" w:space="0" w:color="auto"/>
              <w:bottom w:val="single" w:sz="4" w:space="0" w:color="auto"/>
              <w:right w:val="single" w:sz="4" w:space="0" w:color="auto"/>
            </w:tcBorders>
            <w:hideMark/>
          </w:tcPr>
          <w:p w14:paraId="5215DB40"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Capacity of building of the government lawyers to take responsibility for future cases.</w:t>
            </w:r>
          </w:p>
        </w:tc>
      </w:tr>
      <w:tr w:rsidR="009B7882" w14:paraId="6F2A201D" w14:textId="77777777" w:rsidTr="001019DF">
        <w:trPr>
          <w:trHeight w:val="87"/>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404B75BF"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F0EEEA"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0A4846"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748360EB"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Training of government officials, including in treaty negotiations and the interpretation of investment obligations.</w:t>
            </w:r>
          </w:p>
        </w:tc>
      </w:tr>
      <w:tr w:rsidR="009B7882" w14:paraId="5104AF00" w14:textId="77777777" w:rsidTr="001019DF">
        <w:trPr>
          <w:trHeight w:val="50"/>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3E1EE568"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539DC6"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D88A5A"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3A4054DF"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Offering trainee and secondment positions to allow first-hand experience on ISDS cases, and by providing information on ISDS, including managing a database of cases, creating awareness on potential investment claims, and enhancing readiness to respond.</w:t>
            </w:r>
          </w:p>
        </w:tc>
      </w:tr>
      <w:tr w:rsidR="009B7882" w14:paraId="2EA8B40D" w14:textId="77777777" w:rsidTr="001019DF">
        <w:trPr>
          <w:trHeight w:val="639"/>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3BBA717C"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A07DC1"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2197" w:type="dxa"/>
            <w:vMerge w:val="restart"/>
            <w:tcBorders>
              <w:top w:val="single" w:sz="4" w:space="0" w:color="auto"/>
              <w:left w:val="single" w:sz="4" w:space="0" w:color="auto"/>
              <w:bottom w:val="single" w:sz="4" w:space="0" w:color="auto"/>
              <w:right w:val="single" w:sz="4" w:space="0" w:color="auto"/>
            </w:tcBorders>
            <w:hideMark/>
          </w:tcPr>
          <w:p w14:paraId="7A0561E6"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Knowledge sharing</w:t>
            </w:r>
          </w:p>
        </w:tc>
        <w:tc>
          <w:tcPr>
            <w:tcW w:w="5012" w:type="dxa"/>
            <w:gridSpan w:val="2"/>
            <w:tcBorders>
              <w:top w:val="single" w:sz="4" w:space="0" w:color="auto"/>
              <w:left w:val="single" w:sz="4" w:space="0" w:color="auto"/>
              <w:bottom w:val="single" w:sz="4" w:space="0" w:color="auto"/>
              <w:right w:val="single" w:sz="4" w:space="0" w:color="auto"/>
            </w:tcBorders>
            <w:hideMark/>
          </w:tcPr>
          <w:p w14:paraId="3B89C072"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Promotion of exchange of experience and expertise regarding the evaluation of arbitrator/ adjudicators services.</w:t>
            </w:r>
          </w:p>
        </w:tc>
      </w:tr>
      <w:tr w:rsidR="009B7882" w14:paraId="28F8AA32" w14:textId="77777777" w:rsidTr="001019DF">
        <w:trPr>
          <w:trHeight w:val="52"/>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19101A03"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29CEA"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0A7CD8"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5F646161"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Contribution in compiling, organizing disseminating existing resources to relevant government officials as a way to coordinate the sharing of best practices and information.</w:t>
            </w:r>
          </w:p>
        </w:tc>
      </w:tr>
      <w:tr w:rsidR="009B7882" w14:paraId="709C2009" w14:textId="77777777" w:rsidTr="001019DF">
        <w:trPr>
          <w:trHeight w:val="52"/>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66A5FF7A"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46D7D2"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D2475C"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07089DD8"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Assistance regarding best practices for States on dispute prevention and mitigation</w:t>
            </w:r>
            <w:r>
              <w:rPr>
                <w:rFonts w:eastAsia="Calibri"/>
                <w:lang w:val="en-GB"/>
              </w:rPr>
              <w:t xml:space="preserve"> across multiple institutions.</w:t>
            </w:r>
          </w:p>
        </w:tc>
      </w:tr>
      <w:tr w:rsidR="009B7882" w14:paraId="45E90529" w14:textId="77777777" w:rsidTr="001019DF">
        <w:trPr>
          <w:trHeight w:val="52"/>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3085FECB"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8C7F99"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2197" w:type="dxa"/>
            <w:vMerge w:val="restart"/>
            <w:tcBorders>
              <w:top w:val="single" w:sz="4" w:space="0" w:color="auto"/>
              <w:left w:val="single" w:sz="4" w:space="0" w:color="auto"/>
              <w:bottom w:val="single" w:sz="4" w:space="0" w:color="auto"/>
              <w:right w:val="single" w:sz="4" w:space="0" w:color="auto"/>
            </w:tcBorders>
            <w:hideMark/>
          </w:tcPr>
          <w:p w14:paraId="6C07DFDB" w14:textId="77777777" w:rsidR="009B7882" w:rsidRDefault="009B7882" w:rsidP="001019DF">
            <w:pPr>
              <w:spacing w:before="120" w:after="120"/>
              <w:jc w:val="center"/>
              <w:cnfStyle w:val="000000000000" w:firstRow="0" w:lastRow="0" w:firstColumn="0" w:lastColumn="0" w:oddVBand="0" w:evenVBand="0" w:oddHBand="0" w:evenHBand="0" w:firstRowFirstColumn="0" w:firstRowLastColumn="0" w:lastRowFirstColumn="0" w:lastRowLastColumn="0"/>
            </w:pPr>
            <w:r>
              <w:t>Repository of information</w:t>
            </w:r>
          </w:p>
        </w:tc>
        <w:tc>
          <w:tcPr>
            <w:tcW w:w="5012" w:type="dxa"/>
            <w:gridSpan w:val="2"/>
            <w:tcBorders>
              <w:top w:val="single" w:sz="4" w:space="0" w:color="auto"/>
              <w:left w:val="single" w:sz="4" w:space="0" w:color="auto"/>
              <w:bottom w:val="single" w:sz="4" w:space="0" w:color="auto"/>
              <w:right w:val="single" w:sz="4" w:space="0" w:color="auto"/>
            </w:tcBorders>
            <w:hideMark/>
          </w:tcPr>
          <w:p w14:paraId="0523B525"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Establishment of a comprehensive database of potential arbitrators/adjudicators, mediators as well as experts with complete and up-to-date profiles available to respondent States.</w:t>
            </w:r>
          </w:p>
        </w:tc>
      </w:tr>
      <w:tr w:rsidR="009B7882" w14:paraId="1AB780C2" w14:textId="77777777" w:rsidTr="001019DF">
        <w:trPr>
          <w:trHeight w:val="50"/>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1777E2FE"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4BEFBB"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8C163"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3D5FAE89"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Data collections and functions as a centralized repository of information.</w:t>
            </w:r>
          </w:p>
        </w:tc>
      </w:tr>
      <w:tr w:rsidR="009B7882" w14:paraId="52DC29F6" w14:textId="77777777" w:rsidTr="001019DF">
        <w:trPr>
          <w:trHeight w:val="50"/>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0CD354CB"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6899B5"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DD83CE"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lang w:eastAsia="zh-CN"/>
              </w:rPr>
            </w:pPr>
          </w:p>
        </w:tc>
        <w:tc>
          <w:tcPr>
            <w:tcW w:w="5012" w:type="dxa"/>
            <w:gridSpan w:val="2"/>
            <w:tcBorders>
              <w:top w:val="single" w:sz="4" w:space="0" w:color="auto"/>
              <w:left w:val="single" w:sz="4" w:space="0" w:color="auto"/>
              <w:bottom w:val="single" w:sz="4" w:space="0" w:color="auto"/>
              <w:right w:val="single" w:sz="4" w:space="0" w:color="auto"/>
            </w:tcBorders>
            <w:hideMark/>
          </w:tcPr>
          <w:p w14:paraId="4A164183"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Acting as “a resource for governments” providing information as to where, from whom and at what cost, the assistances of existing mechanisms are available in specific context.</w:t>
            </w:r>
          </w:p>
        </w:tc>
      </w:tr>
      <w:tr w:rsidR="009B7882" w14:paraId="6B4C82F2" w14:textId="77777777" w:rsidTr="001019DF">
        <w:trPr>
          <w:trHeight w:val="50"/>
        </w:trPr>
        <w:tc>
          <w:tcPr>
            <w:cnfStyle w:val="001000000000" w:firstRow="0" w:lastRow="0" w:firstColumn="1" w:lastColumn="0" w:oddVBand="0" w:evenVBand="0" w:oddHBand="0" w:evenHBand="0" w:firstRowFirstColumn="0" w:firstRowLastColumn="0" w:lastRowFirstColumn="0" w:lastRowLastColumn="0"/>
            <w:tcW w:w="532" w:type="dxa"/>
            <w:vMerge/>
            <w:tcBorders>
              <w:top w:val="single" w:sz="4" w:space="0" w:color="auto"/>
              <w:left w:val="single" w:sz="4" w:space="0" w:color="auto"/>
              <w:bottom w:val="single" w:sz="4" w:space="0" w:color="auto"/>
              <w:right w:val="single" w:sz="4" w:space="0" w:color="auto"/>
            </w:tcBorders>
            <w:vAlign w:val="center"/>
            <w:hideMark/>
          </w:tcPr>
          <w:p w14:paraId="6342A75E" w14:textId="77777777" w:rsidR="009B7882" w:rsidRDefault="009B7882" w:rsidP="001019DF">
            <w:pPr>
              <w:rPr>
                <w:lang w:eastAsia="zh-C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BBBA9" w14:textId="77777777" w:rsidR="009B7882" w:rsidRDefault="009B7882" w:rsidP="001019DF">
            <w:pPr>
              <w:cnfStyle w:val="000000000000" w:firstRow="0" w:lastRow="0" w:firstColumn="0" w:lastColumn="0" w:oddVBand="0" w:evenVBand="0" w:oddHBand="0" w:evenHBand="0" w:firstRowFirstColumn="0" w:firstRowLastColumn="0" w:lastRowFirstColumn="0" w:lastRowLastColumn="0"/>
              <w:rPr>
                <w:b/>
                <w:bCs/>
                <w:lang w:eastAsia="zh-CN"/>
              </w:rPr>
            </w:pPr>
          </w:p>
        </w:tc>
        <w:tc>
          <w:tcPr>
            <w:tcW w:w="2197" w:type="dxa"/>
            <w:tcBorders>
              <w:top w:val="single" w:sz="4" w:space="0" w:color="auto"/>
              <w:left w:val="single" w:sz="4" w:space="0" w:color="auto"/>
              <w:bottom w:val="single" w:sz="4" w:space="0" w:color="auto"/>
              <w:right w:val="single" w:sz="4" w:space="0" w:color="auto"/>
            </w:tcBorders>
            <w:hideMark/>
          </w:tcPr>
          <w:p w14:paraId="35FAF532"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 xml:space="preserve">Additional services </w:t>
            </w:r>
          </w:p>
        </w:tc>
        <w:tc>
          <w:tcPr>
            <w:tcW w:w="5012" w:type="dxa"/>
            <w:gridSpan w:val="2"/>
            <w:tcBorders>
              <w:top w:val="single" w:sz="4" w:space="0" w:color="auto"/>
              <w:left w:val="single" w:sz="4" w:space="0" w:color="auto"/>
              <w:bottom w:val="single" w:sz="4" w:space="0" w:color="auto"/>
              <w:right w:val="single" w:sz="4" w:space="0" w:color="auto"/>
            </w:tcBorders>
            <w:hideMark/>
          </w:tcPr>
          <w:p w14:paraId="779D5ED8" w14:textId="77777777" w:rsidR="009B7882" w:rsidRDefault="009B7882" w:rsidP="001019DF">
            <w:pPr>
              <w:spacing w:before="120" w:after="120"/>
              <w:cnfStyle w:val="000000000000" w:firstRow="0" w:lastRow="0" w:firstColumn="0" w:lastColumn="0" w:oddVBand="0" w:evenVBand="0" w:oddHBand="0" w:evenHBand="0" w:firstRowFirstColumn="0" w:firstRowLastColumn="0" w:lastRowFirstColumn="0" w:lastRowLastColumn="0"/>
            </w:pPr>
            <w:r>
              <w:t xml:space="preserve">Any other additional services that could be provided through appropriate means. </w:t>
            </w:r>
          </w:p>
        </w:tc>
      </w:tr>
    </w:tbl>
    <w:p w14:paraId="71486F21" w14:textId="77777777" w:rsidR="009B7882" w:rsidRPr="008C3C79" w:rsidRDefault="009B7882" w:rsidP="009B7882">
      <w:pPr>
        <w:pStyle w:val="SingleTxt"/>
        <w:ind w:left="0"/>
        <w:rPr>
          <w:rFonts w:asciiTheme="majorBidi" w:hAnsiTheme="majorBidi" w:cstheme="majorBidi"/>
          <w:b/>
          <w:bCs/>
          <w:sz w:val="24"/>
          <w:szCs w:val="24"/>
          <w:u w:val="single"/>
        </w:rPr>
      </w:pPr>
    </w:p>
    <w:p w14:paraId="0285CD4D" w14:textId="77777777" w:rsidR="009B7882" w:rsidRPr="009B7882" w:rsidRDefault="009B7882" w:rsidP="009B7882">
      <w:pPr>
        <w:pStyle w:val="SingleTxt"/>
        <w:ind w:left="0"/>
        <w:rPr>
          <w:rFonts w:asciiTheme="majorBidi" w:hAnsiTheme="majorBidi" w:cstheme="majorBidi"/>
          <w:sz w:val="24"/>
          <w:szCs w:val="24"/>
        </w:rPr>
      </w:pPr>
    </w:p>
    <w:p w14:paraId="6024489E" w14:textId="6B02BFA5" w:rsidR="009B7882" w:rsidRDefault="009B7882" w:rsidP="009B7882">
      <w:pPr>
        <w:pStyle w:val="SingleTxt"/>
        <w:ind w:left="0"/>
        <w:rPr>
          <w:rFonts w:asciiTheme="majorBidi" w:hAnsiTheme="majorBidi" w:cstheme="majorBidi"/>
          <w:b/>
          <w:bCs/>
          <w:sz w:val="24"/>
          <w:szCs w:val="24"/>
          <w:u w:val="single"/>
        </w:rPr>
      </w:pPr>
    </w:p>
    <w:p w14:paraId="3CB51538" w14:textId="194F7F6C" w:rsidR="009B7882" w:rsidRDefault="009B7882" w:rsidP="009B7882">
      <w:pPr>
        <w:pStyle w:val="SingleTxt"/>
        <w:ind w:left="0"/>
        <w:rPr>
          <w:rFonts w:asciiTheme="majorBidi" w:hAnsiTheme="majorBidi" w:cstheme="majorBidi"/>
          <w:b/>
          <w:bCs/>
          <w:sz w:val="24"/>
          <w:szCs w:val="24"/>
          <w:u w:val="single"/>
        </w:rPr>
      </w:pPr>
    </w:p>
    <w:p w14:paraId="4705DFFA" w14:textId="1F90E11E" w:rsidR="009B7882" w:rsidRDefault="009B7882" w:rsidP="009B7882">
      <w:pPr>
        <w:pStyle w:val="SingleTxt"/>
        <w:jc w:val="center"/>
        <w:outlineLvl w:val="2"/>
        <w:rPr>
          <w:rFonts w:asciiTheme="majorBidi" w:hAnsiTheme="majorBidi" w:cstheme="majorBidi"/>
          <w:b/>
          <w:bCs/>
          <w:sz w:val="24"/>
          <w:szCs w:val="24"/>
          <w:u w:val="single"/>
        </w:rPr>
      </w:pPr>
      <w:bookmarkStart w:id="10" w:name="_Toc63421281"/>
      <w:r>
        <w:rPr>
          <w:rFonts w:asciiTheme="majorBidi" w:hAnsiTheme="majorBidi" w:cstheme="majorBidi"/>
          <w:b/>
          <w:bCs/>
          <w:sz w:val="24"/>
          <w:szCs w:val="24"/>
          <w:u w:val="single"/>
        </w:rPr>
        <w:t>Annex 2 - Chart on Beneficiaries of services</w:t>
      </w:r>
      <w:bookmarkEnd w:id="10"/>
    </w:p>
    <w:p w14:paraId="476E5246" w14:textId="77777777" w:rsidR="009B7882" w:rsidRDefault="009B7882" w:rsidP="009B7882">
      <w:pPr>
        <w:pStyle w:val="SingleTxt"/>
        <w:jc w:val="center"/>
        <w:rPr>
          <w:rFonts w:asciiTheme="majorBidi" w:hAnsiTheme="majorBidi" w:cstheme="majorBidi"/>
          <w:b/>
          <w:bCs/>
          <w:sz w:val="24"/>
          <w:szCs w:val="24"/>
          <w:u w:val="single"/>
        </w:rPr>
      </w:pPr>
    </w:p>
    <w:p w14:paraId="6E571E7E" w14:textId="77777777" w:rsidR="009B7882" w:rsidRDefault="009B7882" w:rsidP="009B7882">
      <w:pPr>
        <w:rPr>
          <w:rFonts w:ascii="Helvetica" w:hAnsi="Helvetica"/>
        </w:rPr>
      </w:pPr>
    </w:p>
    <w:tbl>
      <w:tblPr>
        <w:tblStyle w:val="TableGridLight"/>
        <w:tblW w:w="9173" w:type="dxa"/>
        <w:tblInd w:w="704" w:type="dxa"/>
        <w:tblLook w:val="04A0" w:firstRow="1" w:lastRow="0" w:firstColumn="1" w:lastColumn="0" w:noHBand="0" w:noVBand="1"/>
      </w:tblPr>
      <w:tblGrid>
        <w:gridCol w:w="2008"/>
        <w:gridCol w:w="2098"/>
        <w:gridCol w:w="1614"/>
        <w:gridCol w:w="1366"/>
        <w:gridCol w:w="1294"/>
        <w:gridCol w:w="793"/>
      </w:tblGrid>
      <w:tr w:rsidR="009B7882" w14:paraId="3ED769A4" w14:textId="77777777" w:rsidTr="001019DF">
        <w:trPr>
          <w:trHeight w:val="810"/>
        </w:trPr>
        <w:tc>
          <w:tcPr>
            <w:tcW w:w="4473" w:type="dxa"/>
            <w:gridSpan w:val="2"/>
          </w:tcPr>
          <w:p w14:paraId="1F39CA87" w14:textId="77777777" w:rsidR="009B7882" w:rsidRDefault="009B7882" w:rsidP="001019DF">
            <w:pPr>
              <w:rPr>
                <w:rFonts w:ascii="Helvetica" w:hAnsi="Helvetica"/>
              </w:rPr>
            </w:pPr>
          </w:p>
        </w:tc>
        <w:tc>
          <w:tcPr>
            <w:tcW w:w="1695" w:type="dxa"/>
            <w:vAlign w:val="center"/>
          </w:tcPr>
          <w:p w14:paraId="071B4F2C" w14:textId="77777777" w:rsidR="009B7882" w:rsidRPr="00FA6A56" w:rsidRDefault="009B7882" w:rsidP="001019DF">
            <w:pPr>
              <w:jc w:val="center"/>
              <w:rPr>
                <w:rFonts w:ascii="Helvetica" w:hAnsi="Helvetica"/>
                <w:b/>
                <w:bCs/>
              </w:rPr>
            </w:pPr>
            <w:r w:rsidRPr="00FA6A56">
              <w:rPr>
                <w:rFonts w:ascii="Helvetica" w:hAnsi="Helvetica"/>
                <w:b/>
                <w:bCs/>
              </w:rPr>
              <w:t>Least-Developed Countries (LDC)</w:t>
            </w:r>
          </w:p>
        </w:tc>
        <w:tc>
          <w:tcPr>
            <w:tcW w:w="1205" w:type="dxa"/>
            <w:vAlign w:val="center"/>
          </w:tcPr>
          <w:p w14:paraId="3DB91251" w14:textId="77777777" w:rsidR="009B7882" w:rsidRPr="00FA6A56" w:rsidRDefault="009B7882" w:rsidP="001019DF">
            <w:pPr>
              <w:jc w:val="center"/>
              <w:rPr>
                <w:rFonts w:ascii="Helvetica" w:hAnsi="Helvetica"/>
                <w:b/>
                <w:bCs/>
              </w:rPr>
            </w:pPr>
            <w:r w:rsidRPr="00FA6A56">
              <w:rPr>
                <w:rFonts w:ascii="Helvetica" w:hAnsi="Helvetica"/>
                <w:b/>
                <w:bCs/>
              </w:rPr>
              <w:t>Developing Countries</w:t>
            </w:r>
          </w:p>
        </w:tc>
        <w:tc>
          <w:tcPr>
            <w:tcW w:w="1116" w:type="dxa"/>
            <w:vAlign w:val="center"/>
          </w:tcPr>
          <w:p w14:paraId="00008446" w14:textId="77777777" w:rsidR="009B7882" w:rsidRPr="00FA6A56" w:rsidRDefault="009B7882" w:rsidP="001019DF">
            <w:pPr>
              <w:jc w:val="center"/>
              <w:rPr>
                <w:rFonts w:ascii="Helvetica" w:hAnsi="Helvetica"/>
                <w:b/>
                <w:bCs/>
              </w:rPr>
            </w:pPr>
            <w:r w:rsidRPr="00FA6A56">
              <w:rPr>
                <w:rFonts w:ascii="Helvetica" w:hAnsi="Helvetica"/>
                <w:b/>
                <w:bCs/>
              </w:rPr>
              <w:t>Developed Countries</w:t>
            </w:r>
          </w:p>
        </w:tc>
        <w:tc>
          <w:tcPr>
            <w:tcW w:w="684" w:type="dxa"/>
            <w:vAlign w:val="center"/>
          </w:tcPr>
          <w:p w14:paraId="2EDF128D" w14:textId="77777777" w:rsidR="009B7882" w:rsidRPr="00FA6A56" w:rsidRDefault="009B7882" w:rsidP="001019DF">
            <w:pPr>
              <w:jc w:val="center"/>
              <w:rPr>
                <w:rFonts w:ascii="Helvetica" w:hAnsi="Helvetica"/>
                <w:b/>
                <w:bCs/>
              </w:rPr>
            </w:pPr>
            <w:r w:rsidRPr="00FA6A56">
              <w:rPr>
                <w:rFonts w:ascii="Helvetica" w:hAnsi="Helvetica"/>
                <w:b/>
                <w:bCs/>
              </w:rPr>
              <w:t>SMEs</w:t>
            </w:r>
          </w:p>
        </w:tc>
      </w:tr>
      <w:tr w:rsidR="009B7882" w14:paraId="5E21650F" w14:textId="77777777" w:rsidTr="001019DF">
        <w:trPr>
          <w:trHeight w:val="538"/>
        </w:trPr>
        <w:tc>
          <w:tcPr>
            <w:tcW w:w="4473" w:type="dxa"/>
            <w:gridSpan w:val="2"/>
            <w:vAlign w:val="center"/>
          </w:tcPr>
          <w:p w14:paraId="68FC859A" w14:textId="77777777" w:rsidR="009B7882" w:rsidRPr="00FA6A56" w:rsidRDefault="009B7882" w:rsidP="001019DF">
            <w:pPr>
              <w:jc w:val="center"/>
              <w:rPr>
                <w:rFonts w:ascii="Helvetica" w:hAnsi="Helvetica"/>
                <w:b/>
                <w:bCs/>
              </w:rPr>
            </w:pPr>
            <w:r w:rsidRPr="00FA6A56">
              <w:rPr>
                <w:rFonts w:ascii="Helvetica" w:hAnsi="Helvetica"/>
                <w:b/>
                <w:bCs/>
              </w:rPr>
              <w:t>Pre-dispute and dispute avoidance services</w:t>
            </w:r>
          </w:p>
        </w:tc>
        <w:tc>
          <w:tcPr>
            <w:tcW w:w="1695" w:type="dxa"/>
            <w:vAlign w:val="center"/>
          </w:tcPr>
          <w:p w14:paraId="3A9E5AA9" w14:textId="77777777" w:rsidR="009B7882" w:rsidRPr="004E2B09" w:rsidRDefault="009B7882" w:rsidP="001019DF">
            <w:pPr>
              <w:jc w:val="center"/>
              <w:rPr>
                <w:rFonts w:ascii="Helvetica" w:hAnsi="Helvetica"/>
              </w:rPr>
            </w:pPr>
            <w:r w:rsidRPr="004E2B09">
              <w:rPr>
                <w:rFonts w:ascii="Helvetica" w:hAnsi="Helvetica"/>
              </w:rPr>
              <w:t>X</w:t>
            </w:r>
          </w:p>
        </w:tc>
        <w:tc>
          <w:tcPr>
            <w:tcW w:w="1205" w:type="dxa"/>
            <w:vAlign w:val="center"/>
          </w:tcPr>
          <w:p w14:paraId="6808C694" w14:textId="77777777" w:rsidR="009B7882" w:rsidRPr="004E2B09" w:rsidRDefault="009B7882" w:rsidP="001019DF">
            <w:pPr>
              <w:jc w:val="center"/>
              <w:rPr>
                <w:rFonts w:ascii="Helvetica" w:hAnsi="Helvetica"/>
              </w:rPr>
            </w:pPr>
            <w:r>
              <w:rPr>
                <w:rFonts w:ascii="Helvetica" w:hAnsi="Helvetica"/>
              </w:rPr>
              <w:t>X</w:t>
            </w:r>
          </w:p>
        </w:tc>
        <w:tc>
          <w:tcPr>
            <w:tcW w:w="1116" w:type="dxa"/>
            <w:vAlign w:val="center"/>
          </w:tcPr>
          <w:p w14:paraId="33B71D05" w14:textId="77777777" w:rsidR="009B7882" w:rsidRDefault="009B7882" w:rsidP="001019DF">
            <w:pPr>
              <w:jc w:val="center"/>
              <w:rPr>
                <w:rFonts w:ascii="Helvetica" w:hAnsi="Helvetica"/>
              </w:rPr>
            </w:pPr>
          </w:p>
        </w:tc>
        <w:tc>
          <w:tcPr>
            <w:tcW w:w="684" w:type="dxa"/>
            <w:vAlign w:val="center"/>
          </w:tcPr>
          <w:p w14:paraId="12E108F5" w14:textId="77777777" w:rsidR="009B7882" w:rsidRDefault="009B7882" w:rsidP="001019DF">
            <w:pPr>
              <w:jc w:val="center"/>
              <w:rPr>
                <w:rFonts w:ascii="Helvetica" w:hAnsi="Helvetica"/>
              </w:rPr>
            </w:pPr>
          </w:p>
        </w:tc>
      </w:tr>
      <w:tr w:rsidR="009B7882" w14:paraId="0A192C91" w14:textId="77777777" w:rsidTr="001019DF">
        <w:trPr>
          <w:trHeight w:val="743"/>
        </w:trPr>
        <w:tc>
          <w:tcPr>
            <w:tcW w:w="4473" w:type="dxa"/>
            <w:gridSpan w:val="2"/>
            <w:vAlign w:val="center"/>
          </w:tcPr>
          <w:p w14:paraId="422EEA48" w14:textId="77777777" w:rsidR="009B7882" w:rsidRPr="00FA6A56" w:rsidRDefault="009B7882" w:rsidP="001019DF">
            <w:pPr>
              <w:jc w:val="center"/>
              <w:rPr>
                <w:rFonts w:ascii="Helvetica" w:hAnsi="Helvetica"/>
                <w:b/>
                <w:bCs/>
              </w:rPr>
            </w:pPr>
            <w:r w:rsidRPr="00FA6A56">
              <w:rPr>
                <w:rFonts w:ascii="Helvetica" w:hAnsi="Helvetica"/>
                <w:b/>
                <w:bCs/>
              </w:rPr>
              <w:t>Mediation and other alternative dispute resolution (ADR) methods</w:t>
            </w:r>
          </w:p>
        </w:tc>
        <w:tc>
          <w:tcPr>
            <w:tcW w:w="1695" w:type="dxa"/>
            <w:vAlign w:val="center"/>
          </w:tcPr>
          <w:p w14:paraId="1CDEB356" w14:textId="77777777" w:rsidR="009B7882" w:rsidRPr="004E2B09" w:rsidRDefault="009B7882" w:rsidP="001019DF">
            <w:pPr>
              <w:jc w:val="center"/>
              <w:rPr>
                <w:rFonts w:ascii="Helvetica" w:hAnsi="Helvetica"/>
              </w:rPr>
            </w:pPr>
            <w:r w:rsidRPr="004E2B09">
              <w:rPr>
                <w:rFonts w:ascii="Helvetica" w:hAnsi="Helvetica"/>
              </w:rPr>
              <w:t>X</w:t>
            </w:r>
          </w:p>
        </w:tc>
        <w:tc>
          <w:tcPr>
            <w:tcW w:w="1205" w:type="dxa"/>
            <w:vAlign w:val="center"/>
          </w:tcPr>
          <w:p w14:paraId="2692A24A" w14:textId="77777777" w:rsidR="009B7882" w:rsidRPr="004E2B09" w:rsidRDefault="009B7882" w:rsidP="001019DF">
            <w:pPr>
              <w:jc w:val="center"/>
              <w:rPr>
                <w:rFonts w:ascii="Helvetica" w:hAnsi="Helvetica"/>
              </w:rPr>
            </w:pPr>
            <w:r>
              <w:rPr>
                <w:rFonts w:ascii="Helvetica" w:hAnsi="Helvetica"/>
              </w:rPr>
              <w:t>X</w:t>
            </w:r>
          </w:p>
        </w:tc>
        <w:tc>
          <w:tcPr>
            <w:tcW w:w="1116" w:type="dxa"/>
            <w:vAlign w:val="center"/>
          </w:tcPr>
          <w:p w14:paraId="6268C5A0" w14:textId="77777777" w:rsidR="009B7882" w:rsidRDefault="009B7882" w:rsidP="001019DF">
            <w:pPr>
              <w:jc w:val="center"/>
              <w:rPr>
                <w:rFonts w:ascii="Helvetica" w:hAnsi="Helvetica"/>
              </w:rPr>
            </w:pPr>
          </w:p>
        </w:tc>
        <w:tc>
          <w:tcPr>
            <w:tcW w:w="684" w:type="dxa"/>
            <w:vAlign w:val="center"/>
          </w:tcPr>
          <w:p w14:paraId="687275AC" w14:textId="77777777" w:rsidR="009B7882" w:rsidRDefault="009B7882" w:rsidP="001019DF">
            <w:pPr>
              <w:jc w:val="center"/>
              <w:rPr>
                <w:rFonts w:ascii="Helvetica" w:hAnsi="Helvetica"/>
              </w:rPr>
            </w:pPr>
          </w:p>
        </w:tc>
      </w:tr>
      <w:tr w:rsidR="009B7882" w14:paraId="64134D07" w14:textId="77777777" w:rsidTr="001019DF">
        <w:trPr>
          <w:trHeight w:val="513"/>
        </w:trPr>
        <w:tc>
          <w:tcPr>
            <w:tcW w:w="4473" w:type="dxa"/>
            <w:gridSpan w:val="2"/>
            <w:vAlign w:val="center"/>
          </w:tcPr>
          <w:p w14:paraId="02CF6B6E" w14:textId="77777777" w:rsidR="009B7882" w:rsidRPr="00FA6A56" w:rsidRDefault="009B7882" w:rsidP="001019DF">
            <w:pPr>
              <w:jc w:val="center"/>
              <w:rPr>
                <w:rFonts w:ascii="Helvetica" w:hAnsi="Helvetica"/>
                <w:b/>
                <w:bCs/>
              </w:rPr>
            </w:pPr>
            <w:r w:rsidRPr="00FA6A56">
              <w:rPr>
                <w:rFonts w:ascii="Helvetica" w:hAnsi="Helvetica"/>
                <w:b/>
                <w:bCs/>
              </w:rPr>
              <w:t>Defe</w:t>
            </w:r>
            <w:r>
              <w:rPr>
                <w:rFonts w:ascii="Helvetica" w:hAnsi="Helvetica"/>
                <w:b/>
                <w:bCs/>
              </w:rPr>
              <w:t>nc</w:t>
            </w:r>
            <w:r w:rsidRPr="00FA6A56">
              <w:rPr>
                <w:rFonts w:ascii="Helvetica" w:hAnsi="Helvetica"/>
                <w:b/>
                <w:bCs/>
              </w:rPr>
              <w:t>e services</w:t>
            </w:r>
          </w:p>
        </w:tc>
        <w:tc>
          <w:tcPr>
            <w:tcW w:w="1695" w:type="dxa"/>
            <w:vAlign w:val="center"/>
          </w:tcPr>
          <w:p w14:paraId="6A5909A4" w14:textId="77777777" w:rsidR="009B7882" w:rsidRPr="004E2B09" w:rsidRDefault="009B7882" w:rsidP="001019DF">
            <w:pPr>
              <w:jc w:val="center"/>
              <w:rPr>
                <w:rFonts w:ascii="Helvetica" w:hAnsi="Helvetica"/>
              </w:rPr>
            </w:pPr>
            <w:r w:rsidRPr="004E2B09">
              <w:rPr>
                <w:rFonts w:ascii="Helvetica" w:hAnsi="Helvetica"/>
              </w:rPr>
              <w:t>X</w:t>
            </w:r>
          </w:p>
        </w:tc>
        <w:tc>
          <w:tcPr>
            <w:tcW w:w="1205" w:type="dxa"/>
            <w:vAlign w:val="center"/>
          </w:tcPr>
          <w:p w14:paraId="74D3B8A3" w14:textId="77777777" w:rsidR="009B7882" w:rsidRPr="004E2B09" w:rsidRDefault="009B7882" w:rsidP="001019DF">
            <w:pPr>
              <w:jc w:val="center"/>
              <w:rPr>
                <w:rFonts w:ascii="Helvetica" w:hAnsi="Helvetica"/>
              </w:rPr>
            </w:pPr>
            <w:r>
              <w:rPr>
                <w:rFonts w:ascii="Helvetica" w:hAnsi="Helvetica"/>
              </w:rPr>
              <w:t>X</w:t>
            </w:r>
          </w:p>
        </w:tc>
        <w:tc>
          <w:tcPr>
            <w:tcW w:w="1116" w:type="dxa"/>
            <w:vAlign w:val="center"/>
          </w:tcPr>
          <w:p w14:paraId="795F30CF" w14:textId="77777777" w:rsidR="009B7882" w:rsidRDefault="009B7882" w:rsidP="001019DF">
            <w:pPr>
              <w:jc w:val="center"/>
              <w:rPr>
                <w:rFonts w:ascii="Helvetica" w:hAnsi="Helvetica"/>
              </w:rPr>
            </w:pPr>
          </w:p>
        </w:tc>
        <w:tc>
          <w:tcPr>
            <w:tcW w:w="684" w:type="dxa"/>
            <w:vAlign w:val="center"/>
          </w:tcPr>
          <w:p w14:paraId="53E06F1B" w14:textId="77777777" w:rsidR="009B7882" w:rsidRDefault="009B7882" w:rsidP="001019DF">
            <w:pPr>
              <w:jc w:val="center"/>
              <w:rPr>
                <w:rFonts w:ascii="Helvetica" w:hAnsi="Helvetica"/>
              </w:rPr>
            </w:pPr>
          </w:p>
        </w:tc>
      </w:tr>
      <w:tr w:rsidR="009B7882" w14:paraId="0C049A79" w14:textId="77777777" w:rsidTr="001019DF">
        <w:trPr>
          <w:trHeight w:val="535"/>
        </w:trPr>
        <w:tc>
          <w:tcPr>
            <w:tcW w:w="4473" w:type="dxa"/>
            <w:gridSpan w:val="2"/>
            <w:vAlign w:val="center"/>
          </w:tcPr>
          <w:p w14:paraId="537EE6CD" w14:textId="77777777" w:rsidR="009B7882" w:rsidRPr="00FA6A56" w:rsidRDefault="009B7882" w:rsidP="001019DF">
            <w:pPr>
              <w:jc w:val="center"/>
              <w:rPr>
                <w:rFonts w:ascii="Helvetica" w:hAnsi="Helvetica"/>
                <w:b/>
                <w:bCs/>
              </w:rPr>
            </w:pPr>
            <w:r w:rsidRPr="00FA6A56">
              <w:rPr>
                <w:rFonts w:ascii="Helvetica" w:hAnsi="Helvetica"/>
                <w:b/>
                <w:bCs/>
              </w:rPr>
              <w:t>Legal and policy advisory services</w:t>
            </w:r>
          </w:p>
        </w:tc>
        <w:tc>
          <w:tcPr>
            <w:tcW w:w="1695" w:type="dxa"/>
            <w:vAlign w:val="center"/>
          </w:tcPr>
          <w:p w14:paraId="46691778" w14:textId="77777777" w:rsidR="009B7882" w:rsidRPr="004E2B09" w:rsidRDefault="009B7882" w:rsidP="001019DF">
            <w:pPr>
              <w:jc w:val="center"/>
              <w:rPr>
                <w:rFonts w:ascii="Helvetica" w:hAnsi="Helvetica"/>
              </w:rPr>
            </w:pPr>
            <w:r w:rsidRPr="004E2B09">
              <w:rPr>
                <w:rFonts w:ascii="Helvetica" w:hAnsi="Helvetica"/>
              </w:rPr>
              <w:t>X</w:t>
            </w:r>
          </w:p>
        </w:tc>
        <w:tc>
          <w:tcPr>
            <w:tcW w:w="1205" w:type="dxa"/>
            <w:vAlign w:val="center"/>
          </w:tcPr>
          <w:p w14:paraId="48B63DFF" w14:textId="77777777" w:rsidR="009B7882" w:rsidRPr="004E2B09" w:rsidRDefault="009B7882" w:rsidP="001019DF">
            <w:pPr>
              <w:jc w:val="center"/>
              <w:rPr>
                <w:rFonts w:ascii="Helvetica" w:hAnsi="Helvetica"/>
              </w:rPr>
            </w:pPr>
            <w:r>
              <w:rPr>
                <w:rFonts w:ascii="Helvetica" w:hAnsi="Helvetica"/>
              </w:rPr>
              <w:t>X</w:t>
            </w:r>
          </w:p>
        </w:tc>
        <w:tc>
          <w:tcPr>
            <w:tcW w:w="1116" w:type="dxa"/>
            <w:vAlign w:val="center"/>
          </w:tcPr>
          <w:p w14:paraId="12752C97" w14:textId="77777777" w:rsidR="009B7882" w:rsidRDefault="009B7882" w:rsidP="001019DF">
            <w:pPr>
              <w:jc w:val="center"/>
              <w:rPr>
                <w:rFonts w:ascii="Helvetica" w:hAnsi="Helvetica"/>
              </w:rPr>
            </w:pPr>
          </w:p>
        </w:tc>
        <w:tc>
          <w:tcPr>
            <w:tcW w:w="684" w:type="dxa"/>
            <w:vAlign w:val="center"/>
          </w:tcPr>
          <w:p w14:paraId="343C653D" w14:textId="77777777" w:rsidR="009B7882" w:rsidRDefault="009B7882" w:rsidP="001019DF">
            <w:pPr>
              <w:jc w:val="center"/>
              <w:rPr>
                <w:rFonts w:ascii="Helvetica" w:hAnsi="Helvetica"/>
              </w:rPr>
            </w:pPr>
          </w:p>
        </w:tc>
      </w:tr>
      <w:tr w:rsidR="009B7882" w14:paraId="37832F06" w14:textId="77777777" w:rsidTr="001019DF">
        <w:trPr>
          <w:trHeight w:val="1162"/>
        </w:trPr>
        <w:tc>
          <w:tcPr>
            <w:tcW w:w="2222" w:type="dxa"/>
            <w:vMerge w:val="restart"/>
            <w:vAlign w:val="center"/>
          </w:tcPr>
          <w:p w14:paraId="27A6C81C" w14:textId="77777777" w:rsidR="009B7882" w:rsidRPr="00FA6A56" w:rsidRDefault="009B7882" w:rsidP="001019DF">
            <w:pPr>
              <w:jc w:val="center"/>
              <w:rPr>
                <w:rFonts w:ascii="Helvetica" w:hAnsi="Helvetica"/>
                <w:b/>
                <w:bCs/>
              </w:rPr>
            </w:pPr>
            <w:r w:rsidRPr="004E2B09">
              <w:rPr>
                <w:rFonts w:ascii="Helvetica" w:hAnsi="Helvetica"/>
                <w:b/>
                <w:bCs/>
              </w:rPr>
              <w:t>Capacity building and sharing of best practices</w:t>
            </w:r>
          </w:p>
        </w:tc>
        <w:tc>
          <w:tcPr>
            <w:tcW w:w="2250" w:type="dxa"/>
            <w:vAlign w:val="center"/>
          </w:tcPr>
          <w:p w14:paraId="44579DD5" w14:textId="77777777" w:rsidR="009B7882" w:rsidRPr="004E2B09" w:rsidRDefault="009B7882" w:rsidP="001019DF">
            <w:pPr>
              <w:jc w:val="center"/>
              <w:rPr>
                <w:rFonts w:ascii="Helvetica" w:hAnsi="Helvetica"/>
                <w:b/>
                <w:bCs/>
              </w:rPr>
            </w:pPr>
            <w:r w:rsidRPr="004E2B09">
              <w:rPr>
                <w:rFonts w:ascii="Helvetica" w:hAnsi="Helvetica"/>
                <w:b/>
                <w:bCs/>
              </w:rPr>
              <w:t>Training of</w:t>
            </w:r>
          </w:p>
          <w:p w14:paraId="704ECF0A" w14:textId="77777777" w:rsidR="009B7882" w:rsidRPr="004E2B09" w:rsidRDefault="009B7882" w:rsidP="001019DF">
            <w:pPr>
              <w:jc w:val="center"/>
              <w:rPr>
                <w:rFonts w:ascii="Helvetica" w:hAnsi="Helvetica"/>
                <w:b/>
                <w:bCs/>
              </w:rPr>
            </w:pPr>
            <w:r w:rsidRPr="004E2B09">
              <w:rPr>
                <w:rFonts w:ascii="Helvetica" w:hAnsi="Helvetica"/>
                <w:b/>
                <w:bCs/>
              </w:rPr>
              <w:t>government officials</w:t>
            </w:r>
          </w:p>
        </w:tc>
        <w:tc>
          <w:tcPr>
            <w:tcW w:w="1695" w:type="dxa"/>
            <w:vAlign w:val="center"/>
          </w:tcPr>
          <w:p w14:paraId="1A69AA98" w14:textId="77777777" w:rsidR="009B7882" w:rsidRPr="004E2B09" w:rsidRDefault="009B7882" w:rsidP="001019DF">
            <w:pPr>
              <w:jc w:val="center"/>
              <w:rPr>
                <w:rFonts w:ascii="Helvetica" w:hAnsi="Helvetica"/>
              </w:rPr>
            </w:pPr>
            <w:r w:rsidRPr="004E2B09">
              <w:rPr>
                <w:rFonts w:ascii="Helvetica" w:hAnsi="Helvetica"/>
              </w:rPr>
              <w:t>X</w:t>
            </w:r>
          </w:p>
        </w:tc>
        <w:tc>
          <w:tcPr>
            <w:tcW w:w="1205" w:type="dxa"/>
            <w:vAlign w:val="center"/>
          </w:tcPr>
          <w:p w14:paraId="62C25BB7" w14:textId="77777777" w:rsidR="009B7882" w:rsidRPr="004E2B09" w:rsidRDefault="009B7882" w:rsidP="001019DF">
            <w:pPr>
              <w:jc w:val="center"/>
              <w:rPr>
                <w:rFonts w:ascii="Helvetica" w:hAnsi="Helvetica"/>
              </w:rPr>
            </w:pPr>
            <w:r>
              <w:rPr>
                <w:rFonts w:ascii="Helvetica" w:hAnsi="Helvetica"/>
              </w:rPr>
              <w:t>X</w:t>
            </w:r>
          </w:p>
        </w:tc>
        <w:tc>
          <w:tcPr>
            <w:tcW w:w="1116" w:type="dxa"/>
            <w:vAlign w:val="center"/>
          </w:tcPr>
          <w:p w14:paraId="554554CB" w14:textId="77777777" w:rsidR="009B7882" w:rsidRDefault="009B7882" w:rsidP="001019DF">
            <w:pPr>
              <w:jc w:val="center"/>
              <w:rPr>
                <w:rFonts w:ascii="Helvetica" w:hAnsi="Helvetica"/>
              </w:rPr>
            </w:pPr>
          </w:p>
        </w:tc>
        <w:tc>
          <w:tcPr>
            <w:tcW w:w="684" w:type="dxa"/>
            <w:vAlign w:val="center"/>
          </w:tcPr>
          <w:p w14:paraId="5FD2DD5D" w14:textId="77777777" w:rsidR="009B7882" w:rsidRDefault="009B7882" w:rsidP="001019DF">
            <w:pPr>
              <w:jc w:val="center"/>
              <w:rPr>
                <w:rFonts w:ascii="Helvetica" w:hAnsi="Helvetica"/>
              </w:rPr>
            </w:pPr>
          </w:p>
        </w:tc>
      </w:tr>
      <w:tr w:rsidR="009B7882" w14:paraId="4E21D1C7" w14:textId="77777777" w:rsidTr="001019DF">
        <w:trPr>
          <w:trHeight w:val="680"/>
        </w:trPr>
        <w:tc>
          <w:tcPr>
            <w:tcW w:w="2222" w:type="dxa"/>
            <w:vMerge/>
            <w:vAlign w:val="center"/>
          </w:tcPr>
          <w:p w14:paraId="3EAFC4C8" w14:textId="77777777" w:rsidR="009B7882" w:rsidRPr="00FA6A56" w:rsidRDefault="009B7882" w:rsidP="001019DF">
            <w:pPr>
              <w:jc w:val="center"/>
              <w:rPr>
                <w:rFonts w:ascii="Helvetica" w:hAnsi="Helvetica"/>
              </w:rPr>
            </w:pPr>
          </w:p>
        </w:tc>
        <w:tc>
          <w:tcPr>
            <w:tcW w:w="2250" w:type="dxa"/>
            <w:vAlign w:val="center"/>
          </w:tcPr>
          <w:p w14:paraId="781D110F" w14:textId="77777777" w:rsidR="009B7882" w:rsidRPr="004E2B09" w:rsidRDefault="009B7882" w:rsidP="001019DF">
            <w:pPr>
              <w:jc w:val="center"/>
              <w:rPr>
                <w:rFonts w:ascii="Helvetica" w:hAnsi="Helvetica"/>
                <w:b/>
                <w:bCs/>
              </w:rPr>
            </w:pPr>
          </w:p>
          <w:p w14:paraId="0E245594" w14:textId="77777777" w:rsidR="009B7882" w:rsidRPr="004E2B09" w:rsidRDefault="009B7882" w:rsidP="001019DF">
            <w:pPr>
              <w:jc w:val="center"/>
              <w:rPr>
                <w:rFonts w:ascii="Helvetica" w:hAnsi="Helvetica"/>
                <w:b/>
                <w:bCs/>
              </w:rPr>
            </w:pPr>
            <w:r>
              <w:rPr>
                <w:rFonts w:ascii="Helvetica" w:hAnsi="Helvetica"/>
                <w:b/>
                <w:bCs/>
              </w:rPr>
              <w:t xml:space="preserve">Secondment positions </w:t>
            </w:r>
          </w:p>
          <w:p w14:paraId="22F3BC40" w14:textId="77777777" w:rsidR="009B7882" w:rsidRPr="004E2B09" w:rsidRDefault="009B7882" w:rsidP="001019DF">
            <w:pPr>
              <w:jc w:val="center"/>
              <w:rPr>
                <w:rFonts w:ascii="Helvetica" w:hAnsi="Helvetica"/>
                <w:b/>
                <w:bCs/>
              </w:rPr>
            </w:pPr>
          </w:p>
        </w:tc>
        <w:tc>
          <w:tcPr>
            <w:tcW w:w="1695" w:type="dxa"/>
            <w:vAlign w:val="center"/>
          </w:tcPr>
          <w:p w14:paraId="7B89A08A" w14:textId="77777777" w:rsidR="009B7882" w:rsidRDefault="009B7882" w:rsidP="001019DF">
            <w:pPr>
              <w:jc w:val="center"/>
              <w:rPr>
                <w:rFonts w:ascii="Helvetica" w:hAnsi="Helvetica"/>
              </w:rPr>
            </w:pPr>
            <w:r>
              <w:rPr>
                <w:rFonts w:ascii="Helvetica" w:hAnsi="Helvetica"/>
              </w:rPr>
              <w:t>X</w:t>
            </w:r>
          </w:p>
        </w:tc>
        <w:tc>
          <w:tcPr>
            <w:tcW w:w="1205" w:type="dxa"/>
            <w:vAlign w:val="center"/>
          </w:tcPr>
          <w:p w14:paraId="69E0BE4C" w14:textId="77777777" w:rsidR="009B7882" w:rsidRDefault="009B7882" w:rsidP="001019DF">
            <w:pPr>
              <w:jc w:val="center"/>
              <w:rPr>
                <w:rFonts w:ascii="Helvetica" w:hAnsi="Helvetica"/>
              </w:rPr>
            </w:pPr>
            <w:r>
              <w:rPr>
                <w:rFonts w:ascii="Helvetica" w:hAnsi="Helvetica"/>
              </w:rPr>
              <w:t>X</w:t>
            </w:r>
          </w:p>
        </w:tc>
        <w:tc>
          <w:tcPr>
            <w:tcW w:w="1116" w:type="dxa"/>
            <w:vAlign w:val="center"/>
          </w:tcPr>
          <w:p w14:paraId="6DF166AA" w14:textId="77777777" w:rsidR="009B7882" w:rsidRDefault="009B7882" w:rsidP="001019DF">
            <w:pPr>
              <w:jc w:val="center"/>
              <w:rPr>
                <w:rFonts w:ascii="Helvetica" w:hAnsi="Helvetica"/>
              </w:rPr>
            </w:pPr>
          </w:p>
        </w:tc>
        <w:tc>
          <w:tcPr>
            <w:tcW w:w="684" w:type="dxa"/>
            <w:vAlign w:val="center"/>
          </w:tcPr>
          <w:p w14:paraId="60FC67AA" w14:textId="77777777" w:rsidR="009B7882" w:rsidRDefault="009B7882" w:rsidP="001019DF">
            <w:pPr>
              <w:jc w:val="center"/>
              <w:rPr>
                <w:rFonts w:ascii="Helvetica" w:hAnsi="Helvetica"/>
              </w:rPr>
            </w:pPr>
          </w:p>
        </w:tc>
      </w:tr>
      <w:tr w:rsidR="009B7882" w14:paraId="7E372184" w14:textId="77777777" w:rsidTr="001019DF">
        <w:trPr>
          <w:trHeight w:val="649"/>
        </w:trPr>
        <w:tc>
          <w:tcPr>
            <w:tcW w:w="2222" w:type="dxa"/>
            <w:vMerge/>
            <w:vAlign w:val="center"/>
          </w:tcPr>
          <w:p w14:paraId="0279A427" w14:textId="77777777" w:rsidR="009B7882" w:rsidRPr="00FA6A56" w:rsidRDefault="009B7882" w:rsidP="001019DF">
            <w:pPr>
              <w:jc w:val="center"/>
              <w:rPr>
                <w:rFonts w:ascii="Helvetica" w:hAnsi="Helvetica"/>
              </w:rPr>
            </w:pPr>
          </w:p>
        </w:tc>
        <w:tc>
          <w:tcPr>
            <w:tcW w:w="2250" w:type="dxa"/>
            <w:vAlign w:val="center"/>
          </w:tcPr>
          <w:p w14:paraId="0F9B0C04" w14:textId="77777777" w:rsidR="009B7882" w:rsidRPr="00685A97" w:rsidRDefault="009B7882" w:rsidP="001019DF">
            <w:pPr>
              <w:jc w:val="center"/>
              <w:rPr>
                <w:rFonts w:ascii="Helvetica" w:hAnsi="Helvetica"/>
                <w:b/>
                <w:bCs/>
              </w:rPr>
            </w:pPr>
            <w:r w:rsidRPr="00685A97">
              <w:rPr>
                <w:rFonts w:ascii="Helvetica" w:hAnsi="Helvetica"/>
                <w:b/>
                <w:bCs/>
              </w:rPr>
              <w:t xml:space="preserve">Access to data collections </w:t>
            </w:r>
          </w:p>
        </w:tc>
        <w:tc>
          <w:tcPr>
            <w:tcW w:w="1695" w:type="dxa"/>
            <w:vAlign w:val="center"/>
          </w:tcPr>
          <w:p w14:paraId="4A28B080" w14:textId="77777777" w:rsidR="009B7882" w:rsidRDefault="009B7882" w:rsidP="001019DF">
            <w:pPr>
              <w:jc w:val="center"/>
              <w:rPr>
                <w:rFonts w:ascii="Helvetica" w:hAnsi="Helvetica"/>
              </w:rPr>
            </w:pPr>
            <w:r>
              <w:rPr>
                <w:rFonts w:ascii="Helvetica" w:hAnsi="Helvetica"/>
              </w:rPr>
              <w:t>X</w:t>
            </w:r>
          </w:p>
        </w:tc>
        <w:tc>
          <w:tcPr>
            <w:tcW w:w="1205" w:type="dxa"/>
            <w:vAlign w:val="center"/>
          </w:tcPr>
          <w:p w14:paraId="1607EE14" w14:textId="77777777" w:rsidR="009B7882" w:rsidRDefault="009B7882" w:rsidP="001019DF">
            <w:pPr>
              <w:jc w:val="center"/>
              <w:rPr>
                <w:rFonts w:ascii="Helvetica" w:hAnsi="Helvetica"/>
              </w:rPr>
            </w:pPr>
            <w:r>
              <w:rPr>
                <w:rFonts w:ascii="Helvetica" w:hAnsi="Helvetica"/>
              </w:rPr>
              <w:t>X</w:t>
            </w:r>
          </w:p>
        </w:tc>
        <w:tc>
          <w:tcPr>
            <w:tcW w:w="1116" w:type="dxa"/>
            <w:vAlign w:val="center"/>
          </w:tcPr>
          <w:p w14:paraId="494524FF" w14:textId="77777777" w:rsidR="009B7882" w:rsidRDefault="009B7882" w:rsidP="001019DF">
            <w:pPr>
              <w:jc w:val="center"/>
              <w:rPr>
                <w:rFonts w:ascii="Helvetica" w:hAnsi="Helvetica"/>
              </w:rPr>
            </w:pPr>
            <w:r>
              <w:rPr>
                <w:rFonts w:ascii="Helvetica" w:hAnsi="Helvetica"/>
              </w:rPr>
              <w:t>X</w:t>
            </w:r>
          </w:p>
        </w:tc>
        <w:tc>
          <w:tcPr>
            <w:tcW w:w="684" w:type="dxa"/>
            <w:vAlign w:val="center"/>
          </w:tcPr>
          <w:p w14:paraId="7CA91928" w14:textId="77777777" w:rsidR="009B7882" w:rsidRDefault="009B7882" w:rsidP="001019DF">
            <w:pPr>
              <w:jc w:val="center"/>
              <w:rPr>
                <w:rFonts w:ascii="Helvetica" w:hAnsi="Helvetica"/>
              </w:rPr>
            </w:pPr>
            <w:r>
              <w:rPr>
                <w:rFonts w:ascii="Helvetica" w:hAnsi="Helvetica"/>
              </w:rPr>
              <w:t>X</w:t>
            </w:r>
          </w:p>
        </w:tc>
      </w:tr>
      <w:tr w:rsidR="009B7882" w14:paraId="2E3621AC" w14:textId="77777777" w:rsidTr="001019DF">
        <w:trPr>
          <w:trHeight w:val="688"/>
        </w:trPr>
        <w:tc>
          <w:tcPr>
            <w:tcW w:w="2222" w:type="dxa"/>
            <w:vMerge/>
            <w:vAlign w:val="center"/>
          </w:tcPr>
          <w:p w14:paraId="240DCD40" w14:textId="77777777" w:rsidR="009B7882" w:rsidRPr="00FA6A56" w:rsidRDefault="009B7882" w:rsidP="001019DF">
            <w:pPr>
              <w:jc w:val="center"/>
              <w:rPr>
                <w:rFonts w:ascii="Helvetica" w:hAnsi="Helvetica"/>
              </w:rPr>
            </w:pPr>
          </w:p>
        </w:tc>
        <w:tc>
          <w:tcPr>
            <w:tcW w:w="2250" w:type="dxa"/>
            <w:vAlign w:val="center"/>
          </w:tcPr>
          <w:p w14:paraId="4087D350" w14:textId="77777777" w:rsidR="009B7882" w:rsidRPr="00685A97" w:rsidRDefault="009B7882" w:rsidP="001019DF">
            <w:pPr>
              <w:jc w:val="center"/>
              <w:rPr>
                <w:rFonts w:ascii="Helvetica" w:hAnsi="Helvetica"/>
                <w:b/>
                <w:bCs/>
              </w:rPr>
            </w:pPr>
            <w:r w:rsidRPr="00685A97">
              <w:rPr>
                <w:rFonts w:ascii="Helvetica" w:hAnsi="Helvetica"/>
                <w:b/>
                <w:bCs/>
              </w:rPr>
              <w:t xml:space="preserve">Exchange of </w:t>
            </w:r>
          </w:p>
          <w:p w14:paraId="35C26D58" w14:textId="77777777" w:rsidR="009B7882" w:rsidRPr="00685A97" w:rsidRDefault="009B7882" w:rsidP="001019DF">
            <w:pPr>
              <w:jc w:val="center"/>
              <w:rPr>
                <w:rFonts w:ascii="Helvetica" w:hAnsi="Helvetica"/>
                <w:b/>
                <w:bCs/>
              </w:rPr>
            </w:pPr>
            <w:r w:rsidRPr="00685A97">
              <w:rPr>
                <w:rFonts w:ascii="Helvetica" w:hAnsi="Helvetica"/>
                <w:b/>
                <w:bCs/>
              </w:rPr>
              <w:t xml:space="preserve">information and </w:t>
            </w:r>
          </w:p>
          <w:p w14:paraId="7EE9952B" w14:textId="77777777" w:rsidR="009B7882" w:rsidRPr="00685A97" w:rsidRDefault="009B7882" w:rsidP="001019DF">
            <w:pPr>
              <w:jc w:val="center"/>
              <w:rPr>
                <w:rFonts w:ascii="Helvetica" w:hAnsi="Helvetica"/>
                <w:b/>
                <w:bCs/>
              </w:rPr>
            </w:pPr>
            <w:r w:rsidRPr="00685A97">
              <w:rPr>
                <w:rFonts w:ascii="Helvetica" w:hAnsi="Helvetica"/>
                <w:b/>
                <w:bCs/>
              </w:rPr>
              <w:t>sharing of best practices</w:t>
            </w:r>
          </w:p>
        </w:tc>
        <w:tc>
          <w:tcPr>
            <w:tcW w:w="1695" w:type="dxa"/>
            <w:vAlign w:val="center"/>
          </w:tcPr>
          <w:p w14:paraId="620C8868" w14:textId="77777777" w:rsidR="009B7882" w:rsidRDefault="009B7882" w:rsidP="001019DF">
            <w:pPr>
              <w:jc w:val="center"/>
              <w:rPr>
                <w:rFonts w:ascii="Helvetica" w:hAnsi="Helvetica"/>
              </w:rPr>
            </w:pPr>
            <w:r>
              <w:rPr>
                <w:rFonts w:ascii="Helvetica" w:hAnsi="Helvetica"/>
              </w:rPr>
              <w:t>X</w:t>
            </w:r>
          </w:p>
        </w:tc>
        <w:tc>
          <w:tcPr>
            <w:tcW w:w="1205" w:type="dxa"/>
            <w:vAlign w:val="center"/>
          </w:tcPr>
          <w:p w14:paraId="15D9EC4E" w14:textId="77777777" w:rsidR="009B7882" w:rsidRDefault="009B7882" w:rsidP="001019DF">
            <w:pPr>
              <w:jc w:val="center"/>
              <w:rPr>
                <w:rFonts w:ascii="Helvetica" w:hAnsi="Helvetica"/>
              </w:rPr>
            </w:pPr>
            <w:r>
              <w:rPr>
                <w:rFonts w:ascii="Helvetica" w:hAnsi="Helvetica"/>
              </w:rPr>
              <w:t>X</w:t>
            </w:r>
          </w:p>
        </w:tc>
        <w:tc>
          <w:tcPr>
            <w:tcW w:w="1116" w:type="dxa"/>
            <w:vAlign w:val="center"/>
          </w:tcPr>
          <w:p w14:paraId="644B1CBD" w14:textId="77777777" w:rsidR="009B7882" w:rsidRDefault="009B7882" w:rsidP="001019DF">
            <w:pPr>
              <w:jc w:val="center"/>
              <w:rPr>
                <w:rFonts w:ascii="Helvetica" w:hAnsi="Helvetica"/>
              </w:rPr>
            </w:pPr>
            <w:r>
              <w:rPr>
                <w:rFonts w:ascii="Helvetica" w:hAnsi="Helvetica"/>
              </w:rPr>
              <w:t>X</w:t>
            </w:r>
          </w:p>
        </w:tc>
        <w:tc>
          <w:tcPr>
            <w:tcW w:w="684" w:type="dxa"/>
            <w:vAlign w:val="center"/>
          </w:tcPr>
          <w:p w14:paraId="309A658A" w14:textId="77777777" w:rsidR="009B7882" w:rsidRDefault="009B7882" w:rsidP="001019DF">
            <w:pPr>
              <w:jc w:val="center"/>
              <w:rPr>
                <w:rFonts w:ascii="Helvetica" w:hAnsi="Helvetica"/>
              </w:rPr>
            </w:pPr>
            <w:r>
              <w:rPr>
                <w:rFonts w:ascii="Helvetica" w:hAnsi="Helvetica"/>
              </w:rPr>
              <w:t>X</w:t>
            </w:r>
          </w:p>
        </w:tc>
      </w:tr>
    </w:tbl>
    <w:p w14:paraId="6DB68259" w14:textId="77777777" w:rsidR="009B7882" w:rsidRPr="00685A97" w:rsidRDefault="009B7882" w:rsidP="009B7882">
      <w:pPr>
        <w:rPr>
          <w:rFonts w:ascii="Helvetica" w:hAnsi="Helvetica"/>
        </w:rPr>
      </w:pPr>
    </w:p>
    <w:p w14:paraId="0DB37963" w14:textId="77777777" w:rsidR="009B7882" w:rsidRDefault="009B7882" w:rsidP="009B7882">
      <w:pPr>
        <w:pStyle w:val="SingleTxt"/>
        <w:tabs>
          <w:tab w:val="clear" w:pos="1742"/>
          <w:tab w:val="clear" w:pos="2218"/>
          <w:tab w:val="left" w:pos="1701"/>
          <w:tab w:val="num" w:pos="3126"/>
        </w:tabs>
        <w:rPr>
          <w:rFonts w:asciiTheme="majorBidi" w:hAnsiTheme="majorBidi" w:cstheme="majorBidi"/>
        </w:rPr>
      </w:pPr>
    </w:p>
    <w:p w14:paraId="3944718E" w14:textId="77777777" w:rsidR="009B7882" w:rsidRDefault="009B7882" w:rsidP="009B7882">
      <w:pPr>
        <w:pStyle w:val="SingleTxt"/>
        <w:tabs>
          <w:tab w:val="clear" w:pos="1742"/>
          <w:tab w:val="clear" w:pos="2218"/>
          <w:tab w:val="left" w:pos="1701"/>
          <w:tab w:val="num" w:pos="3126"/>
        </w:tabs>
        <w:rPr>
          <w:rFonts w:asciiTheme="majorBidi" w:hAnsiTheme="majorBidi" w:cstheme="majorBidi"/>
        </w:rPr>
      </w:pPr>
    </w:p>
    <w:p w14:paraId="11C51CF8" w14:textId="77777777" w:rsidR="009B7882" w:rsidRDefault="009B7882" w:rsidP="009B7882">
      <w:pPr>
        <w:pStyle w:val="SingleTxt"/>
        <w:tabs>
          <w:tab w:val="clear" w:pos="1742"/>
          <w:tab w:val="clear" w:pos="2218"/>
          <w:tab w:val="left" w:pos="1701"/>
          <w:tab w:val="num" w:pos="3126"/>
        </w:tabs>
        <w:rPr>
          <w:rFonts w:asciiTheme="majorBidi" w:hAnsiTheme="majorBidi" w:cstheme="majorBidi"/>
        </w:rPr>
      </w:pPr>
    </w:p>
    <w:bookmarkEnd w:id="5"/>
    <w:p w14:paraId="19D81A78" w14:textId="77777777" w:rsidR="009B7882" w:rsidRPr="008C3C79" w:rsidRDefault="009B7882" w:rsidP="009B7882">
      <w:pPr>
        <w:pStyle w:val="SingleTxt"/>
        <w:ind w:left="0"/>
        <w:rPr>
          <w:rFonts w:asciiTheme="majorBidi" w:hAnsiTheme="majorBidi" w:cstheme="majorBidi"/>
          <w:b/>
          <w:bCs/>
          <w:sz w:val="24"/>
          <w:szCs w:val="24"/>
          <w:u w:val="single"/>
        </w:rPr>
      </w:pPr>
    </w:p>
    <w:sectPr w:rsidR="009B7882" w:rsidRPr="008C3C79" w:rsidSect="003F3DDC">
      <w:endnotePr>
        <w:numFmt w:val="decimal"/>
      </w:endnotePr>
      <w:type w:val="continuous"/>
      <w:pgSz w:w="11909" w:h="16834" w:code="9"/>
      <w:pgMar w:top="1440" w:right="1037" w:bottom="1152" w:left="1037"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BB6C" w14:textId="77777777" w:rsidR="00AC7FD3" w:rsidRDefault="00AC7FD3" w:rsidP="00556720">
      <w:r>
        <w:separator/>
      </w:r>
    </w:p>
  </w:endnote>
  <w:endnote w:type="continuationSeparator" w:id="0">
    <w:p w14:paraId="19169A1D" w14:textId="77777777" w:rsidR="00AC7FD3" w:rsidRDefault="00AC7FD3" w:rsidP="00556720">
      <w:r>
        <w:continuationSeparator/>
      </w:r>
    </w:p>
  </w:endnote>
  <w:endnote w:type="continuationNotice" w:id="1">
    <w:p w14:paraId="4390E711" w14:textId="77777777" w:rsidR="00AC7FD3" w:rsidRDefault="00AC7FD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1110708525"/>
      <w:docPartObj>
        <w:docPartGallery w:val="Page Numbers (Bottom of Page)"/>
        <w:docPartUnique/>
      </w:docPartObj>
    </w:sdtPr>
    <w:sdtEndPr>
      <w:rPr>
        <w:noProof/>
      </w:rPr>
    </w:sdtEndPr>
    <w:sdtContent>
      <w:p w14:paraId="0B3E437E" w14:textId="6E5A812B" w:rsidR="001019DF" w:rsidRDefault="001019DF">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2E053565" w14:textId="77777777" w:rsidR="001019DF" w:rsidRPr="00721987" w:rsidRDefault="001019DF" w:rsidP="007219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jc w:val="center"/>
      <w:tblLayout w:type="fixed"/>
      <w:tblLook w:val="0000" w:firstRow="0" w:lastRow="0" w:firstColumn="0" w:lastColumn="0" w:noHBand="0" w:noVBand="0"/>
    </w:tblPr>
    <w:tblGrid>
      <w:gridCol w:w="4922"/>
      <w:gridCol w:w="4923"/>
    </w:tblGrid>
    <w:tr w:rsidR="001019DF" w14:paraId="11DE30CF" w14:textId="77777777" w:rsidTr="00721987">
      <w:trPr>
        <w:jc w:val="center"/>
      </w:trPr>
      <w:tc>
        <w:tcPr>
          <w:tcW w:w="4922" w:type="dxa"/>
          <w:shd w:val="clear" w:color="auto" w:fill="auto"/>
        </w:tcPr>
        <w:p w14:paraId="1D7603EA" w14:textId="59062799" w:rsidR="001019DF" w:rsidRPr="00721987" w:rsidRDefault="001019DF" w:rsidP="00721987">
          <w:pPr>
            <w:pStyle w:val="Footer"/>
            <w:jc w:val="right"/>
            <w:rPr>
              <w:w w:val="103"/>
            </w:rPr>
          </w:pPr>
        </w:p>
      </w:tc>
      <w:tc>
        <w:tcPr>
          <w:tcW w:w="4923" w:type="dxa"/>
          <w:shd w:val="clear" w:color="auto" w:fill="auto"/>
        </w:tcPr>
        <w:p w14:paraId="5380DE54" w14:textId="7CF6355E" w:rsidR="001019DF" w:rsidRPr="00721987" w:rsidRDefault="001019DF" w:rsidP="00721987">
          <w:pPr>
            <w:pStyle w:val="Footer"/>
            <w:rPr>
              <w:b w:val="0"/>
              <w:w w:val="103"/>
              <w:sz w:val="14"/>
            </w:rPr>
          </w:pPr>
        </w:p>
      </w:tc>
    </w:tr>
  </w:tbl>
  <w:p w14:paraId="14032515" w14:textId="77777777" w:rsidR="001019DF" w:rsidRPr="00721987" w:rsidRDefault="001019DF" w:rsidP="007219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55AB9" w14:textId="77777777" w:rsidR="005C260A" w:rsidRDefault="005C26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201D3" w14:textId="77777777" w:rsidR="00AC7FD3" w:rsidRPr="0064794F" w:rsidRDefault="00AC7FD3" w:rsidP="0064794F">
      <w:pPr>
        <w:pStyle w:val="Footer"/>
        <w:spacing w:after="80"/>
        <w:ind w:left="792"/>
        <w:rPr>
          <w:sz w:val="16"/>
        </w:rPr>
      </w:pPr>
      <w:r w:rsidRPr="0064794F">
        <w:rPr>
          <w:sz w:val="16"/>
        </w:rPr>
        <w:t>__________________</w:t>
      </w:r>
    </w:p>
  </w:footnote>
  <w:footnote w:type="continuationSeparator" w:id="0">
    <w:p w14:paraId="40D1DD63" w14:textId="77777777" w:rsidR="00AC7FD3" w:rsidRPr="0064794F" w:rsidRDefault="00AC7FD3" w:rsidP="0064794F">
      <w:pPr>
        <w:pStyle w:val="Footer"/>
        <w:spacing w:after="80"/>
        <w:ind w:left="792"/>
        <w:rPr>
          <w:sz w:val="16"/>
        </w:rPr>
      </w:pPr>
      <w:r w:rsidRPr="0064794F">
        <w:rPr>
          <w:sz w:val="16"/>
        </w:rPr>
        <w:t>__________________</w:t>
      </w:r>
    </w:p>
  </w:footnote>
  <w:footnote w:type="continuationNotice" w:id="1">
    <w:p w14:paraId="45B124B3" w14:textId="77777777" w:rsidR="00AC7FD3" w:rsidRDefault="00AC7FD3">
      <w:pPr>
        <w:spacing w:line="240" w:lineRule="auto"/>
      </w:pPr>
    </w:p>
  </w:footnote>
  <w:footnote w:id="2">
    <w:p w14:paraId="3A18125F" w14:textId="2219C691" w:rsidR="001019DF" w:rsidRPr="009953FB" w:rsidRDefault="001019DF" w:rsidP="00F87329">
      <w:pPr>
        <w:pStyle w:val="FootnoteText"/>
        <w:tabs>
          <w:tab w:val="clear" w:pos="418"/>
          <w:tab w:val="right" w:pos="1195"/>
          <w:tab w:val="left" w:pos="1267"/>
          <w:tab w:val="left" w:pos="1742"/>
          <w:tab w:val="left" w:pos="2218"/>
          <w:tab w:val="left" w:pos="2693"/>
        </w:tabs>
        <w:ind w:left="1134" w:right="1340" w:hanging="432"/>
        <w:jc w:val="both"/>
      </w:pPr>
      <w:r w:rsidRPr="00125F39">
        <w:rPr>
          <w:szCs w:val="17"/>
        </w:rPr>
        <w:tab/>
      </w:r>
      <w:r w:rsidRPr="00125F39">
        <w:rPr>
          <w:rStyle w:val="FootnoteReference"/>
          <w:szCs w:val="17"/>
        </w:rPr>
        <w:footnoteRef/>
      </w:r>
      <w:r w:rsidRPr="00125F39">
        <w:rPr>
          <w:szCs w:val="17"/>
        </w:rPr>
        <w:tab/>
      </w:r>
      <w:r>
        <w:rPr>
          <w:szCs w:val="17"/>
        </w:rPr>
        <w:t xml:space="preserve"> </w:t>
      </w:r>
      <w:r w:rsidRPr="001D319C">
        <w:rPr>
          <w:i/>
          <w:iCs/>
        </w:rPr>
        <w:t>Official Records of the General Assembly, Seventy-second Session, Supplement No. 17</w:t>
      </w:r>
      <w:r w:rsidRPr="009953FB">
        <w:t xml:space="preserve"> (</w:t>
      </w:r>
      <w:hyperlink r:id="rId1" w:history="1">
        <w:r w:rsidRPr="008C3C79">
          <w:t>A/72/17</w:t>
        </w:r>
      </w:hyperlink>
      <w:r w:rsidRPr="009953FB">
        <w:t xml:space="preserve">), paras. 263 and 264. </w:t>
      </w:r>
      <w:r w:rsidRPr="004510DA">
        <w:t xml:space="preserve">The deliberations and decisions of the Working Group at the thirty-fourth to thirty-seventh sessions are set out in documents </w:t>
      </w:r>
      <w:hyperlink r:id="rId2" w:history="1">
        <w:r w:rsidRPr="008C3C79">
          <w:t>A/CN.9/930/Rev.1</w:t>
        </w:r>
      </w:hyperlink>
      <w:r w:rsidRPr="004510DA">
        <w:t xml:space="preserve"> and its Addendum, </w:t>
      </w:r>
      <w:hyperlink r:id="rId3" w:history="1">
        <w:r w:rsidRPr="008C3C79">
          <w:t>A/CN.9/935</w:t>
        </w:r>
      </w:hyperlink>
      <w:r w:rsidRPr="004510DA">
        <w:t xml:space="preserve">, </w:t>
      </w:r>
      <w:hyperlink r:id="rId4" w:history="1">
        <w:r w:rsidRPr="008C3C79">
          <w:t>A/CN.9/964</w:t>
        </w:r>
      </w:hyperlink>
      <w:r w:rsidRPr="004510DA">
        <w:t xml:space="preserve">, and </w:t>
      </w:r>
      <w:hyperlink r:id="rId5" w:history="1">
        <w:r w:rsidRPr="008C3C79">
          <w:t>A/CN.9/970</w:t>
        </w:r>
      </w:hyperlink>
      <w:r w:rsidRPr="004510DA">
        <w:t>, respectively.</w:t>
      </w:r>
    </w:p>
  </w:footnote>
  <w:footnote w:id="3">
    <w:p w14:paraId="7A5CFE37" w14:textId="603D1349" w:rsidR="001019DF" w:rsidRPr="009953FB" w:rsidRDefault="001019DF" w:rsidP="00F87329">
      <w:pPr>
        <w:pStyle w:val="FootnoteText"/>
        <w:tabs>
          <w:tab w:val="clear" w:pos="418"/>
          <w:tab w:val="right" w:pos="1195"/>
          <w:tab w:val="left" w:pos="1267"/>
          <w:tab w:val="left" w:pos="1742"/>
          <w:tab w:val="left" w:pos="2218"/>
          <w:tab w:val="left" w:pos="2693"/>
        </w:tabs>
        <w:ind w:left="1560" w:right="113" w:hanging="432"/>
        <w:jc w:val="both"/>
      </w:pPr>
      <w:r w:rsidRPr="00125F39">
        <w:rPr>
          <w:szCs w:val="17"/>
        </w:rPr>
        <w:tab/>
      </w:r>
      <w:r w:rsidRPr="00125F39">
        <w:rPr>
          <w:rStyle w:val="FootnoteReference"/>
          <w:szCs w:val="17"/>
        </w:rPr>
        <w:footnoteRef/>
      </w:r>
      <w:r w:rsidRPr="00125F39">
        <w:rPr>
          <w:szCs w:val="17"/>
        </w:rPr>
        <w:tab/>
      </w:r>
      <w:r>
        <w:rPr>
          <w:szCs w:val="17"/>
        </w:rPr>
        <w:t xml:space="preserve"> </w:t>
      </w:r>
      <w:r w:rsidRPr="009953FB">
        <w:t xml:space="preserve">Document </w:t>
      </w:r>
      <w:hyperlink r:id="rId6" w:history="1">
        <w:r w:rsidRPr="008C3C79">
          <w:t>A/CN.9/WG.III/WP.166</w:t>
        </w:r>
      </w:hyperlink>
      <w:r w:rsidRPr="009953FB">
        <w:t xml:space="preserve"> provides an overview of reform options.</w:t>
      </w:r>
    </w:p>
  </w:footnote>
  <w:footnote w:id="4">
    <w:p w14:paraId="353F7C64" w14:textId="060128C0" w:rsidR="001019DF" w:rsidRPr="008C3C79" w:rsidRDefault="001019DF" w:rsidP="00F87329">
      <w:pPr>
        <w:tabs>
          <w:tab w:val="right" w:pos="1195"/>
          <w:tab w:val="left" w:pos="1267"/>
          <w:tab w:val="left" w:pos="1742"/>
          <w:tab w:val="left" w:pos="2218"/>
          <w:tab w:val="left" w:pos="2693"/>
        </w:tabs>
        <w:suppressAutoHyphens w:val="0"/>
        <w:spacing w:before="40" w:after="40" w:line="210" w:lineRule="exact"/>
        <w:ind w:left="1134" w:right="1340"/>
        <w:jc w:val="both"/>
        <w:rPr>
          <w:spacing w:val="5"/>
          <w:sz w:val="17"/>
        </w:rPr>
      </w:pPr>
      <w:r w:rsidRPr="00125F39">
        <w:rPr>
          <w:rStyle w:val="FootnoteReference"/>
          <w:rFonts w:asciiTheme="majorBidi" w:hAnsiTheme="majorBidi" w:cstheme="majorBidi"/>
          <w:sz w:val="17"/>
          <w:szCs w:val="17"/>
        </w:rPr>
        <w:footnoteRef/>
      </w:r>
      <w:r w:rsidRPr="00125F39">
        <w:rPr>
          <w:rFonts w:asciiTheme="majorBidi" w:hAnsiTheme="majorBidi" w:cstheme="majorBidi"/>
          <w:sz w:val="17"/>
          <w:szCs w:val="17"/>
        </w:rPr>
        <w:tab/>
      </w:r>
      <w:r>
        <w:rPr>
          <w:rFonts w:asciiTheme="majorBidi" w:hAnsiTheme="majorBidi" w:cstheme="majorBidi"/>
          <w:sz w:val="17"/>
          <w:szCs w:val="17"/>
        </w:rPr>
        <w:t xml:space="preserve"> </w:t>
      </w:r>
      <w:r w:rsidRPr="008C3C79">
        <w:rPr>
          <w:spacing w:val="5"/>
          <w:sz w:val="17"/>
        </w:rPr>
        <w:t>This Note was prepared with reference to a broad range of published information on the topic, including: Scoping study  Securing adequate legal defen</w:t>
      </w:r>
      <w:r>
        <w:rPr>
          <w:spacing w:val="5"/>
          <w:sz w:val="17"/>
        </w:rPr>
        <w:t>c</w:t>
      </w:r>
      <w:r w:rsidRPr="008C3C79">
        <w:rPr>
          <w:spacing w:val="5"/>
          <w:sz w:val="17"/>
        </w:rPr>
        <w:t xml:space="preserve">e in Proceedings under International Investment Agreements, prepared by the Columbia Centre for Sustainable Investment (CCSI) on behalf of the Government of the Netherlands, available at:  </w:t>
      </w:r>
      <w:hyperlink r:id="rId7" w:history="1">
        <w:r w:rsidRPr="00F87329">
          <w:rPr>
            <w:spacing w:val="5"/>
            <w:sz w:val="17"/>
          </w:rPr>
          <w:t>https://uncitral.un.org/sites/uncitral.un.org/files/media-documents/uncitral/en/securingadequatedefense.pdf</w:t>
        </w:r>
      </w:hyperlink>
      <w:r w:rsidRPr="00F87329">
        <w:rPr>
          <w:spacing w:val="5"/>
          <w:sz w:val="17"/>
        </w:rPr>
        <w:t xml:space="preserve"> (referred to as the Scoping Study)</w:t>
      </w:r>
      <w:r w:rsidRPr="008C3C79">
        <w:rPr>
          <w:spacing w:val="5"/>
          <w:sz w:val="17"/>
        </w:rPr>
        <w:t xml:space="preserve">; the publication by the Academic Forum, Karl P. Sauvant, An Advisory Centre on International Investment Law: Key Features, available under “ISDS fora” at: </w:t>
      </w:r>
      <w:hyperlink r:id="rId8" w:history="1">
        <w:r w:rsidRPr="00F87329">
          <w:rPr>
            <w:spacing w:val="5"/>
            <w:sz w:val="17"/>
          </w:rPr>
          <w:t>https://uncitral.un.org/en/library/online_resources/investor-state_dispute</w:t>
        </w:r>
      </w:hyperlink>
      <w:r w:rsidRPr="008C3C79">
        <w:rPr>
          <w:spacing w:val="5"/>
          <w:sz w:val="17"/>
        </w:rPr>
        <w:t>; Nicolas Angelet, Ndanga Kamau, Benjamin Remy, Karl P. Sauvant, Carlos Jose Valderrama, and Don Wallace, Note on the costs and financing of an Advisory Centre on International Investment Law</w:t>
      </w:r>
      <w:r>
        <w:rPr>
          <w:spacing w:val="5"/>
          <w:sz w:val="17"/>
        </w:rPr>
        <w:t>;</w:t>
      </w:r>
      <w:r w:rsidRPr="008C3C79">
        <w:rPr>
          <w:spacing w:val="5"/>
          <w:sz w:val="17"/>
        </w:rPr>
        <w:t xml:space="preserve"> </w:t>
      </w:r>
      <w:hyperlink r:id="rId9" w:history="1">
        <w:r w:rsidRPr="00CF29D3">
          <w:rPr>
            <w:spacing w:val="5"/>
            <w:sz w:val="17"/>
          </w:rPr>
          <w:t>A/CN.9/WG.III/WP.161</w:t>
        </w:r>
      </w:hyperlink>
      <w:r w:rsidRPr="008C3C79">
        <w:rPr>
          <w:spacing w:val="5"/>
          <w:sz w:val="17"/>
        </w:rPr>
        <w:t xml:space="preserve"> Submission from the Government of Morocco; </w:t>
      </w:r>
      <w:hyperlink r:id="rId10" w:history="1">
        <w:r w:rsidRPr="00CF29D3">
          <w:rPr>
            <w:spacing w:val="5"/>
            <w:sz w:val="17"/>
          </w:rPr>
          <w:t>A/CN.9/WG.III/WP.162</w:t>
        </w:r>
      </w:hyperlink>
      <w:r w:rsidRPr="008C3C79">
        <w:rPr>
          <w:spacing w:val="5"/>
          <w:sz w:val="17"/>
        </w:rPr>
        <w:t xml:space="preserve">, Submission from the Government of Thailand; </w:t>
      </w:r>
      <w:hyperlink r:id="rId11" w:history="1">
        <w:r w:rsidRPr="00CF29D3">
          <w:rPr>
            <w:spacing w:val="5"/>
            <w:sz w:val="17"/>
          </w:rPr>
          <w:t>A/CN.9/WG.III/WP.164</w:t>
        </w:r>
      </w:hyperlink>
      <w:r w:rsidRPr="00CF29D3">
        <w:rPr>
          <w:spacing w:val="5"/>
          <w:sz w:val="17"/>
        </w:rPr>
        <w:t xml:space="preserve"> </w:t>
      </w:r>
      <w:r w:rsidRPr="008C3C79">
        <w:rPr>
          <w:spacing w:val="5"/>
          <w:sz w:val="17"/>
        </w:rPr>
        <w:t xml:space="preserve">and </w:t>
      </w:r>
      <w:hyperlink r:id="rId12" w:history="1">
        <w:r w:rsidRPr="00CF29D3">
          <w:rPr>
            <w:spacing w:val="5"/>
            <w:sz w:val="17"/>
          </w:rPr>
          <w:t>A/CN.9/WG.III/WP.178</w:t>
        </w:r>
      </w:hyperlink>
      <w:r w:rsidRPr="008C3C79">
        <w:rPr>
          <w:spacing w:val="5"/>
          <w:sz w:val="17"/>
        </w:rPr>
        <w:t xml:space="preserve">, Submission from the Government of Turkey; </w:t>
      </w:r>
      <w:hyperlink r:id="rId13" w:history="1">
        <w:r w:rsidRPr="00CF29D3">
          <w:rPr>
            <w:spacing w:val="5"/>
            <w:sz w:val="17"/>
          </w:rPr>
          <w:t>A/CN.9/WG.III/WP.179</w:t>
        </w:r>
      </w:hyperlink>
      <w:r w:rsidRPr="008C3C79">
        <w:rPr>
          <w:spacing w:val="5"/>
          <w:sz w:val="17"/>
        </w:rPr>
        <w:t xml:space="preserve">, Submission from the Government of the Republic of Korea; </w:t>
      </w:r>
      <w:hyperlink r:id="rId14" w:history="1">
        <w:r w:rsidRPr="00CF29D3">
          <w:rPr>
            <w:spacing w:val="5"/>
            <w:sz w:val="17"/>
          </w:rPr>
          <w:t>A/CN.9/WG.III/WP.188</w:t>
        </w:r>
      </w:hyperlink>
      <w:r w:rsidRPr="008C3C79">
        <w:rPr>
          <w:spacing w:val="5"/>
          <w:sz w:val="17"/>
        </w:rPr>
        <w:t xml:space="preserve">, Submission from the Government of the Russian Federation, </w:t>
      </w:r>
      <w:hyperlink r:id="rId15" w:history="1">
        <w:r w:rsidRPr="00CF29D3">
          <w:rPr>
            <w:spacing w:val="5"/>
            <w:sz w:val="17"/>
          </w:rPr>
          <w:t>A/CN.9/WG.III/WP.183</w:t>
        </w:r>
      </w:hyperlink>
      <w:r w:rsidRPr="008C3C79">
        <w:rPr>
          <w:spacing w:val="5"/>
          <w:sz w:val="17"/>
        </w:rPr>
        <w:t xml:space="preserve">, Submission by the Government of the Republic of Guinea; </w:t>
      </w:r>
      <w:hyperlink r:id="rId16" w:history="1">
        <w:r w:rsidRPr="00CF29D3">
          <w:rPr>
            <w:spacing w:val="5"/>
            <w:sz w:val="17"/>
          </w:rPr>
          <w:t>A/CN.9/WG.III/WP.196</w:t>
        </w:r>
      </w:hyperlink>
      <w:r w:rsidRPr="008C3C79">
        <w:rPr>
          <w:spacing w:val="5"/>
          <w:sz w:val="17"/>
        </w:rPr>
        <w:t>, Submission by the Government of the Republic of The Netherlands, Peru and Thailand.</w:t>
      </w:r>
    </w:p>
    <w:p w14:paraId="76712A02" w14:textId="5EAFA572" w:rsidR="001019DF" w:rsidRPr="00125F39" w:rsidRDefault="001019DF" w:rsidP="00CF29D3">
      <w:pPr>
        <w:pStyle w:val="FootnoteText"/>
        <w:tabs>
          <w:tab w:val="right" w:pos="1195"/>
          <w:tab w:val="left" w:pos="1267"/>
          <w:tab w:val="left" w:pos="1742"/>
          <w:tab w:val="left" w:pos="2218"/>
          <w:tab w:val="left" w:pos="2693"/>
        </w:tabs>
        <w:ind w:left="1560" w:right="1259" w:hanging="432"/>
        <w:jc w:val="both"/>
        <w:rPr>
          <w:szCs w:val="17"/>
        </w:rPr>
      </w:pPr>
    </w:p>
    <w:p w14:paraId="49E3E8AD" w14:textId="4A1E71D9" w:rsidR="001019DF" w:rsidRPr="00125F39" w:rsidRDefault="001019DF" w:rsidP="00CF29D3">
      <w:pPr>
        <w:pStyle w:val="FootnoteText"/>
        <w:tabs>
          <w:tab w:val="clear" w:pos="418"/>
          <w:tab w:val="right" w:pos="1195"/>
          <w:tab w:val="left" w:pos="1267"/>
          <w:tab w:val="left" w:pos="1742"/>
          <w:tab w:val="left" w:pos="2218"/>
          <w:tab w:val="left" w:pos="2693"/>
        </w:tabs>
        <w:ind w:left="1560" w:right="1259" w:hanging="432"/>
        <w:jc w:val="both"/>
        <w:rPr>
          <w:rFonts w:asciiTheme="majorBidi" w:hAnsiTheme="majorBidi" w:cstheme="majorBidi"/>
          <w:szCs w:val="17"/>
        </w:rPr>
      </w:pPr>
    </w:p>
  </w:footnote>
  <w:footnote w:id="5">
    <w:p w14:paraId="5FF3A503" w14:textId="77777777" w:rsidR="001019DF" w:rsidRDefault="001019DF" w:rsidP="00372DA9">
      <w:pPr>
        <w:pStyle w:val="FootnoteText"/>
        <w:tabs>
          <w:tab w:val="clear" w:pos="418"/>
          <w:tab w:val="right" w:pos="1134"/>
          <w:tab w:val="left" w:pos="1276"/>
        </w:tabs>
        <w:ind w:firstLine="659"/>
      </w:pPr>
      <w:r>
        <w:tab/>
      </w:r>
      <w:r>
        <w:rPr>
          <w:rStyle w:val="FootnoteReference"/>
        </w:rPr>
        <w:footnoteRef/>
      </w:r>
      <w:r>
        <w:t xml:space="preserve"> See also Section 5 of the Scoping Study.</w:t>
      </w:r>
    </w:p>
  </w:footnote>
  <w:footnote w:id="6">
    <w:p w14:paraId="109785F6" w14:textId="2CDFB51F" w:rsidR="001019DF" w:rsidRPr="00F604CB" w:rsidRDefault="001019DF" w:rsidP="00EA4FBF">
      <w:pPr>
        <w:pStyle w:val="FootnoteText"/>
        <w:tabs>
          <w:tab w:val="clear" w:pos="418"/>
          <w:tab w:val="right" w:pos="1276"/>
        </w:tabs>
        <w:ind w:left="1276" w:right="1198" w:firstLine="0"/>
      </w:pPr>
      <w:r>
        <w:rPr>
          <w:rStyle w:val="FootnoteReference"/>
        </w:rPr>
        <w:footnoteRef/>
      </w:r>
      <w:r>
        <w:t xml:space="preserve"> See for further information World Bank Group, Retention and Expansion of Foreign Direct Investment (Echandi, R.), http://documents.worldbank.org/curated/en/387801576142339003/pdf/ Political-Risk-and-Policy-Responses.pdf as well as the Note by the Secretariat on Dispute prevention and mitigation - Means of alternative dispute resolution, A/CN.9/WG.III/WP.190, available at </w:t>
      </w:r>
      <w:r w:rsidRPr="0030312A">
        <w:t>https://undocs.org/en/A/CN.9/WG.III/WP.190</w:t>
      </w:r>
    </w:p>
  </w:footnote>
  <w:footnote w:id="7">
    <w:p w14:paraId="64296C23" w14:textId="77777777" w:rsidR="00B603D8" w:rsidRPr="003D28FC" w:rsidRDefault="00B603D8" w:rsidP="00B603D8">
      <w:pPr>
        <w:suppressAutoHyphens w:val="0"/>
        <w:autoSpaceDE w:val="0"/>
        <w:autoSpaceDN w:val="0"/>
        <w:adjustRightInd w:val="0"/>
        <w:spacing w:line="240" w:lineRule="auto"/>
        <w:ind w:left="1276" w:right="1198"/>
        <w:jc w:val="both"/>
        <w:rPr>
          <w:rFonts w:eastAsiaTheme="minorEastAsia"/>
          <w:color w:val="000000"/>
          <w:spacing w:val="0"/>
          <w:w w:val="100"/>
          <w:kern w:val="0"/>
          <w:lang w:eastAsia="zh-CN"/>
        </w:rPr>
      </w:pPr>
      <w:r>
        <w:rPr>
          <w:rStyle w:val="FootnoteReference"/>
        </w:rPr>
        <w:footnoteRef/>
      </w:r>
      <w:r>
        <w:t xml:space="preserve"> </w:t>
      </w:r>
      <w:r w:rsidRPr="00B14164">
        <w:rPr>
          <w:spacing w:val="5"/>
          <w:sz w:val="17"/>
          <w:szCs w:val="17"/>
        </w:rPr>
        <w:t>UNCTAD</w:t>
      </w:r>
      <w:r w:rsidRPr="00B14164">
        <w:rPr>
          <w:sz w:val="17"/>
          <w:szCs w:val="17"/>
        </w:rPr>
        <w:t xml:space="preserve"> </w:t>
      </w:r>
      <w:r w:rsidRPr="00B14164">
        <w:rPr>
          <w:spacing w:val="5"/>
          <w:sz w:val="17"/>
          <w:szCs w:val="17"/>
        </w:rPr>
        <w:t>has a long-standing programme to provide</w:t>
      </w:r>
      <w:r w:rsidRPr="00B14164">
        <w:rPr>
          <w:sz w:val="17"/>
          <w:szCs w:val="17"/>
        </w:rPr>
        <w:t xml:space="preserve"> </w:t>
      </w:r>
      <w:r w:rsidRPr="00B14164">
        <w:rPr>
          <w:spacing w:val="5"/>
          <w:sz w:val="17"/>
          <w:szCs w:val="17"/>
        </w:rPr>
        <w:t xml:space="preserve">training on the negotiation of </w:t>
      </w:r>
      <w:r>
        <w:rPr>
          <w:spacing w:val="5"/>
          <w:sz w:val="17"/>
          <w:szCs w:val="17"/>
        </w:rPr>
        <w:t>investment</w:t>
      </w:r>
      <w:r w:rsidRPr="00B14164">
        <w:rPr>
          <w:sz w:val="17"/>
          <w:szCs w:val="17"/>
        </w:rPr>
        <w:t xml:space="preserve"> </w:t>
      </w:r>
      <w:r w:rsidRPr="00B14164">
        <w:rPr>
          <w:spacing w:val="5"/>
          <w:sz w:val="17"/>
          <w:szCs w:val="17"/>
        </w:rPr>
        <w:t>treaties, based on extensive and in-depth research and the monitoring of trends</w:t>
      </w:r>
      <w:r>
        <w:rPr>
          <w:spacing w:val="5"/>
          <w:sz w:val="17"/>
          <w:szCs w:val="17"/>
        </w:rPr>
        <w:t xml:space="preserve">, </w:t>
      </w:r>
      <w:r w:rsidRPr="00B14164">
        <w:rPr>
          <w:spacing w:val="5"/>
          <w:sz w:val="17"/>
          <w:szCs w:val="17"/>
        </w:rPr>
        <w:t>informed by intergovernmental deliberations in its Investment Commission and its</w:t>
      </w:r>
      <w:r w:rsidRPr="00B14164">
        <w:rPr>
          <w:sz w:val="17"/>
          <w:szCs w:val="17"/>
        </w:rPr>
        <w:t xml:space="preserve"> “Reform Package for the International Investment Regime (</w:t>
      </w:r>
      <w:r>
        <w:rPr>
          <w:sz w:val="17"/>
          <w:szCs w:val="17"/>
        </w:rPr>
        <w:t xml:space="preserve">see </w:t>
      </w:r>
      <w:r w:rsidRPr="00B14164">
        <w:rPr>
          <w:rFonts w:eastAsiaTheme="minorEastAsia"/>
          <w:color w:val="0000FF"/>
          <w:spacing w:val="0"/>
          <w:w w:val="100"/>
          <w:kern w:val="0"/>
          <w:sz w:val="17"/>
          <w:szCs w:val="17"/>
          <w:lang w:eastAsia="zh-CN"/>
        </w:rPr>
        <w:t>https://investmentpolicy.unctad.org/publications/1190/unctad-s-reformpackage-for-the-international-investment-regime-2018-edition-</w:t>
      </w:r>
      <w:r w:rsidRPr="00B14164">
        <w:rPr>
          <w:rFonts w:eastAsiaTheme="minorEastAsia"/>
          <w:color w:val="000000"/>
          <w:spacing w:val="0"/>
          <w:w w:val="100"/>
          <w:kern w:val="0"/>
          <w:sz w:val="17"/>
          <w:szCs w:val="17"/>
          <w:lang w:eastAsia="zh-CN"/>
        </w:rPr>
        <w:t>)</w:t>
      </w:r>
      <w:r w:rsidRPr="00B14164">
        <w:rPr>
          <w:sz w:val="17"/>
          <w:szCs w:val="17"/>
        </w:rPr>
        <w:t xml:space="preserve"> and upon request, supplemented by country-specific advisory services (</w:t>
      </w:r>
      <w:r>
        <w:rPr>
          <w:sz w:val="17"/>
          <w:szCs w:val="17"/>
        </w:rPr>
        <w:t xml:space="preserve">see </w:t>
      </w:r>
      <w:hyperlink r:id="rId17" w:history="1">
        <w:r w:rsidRPr="003D28FC">
          <w:rPr>
            <w:rStyle w:val="Hyperlink"/>
            <w:rFonts w:eastAsiaTheme="minorEastAsia"/>
            <w:spacing w:val="0"/>
            <w:w w:val="100"/>
            <w:kern w:val="0"/>
            <w:sz w:val="17"/>
            <w:szCs w:val="17"/>
            <w:lang w:eastAsia="zh-CN"/>
          </w:rPr>
          <w:t>https://unctad.org/meetings/en/SessionalDocuments/wpd290add1_en.pdf</w:t>
        </w:r>
      </w:hyperlink>
      <w:r w:rsidRPr="00B14164">
        <w:rPr>
          <w:rFonts w:eastAsiaTheme="minorEastAsia"/>
          <w:color w:val="000000"/>
          <w:spacing w:val="0"/>
          <w:w w:val="100"/>
          <w:kern w:val="0"/>
          <w:sz w:val="17"/>
          <w:szCs w:val="17"/>
          <w:lang w:eastAsia="zh-CN"/>
        </w:rPr>
        <w:t>)</w:t>
      </w:r>
      <w:r>
        <w:rPr>
          <w:sz w:val="17"/>
          <w:szCs w:val="17"/>
        </w:rPr>
        <w:t xml:space="preserve">; </w:t>
      </w:r>
      <w:r w:rsidRPr="00B14164">
        <w:rPr>
          <w:sz w:val="17"/>
          <w:szCs w:val="17"/>
        </w:rPr>
        <w:t>UNCTAD’s “Investment Policy Hub” provides comprehensive information about the principal IIA matters, including information on investment treaties, investment disputes, investment laws, and policy measures (</w:t>
      </w:r>
      <w:r>
        <w:rPr>
          <w:sz w:val="17"/>
          <w:szCs w:val="17"/>
        </w:rPr>
        <w:t xml:space="preserve">see </w:t>
      </w:r>
      <w:hyperlink r:id="rId18" w:history="1">
        <w:r w:rsidRPr="003D28FC">
          <w:rPr>
            <w:rStyle w:val="Hyperlink"/>
            <w:rFonts w:eastAsiaTheme="minorEastAsia"/>
            <w:spacing w:val="0"/>
            <w:w w:val="100"/>
            <w:kern w:val="0"/>
            <w:sz w:val="17"/>
            <w:szCs w:val="17"/>
            <w:lang w:eastAsia="zh-CN"/>
          </w:rPr>
          <w:t>https://investmentpolicy.unctad.org</w:t>
        </w:r>
      </w:hyperlink>
      <w:r w:rsidRPr="00B14164">
        <w:rPr>
          <w:rFonts w:eastAsiaTheme="minorEastAsia"/>
          <w:color w:val="0000FF"/>
          <w:spacing w:val="0"/>
          <w:w w:val="100"/>
          <w:kern w:val="0"/>
          <w:sz w:val="17"/>
          <w:szCs w:val="17"/>
          <w:lang w:eastAsia="zh-CN"/>
        </w:rPr>
        <w:t>)</w:t>
      </w:r>
      <w:r>
        <w:rPr>
          <w:rFonts w:eastAsiaTheme="minorEastAsia"/>
          <w:color w:val="0000FF"/>
          <w:spacing w:val="0"/>
          <w:w w:val="100"/>
          <w:kern w:val="0"/>
          <w:sz w:val="17"/>
          <w:szCs w:val="17"/>
          <w:lang w:eastAsia="zh-CN"/>
        </w:rPr>
        <w:t>;</w:t>
      </w:r>
      <w:r w:rsidRPr="00B14164">
        <w:rPr>
          <w:rFonts w:eastAsiaTheme="minorEastAsia"/>
          <w:color w:val="0000FF"/>
          <w:spacing w:val="0"/>
          <w:w w:val="100"/>
          <w:kern w:val="0"/>
          <w:sz w:val="17"/>
          <w:szCs w:val="17"/>
          <w:lang w:eastAsia="zh-CN"/>
        </w:rPr>
        <w:t xml:space="preserve"> The OECD has an intergovernmental body dealing with investment issues whose deliberations are partly related to the organization’s Policy Framework for Investment (</w:t>
      </w:r>
      <w:r>
        <w:rPr>
          <w:rFonts w:eastAsiaTheme="minorEastAsia"/>
          <w:color w:val="0000FF"/>
          <w:spacing w:val="0"/>
          <w:w w:val="100"/>
          <w:kern w:val="0"/>
          <w:sz w:val="17"/>
          <w:szCs w:val="17"/>
          <w:lang w:eastAsia="zh-CN"/>
        </w:rPr>
        <w:t xml:space="preserve">see </w:t>
      </w:r>
      <w:hyperlink r:id="rId19" w:history="1">
        <w:r w:rsidRPr="003D28FC">
          <w:rPr>
            <w:rStyle w:val="Hyperlink"/>
            <w:rFonts w:eastAsiaTheme="minorEastAsia"/>
            <w:spacing w:val="0"/>
            <w:w w:val="100"/>
            <w:kern w:val="0"/>
            <w:sz w:val="17"/>
            <w:szCs w:val="17"/>
            <w:lang w:eastAsia="zh-CN"/>
          </w:rPr>
          <w:t>https://www.oecd.org/investment/pfi.htm</w:t>
        </w:r>
      </w:hyperlink>
      <w:r w:rsidRPr="00B14164">
        <w:rPr>
          <w:rFonts w:eastAsiaTheme="minorEastAsia"/>
          <w:color w:val="000000"/>
          <w:spacing w:val="0"/>
          <w:w w:val="100"/>
          <w:kern w:val="0"/>
          <w:sz w:val="17"/>
          <w:szCs w:val="17"/>
          <w:lang w:eastAsia="zh-CN"/>
        </w:rPr>
        <w:t>); The Investment Policy and Promotion Unit of the World Bank Group provides training in the international investment area (</w:t>
      </w:r>
      <w:r>
        <w:rPr>
          <w:rFonts w:eastAsiaTheme="minorEastAsia"/>
          <w:color w:val="000000"/>
          <w:spacing w:val="0"/>
          <w:w w:val="100"/>
          <w:kern w:val="0"/>
          <w:sz w:val="17"/>
          <w:szCs w:val="17"/>
          <w:lang w:eastAsia="zh-CN"/>
        </w:rPr>
        <w:t xml:space="preserve">see </w:t>
      </w:r>
      <w:r w:rsidRPr="00B14164">
        <w:rPr>
          <w:rFonts w:eastAsiaTheme="minorEastAsia"/>
          <w:spacing w:val="0"/>
          <w:w w:val="100"/>
          <w:kern w:val="0"/>
          <w:sz w:val="17"/>
          <w:szCs w:val="17"/>
          <w:lang w:eastAsia="zh-CN"/>
        </w:rPr>
        <w:t>https://www.worldbank.org/en/topic/investment-climate/brief/investment-policy-and-promotion)</w:t>
      </w:r>
    </w:p>
    <w:p w14:paraId="242663FE" w14:textId="77777777" w:rsidR="00B603D8" w:rsidRPr="000F7DB6" w:rsidRDefault="00B603D8" w:rsidP="00B603D8">
      <w:pPr>
        <w:pStyle w:val="FootnoteText"/>
      </w:pPr>
    </w:p>
  </w:footnote>
  <w:footnote w:id="8">
    <w:p w14:paraId="1B566481" w14:textId="77777777" w:rsidR="001019DF" w:rsidRDefault="001019DF" w:rsidP="00CF6374">
      <w:pPr>
        <w:pStyle w:val="FootnoteText"/>
        <w:ind w:left="1276" w:right="1198" w:firstLine="0"/>
      </w:pPr>
      <w:r>
        <w:rPr>
          <w:rStyle w:val="FootnoteReference"/>
        </w:rPr>
        <w:footnoteRef/>
      </w:r>
      <w:r>
        <w:t xml:space="preserve"> </w:t>
      </w:r>
      <w:hyperlink r:id="rId20" w:tgtFrame="_blank" w:history="1">
        <w:r w:rsidRPr="004510DA">
          <w:rPr>
            <w:rFonts w:asciiTheme="majorBidi" w:eastAsia="DengXian" w:hAnsiTheme="majorBidi" w:cstheme="majorBidi"/>
            <w:kern w:val="0"/>
            <w:szCs w:val="17"/>
            <w:lang w:eastAsia="zh-CN"/>
          </w:rPr>
          <w:t>A/CN.9/WG.III/WP.196 - Submission from the Governments of The Netherlands, Peru and Thailand</w:t>
        </w:r>
      </w:hyperlink>
      <w:r>
        <w:rPr>
          <w:rFonts w:asciiTheme="majorBidi" w:eastAsia="DengXian" w:hAnsiTheme="majorBidi" w:cstheme="majorBidi"/>
          <w:kern w:val="0"/>
          <w:szCs w:val="17"/>
          <w:lang w:eastAsia="zh-CN"/>
        </w:rPr>
        <w:t xml:space="preserve">; the Scoping </w:t>
      </w:r>
      <w:r w:rsidRPr="004510DA">
        <w:rPr>
          <w:rFonts w:asciiTheme="majorBidi" w:eastAsia="DengXian" w:hAnsiTheme="majorBidi" w:cstheme="majorBidi"/>
          <w:kern w:val="0"/>
          <w:szCs w:val="17"/>
          <w:lang w:eastAsia="zh-CN"/>
        </w:rPr>
        <w:t>Study: “Securing Adequate Legal Defense in Proceedings under International Investment Agreements”</w:t>
      </w:r>
      <w:r>
        <w:rPr>
          <w:rFonts w:asciiTheme="majorBidi" w:eastAsia="DengXian" w:hAnsiTheme="majorBidi" w:cstheme="majorBidi"/>
          <w:kern w:val="0"/>
          <w:szCs w:val="17"/>
          <w:lang w:eastAsia="zh-CN"/>
        </w:rPr>
        <w:t xml:space="preserve"> is available on the UNCITRAL website in English: </w:t>
      </w:r>
      <w:r w:rsidRPr="004510DA">
        <w:rPr>
          <w:rFonts w:asciiTheme="majorBidi" w:eastAsia="DengXian" w:hAnsiTheme="majorBidi" w:cstheme="majorBidi"/>
          <w:kern w:val="0"/>
          <w:szCs w:val="17"/>
          <w:lang w:eastAsia="zh-CN"/>
        </w:rPr>
        <w:t>https://uncitral.un.org/sites/uncitral.un.org/files/media-documents/uncitral/en/securingadequatedefense.pdf</w:t>
      </w:r>
    </w:p>
  </w:footnote>
  <w:footnote w:id="9">
    <w:p w14:paraId="5C5A6D7F" w14:textId="77777777" w:rsidR="001019DF" w:rsidRPr="00EA4FBF" w:rsidRDefault="001019DF" w:rsidP="00CF6374">
      <w:pPr>
        <w:pStyle w:val="FootnoteText"/>
        <w:ind w:left="1276" w:firstLine="0"/>
        <w:jc w:val="both"/>
        <w:rPr>
          <w:szCs w:val="17"/>
        </w:rPr>
      </w:pPr>
      <w:r w:rsidRPr="00125F39">
        <w:rPr>
          <w:rStyle w:val="FootnoteReference"/>
          <w:szCs w:val="17"/>
        </w:rPr>
        <w:footnoteRef/>
      </w:r>
      <w:r w:rsidRPr="00125F39">
        <w:rPr>
          <w:szCs w:val="17"/>
        </w:rPr>
        <w:t xml:space="preserve"> </w:t>
      </w:r>
      <w:r w:rsidRPr="00EA4FBF">
        <w:rPr>
          <w:szCs w:val="17"/>
        </w:rPr>
        <w:t>Scoping Study pp. 59-62</w:t>
      </w:r>
    </w:p>
  </w:footnote>
  <w:footnote w:id="10">
    <w:p w14:paraId="142789AA" w14:textId="77777777" w:rsidR="001019DF" w:rsidRPr="00EA4FBF" w:rsidRDefault="001019DF" w:rsidP="00CF6374">
      <w:pPr>
        <w:pStyle w:val="FootnoteText"/>
        <w:ind w:left="993" w:firstLine="283"/>
        <w:jc w:val="both"/>
        <w:rPr>
          <w:szCs w:val="17"/>
        </w:rPr>
      </w:pPr>
      <w:r w:rsidRPr="00EA4FBF">
        <w:rPr>
          <w:rStyle w:val="FootnoteReference"/>
          <w:szCs w:val="17"/>
        </w:rPr>
        <w:footnoteRef/>
      </w:r>
      <w:r w:rsidRPr="00EA4FBF">
        <w:rPr>
          <w:szCs w:val="17"/>
        </w:rPr>
        <w:t xml:space="preserve"> Ibid</w:t>
      </w:r>
      <w:r>
        <w:rPr>
          <w:szCs w:val="17"/>
        </w:rPr>
        <w:t>, pp</w:t>
      </w:r>
      <w:r w:rsidRPr="00EA4FBF">
        <w:rPr>
          <w:szCs w:val="17"/>
        </w:rPr>
        <w:t>. 63-65</w:t>
      </w:r>
    </w:p>
  </w:footnote>
  <w:footnote w:id="11">
    <w:p w14:paraId="4BD90125" w14:textId="77777777" w:rsidR="001019DF" w:rsidRPr="00EA4FBF" w:rsidRDefault="001019DF" w:rsidP="00CF6374">
      <w:pPr>
        <w:pStyle w:val="FootnoteText"/>
        <w:ind w:firstLine="801"/>
        <w:rPr>
          <w:lang w:val="en-US"/>
        </w:rPr>
      </w:pPr>
      <w:r w:rsidRPr="00EA4FBF">
        <w:rPr>
          <w:rStyle w:val="FootnoteReference"/>
        </w:rPr>
        <w:footnoteRef/>
      </w:r>
      <w:r w:rsidRPr="00EA4FBF">
        <w:t xml:space="preserve"> </w:t>
      </w:r>
      <w:r w:rsidRPr="00EA4FBF">
        <w:rPr>
          <w:lang w:val="en-US"/>
        </w:rPr>
        <w:t>Ibid, pp. 77-78</w:t>
      </w:r>
    </w:p>
  </w:footnote>
  <w:footnote w:id="12">
    <w:p w14:paraId="5F0DBFBB" w14:textId="77777777" w:rsidR="001019DF" w:rsidRPr="00125F39" w:rsidRDefault="001019DF" w:rsidP="00CF6374">
      <w:pPr>
        <w:pStyle w:val="FootnoteText"/>
        <w:ind w:left="993" w:firstLine="283"/>
        <w:jc w:val="both"/>
        <w:rPr>
          <w:szCs w:val="17"/>
          <w:lang w:val="en-US"/>
        </w:rPr>
      </w:pPr>
      <w:r w:rsidRPr="00125F39">
        <w:rPr>
          <w:rStyle w:val="FootnoteReference"/>
          <w:szCs w:val="17"/>
        </w:rPr>
        <w:footnoteRef/>
      </w:r>
      <w:r w:rsidRPr="00125F39">
        <w:rPr>
          <w:szCs w:val="17"/>
        </w:rPr>
        <w:t xml:space="preserve"> </w:t>
      </w:r>
      <w:r w:rsidRPr="00125F39">
        <w:rPr>
          <w:szCs w:val="17"/>
          <w:lang w:val="en-US"/>
        </w:rPr>
        <w:t>Ibid</w:t>
      </w:r>
      <w:r>
        <w:rPr>
          <w:szCs w:val="17"/>
          <w:lang w:val="en-US"/>
        </w:rPr>
        <w:t>, pp.66-</w:t>
      </w:r>
      <w:r w:rsidRPr="00125F39">
        <w:rPr>
          <w:szCs w:val="17"/>
          <w:lang w:val="en-US"/>
        </w:rPr>
        <w:t xml:space="preserve"> 67</w:t>
      </w:r>
    </w:p>
  </w:footnote>
  <w:footnote w:id="13">
    <w:p w14:paraId="2D815A3A" w14:textId="77777777" w:rsidR="001019DF" w:rsidRPr="00125F39" w:rsidRDefault="001019DF" w:rsidP="00CF6374">
      <w:pPr>
        <w:pStyle w:val="FootnoteText"/>
        <w:ind w:left="993" w:firstLine="283"/>
        <w:jc w:val="both"/>
        <w:rPr>
          <w:szCs w:val="17"/>
          <w:lang w:val="en-US"/>
        </w:rPr>
      </w:pPr>
      <w:r w:rsidRPr="00125F39">
        <w:rPr>
          <w:rStyle w:val="FootnoteReference"/>
          <w:szCs w:val="17"/>
        </w:rPr>
        <w:footnoteRef/>
      </w:r>
      <w:r w:rsidRPr="00125F39">
        <w:rPr>
          <w:szCs w:val="17"/>
        </w:rPr>
        <w:t xml:space="preserve"> </w:t>
      </w:r>
      <w:r w:rsidRPr="00125F39">
        <w:rPr>
          <w:szCs w:val="17"/>
          <w:lang w:val="en-US"/>
        </w:rPr>
        <w:t>Ibid</w:t>
      </w:r>
      <w:r>
        <w:rPr>
          <w:szCs w:val="17"/>
          <w:lang w:val="en-US"/>
        </w:rPr>
        <w:t>, pp.</w:t>
      </w:r>
      <w:r w:rsidRPr="00125F39">
        <w:rPr>
          <w:szCs w:val="17"/>
          <w:lang w:val="en-US"/>
        </w:rPr>
        <w:t xml:space="preserve"> 67-71</w:t>
      </w:r>
    </w:p>
  </w:footnote>
  <w:footnote w:id="14">
    <w:p w14:paraId="566F2F1F" w14:textId="77777777" w:rsidR="001019DF" w:rsidRPr="00125F39" w:rsidRDefault="001019DF" w:rsidP="00CF6374">
      <w:pPr>
        <w:pStyle w:val="FootnoteText"/>
        <w:ind w:left="993" w:firstLine="283"/>
        <w:jc w:val="both"/>
        <w:rPr>
          <w:szCs w:val="17"/>
          <w:lang w:val="en-US"/>
        </w:rPr>
      </w:pPr>
      <w:r w:rsidRPr="00125F39">
        <w:rPr>
          <w:rStyle w:val="FootnoteReference"/>
          <w:szCs w:val="17"/>
        </w:rPr>
        <w:footnoteRef/>
      </w:r>
      <w:r w:rsidRPr="00125F39">
        <w:rPr>
          <w:szCs w:val="17"/>
        </w:rPr>
        <w:t xml:space="preserve"> </w:t>
      </w:r>
      <w:r w:rsidRPr="00125F39">
        <w:rPr>
          <w:szCs w:val="17"/>
          <w:lang w:val="en-US"/>
        </w:rPr>
        <w:t>Ibid</w:t>
      </w:r>
      <w:r>
        <w:rPr>
          <w:szCs w:val="17"/>
          <w:lang w:val="en-US"/>
        </w:rPr>
        <w:t>, p.</w:t>
      </w:r>
      <w:r w:rsidRPr="00125F39">
        <w:rPr>
          <w:szCs w:val="17"/>
          <w:lang w:val="en-US"/>
        </w:rPr>
        <w:t xml:space="preserve"> 79</w:t>
      </w:r>
    </w:p>
  </w:footnote>
  <w:footnote w:id="15">
    <w:p w14:paraId="026FA01E" w14:textId="77777777" w:rsidR="001019DF" w:rsidRDefault="001019DF" w:rsidP="00CF6374">
      <w:pPr>
        <w:ind w:left="1276"/>
        <w:rPr>
          <w:i/>
          <w:iCs/>
          <w:sz w:val="17"/>
          <w:szCs w:val="17"/>
        </w:rPr>
      </w:pPr>
      <w:r w:rsidRPr="00125F39">
        <w:rPr>
          <w:rStyle w:val="FootnoteReference"/>
          <w:sz w:val="17"/>
          <w:szCs w:val="17"/>
        </w:rPr>
        <w:footnoteRef/>
      </w:r>
      <w:r w:rsidRPr="00125F39">
        <w:rPr>
          <w:sz w:val="17"/>
          <w:szCs w:val="17"/>
        </w:rPr>
        <w:t xml:space="preserve"> ITA: </w:t>
      </w:r>
      <w:r w:rsidRPr="00125F39">
        <w:rPr>
          <w:i/>
          <w:iCs/>
          <w:sz w:val="17"/>
          <w:szCs w:val="17"/>
        </w:rPr>
        <w:t>Proposal for an ISDS Advisory Centre: Survey on the Non-State Observers' Contribution</w:t>
      </w:r>
    </w:p>
    <w:p w14:paraId="0F5E48F0" w14:textId="77777777" w:rsidR="001019DF" w:rsidRPr="00125F39" w:rsidRDefault="001019DF" w:rsidP="00CF6374">
      <w:pPr>
        <w:ind w:left="1276"/>
        <w:rPr>
          <w:sz w:val="17"/>
          <w:szCs w:val="17"/>
        </w:rPr>
      </w:pPr>
      <w:r w:rsidRPr="00125F39">
        <w:rPr>
          <w:i/>
          <w:iCs/>
          <w:sz w:val="17"/>
          <w:szCs w:val="17"/>
        </w:rPr>
        <w:t xml:space="preserve"> to an ISDS Advisory Centre</w:t>
      </w:r>
      <w:r>
        <w:rPr>
          <w:i/>
          <w:iCs/>
          <w:sz w:val="17"/>
          <w:szCs w:val="17"/>
        </w:rPr>
        <w:t>,</w:t>
      </w:r>
      <w:r w:rsidRPr="00F87329">
        <w:rPr>
          <w:sz w:val="17"/>
          <w:szCs w:val="17"/>
        </w:rPr>
        <w:t xml:space="preserve"> available at</w:t>
      </w:r>
      <w:r>
        <w:rPr>
          <w:sz w:val="17"/>
          <w:szCs w:val="17"/>
        </w:rPr>
        <w:t xml:space="preserve"> </w:t>
      </w:r>
      <w:hyperlink r:id="rId21" w:history="1">
        <w:r w:rsidRPr="00A15766">
          <w:rPr>
            <w:rStyle w:val="Hyperlink"/>
            <w:sz w:val="17"/>
            <w:szCs w:val="17"/>
          </w:rPr>
          <w:t>https://uncitral.un.org/sites/uncitral.un.org/files/media-documents/uncitral/en/ita_advisory_centre_survey.pdf</w:t>
        </w:r>
      </w:hyperlink>
    </w:p>
  </w:footnote>
  <w:footnote w:id="16">
    <w:p w14:paraId="374A27A3" w14:textId="68CC2269" w:rsidR="001019DF" w:rsidRDefault="001019DF" w:rsidP="00F87329">
      <w:pPr>
        <w:pStyle w:val="FootnoteText"/>
        <w:tabs>
          <w:tab w:val="left" w:pos="1985"/>
        </w:tabs>
        <w:ind w:left="1276" w:right="1340" w:firstLine="0"/>
      </w:pPr>
      <w:r>
        <w:rPr>
          <w:rStyle w:val="FootnoteReference"/>
        </w:rPr>
        <w:footnoteRef/>
      </w:r>
      <w:r>
        <w:t xml:space="preserve"> </w:t>
      </w:r>
      <w:r w:rsidRPr="008C3C79">
        <w:rPr>
          <w:rFonts w:asciiTheme="majorBidi" w:hAnsiTheme="majorBidi" w:cstheme="majorBidi"/>
        </w:rPr>
        <w:t>There is no established convention for the designation of “developed” and “developing” States in the United Nations system. However, the M49 standard</w:t>
      </w:r>
      <w:r w:rsidRPr="008C3C79">
        <w:rPr>
          <w:rFonts w:asciiTheme="majorBidi" w:hAnsiTheme="majorBidi" w:cstheme="majorBidi"/>
        </w:rPr>
        <w:footnoteRef/>
      </w:r>
      <w:r w:rsidRPr="008C3C79">
        <w:rPr>
          <w:rFonts w:asciiTheme="majorBidi" w:hAnsiTheme="majorBidi" w:cstheme="majorBidi"/>
        </w:rPr>
        <w:t xml:space="preserve"> has been used for global reporting in the final report of the Millennium Development Goals (MDG), is also the agreed standard for global reporting in relation to the 2030 Agenda for Sustainable Development Goals (SDG) and it is used by the international agencies that provide data to the United Nations Statistics Division (UNSD). </w:t>
      </w:r>
    </w:p>
  </w:footnote>
  <w:footnote w:id="17">
    <w:p w14:paraId="1DA0058D" w14:textId="7A510928" w:rsidR="001019DF" w:rsidRDefault="001019DF" w:rsidP="00C81E28">
      <w:pPr>
        <w:pStyle w:val="FootnoteText"/>
        <w:ind w:left="1276" w:right="1340" w:firstLine="0"/>
      </w:pPr>
      <w:r>
        <w:rPr>
          <w:rStyle w:val="FootnoteReference"/>
        </w:rPr>
        <w:footnoteRef/>
      </w:r>
      <w:r>
        <w:t xml:space="preserve"> See the Scoping study.</w:t>
      </w:r>
    </w:p>
  </w:footnote>
  <w:footnote w:id="18">
    <w:p w14:paraId="78B0840D" w14:textId="77777777" w:rsidR="001019DF" w:rsidRPr="00125F39" w:rsidRDefault="001019DF" w:rsidP="00F87329">
      <w:pPr>
        <w:pStyle w:val="FootnoteText"/>
        <w:ind w:left="1276" w:right="1340"/>
        <w:jc w:val="both"/>
        <w:rPr>
          <w:szCs w:val="17"/>
          <w:lang w:val="en-US"/>
        </w:rPr>
      </w:pPr>
      <w:r w:rsidRPr="00125F39">
        <w:rPr>
          <w:szCs w:val="17"/>
        </w:rPr>
        <w:tab/>
      </w:r>
      <w:r w:rsidRPr="00125F39">
        <w:rPr>
          <w:rStyle w:val="FootnoteReference"/>
          <w:szCs w:val="17"/>
        </w:rPr>
        <w:footnoteRef/>
      </w:r>
      <w:r w:rsidRPr="00125F39">
        <w:rPr>
          <w:szCs w:val="17"/>
        </w:rPr>
        <w:t xml:space="preserve"> </w:t>
      </w:r>
      <w:r w:rsidRPr="00125F39">
        <w:rPr>
          <w:szCs w:val="17"/>
          <w:lang w:val="en-US"/>
        </w:rPr>
        <w:t xml:space="preserve"> </w:t>
      </w:r>
      <w:r w:rsidRPr="00125F39">
        <w:rPr>
          <w:szCs w:val="17"/>
        </w:rPr>
        <w:t xml:space="preserve">For more information about private sector representation through the ACWL, see generally Advisory Centre on WTO Law, </w:t>
      </w:r>
      <w:r w:rsidRPr="00125F39">
        <w:rPr>
          <w:i/>
          <w:iCs/>
          <w:szCs w:val="17"/>
        </w:rPr>
        <w:t xml:space="preserve">Revised Rules for Support in WTO Dispute Settlement Proceedings through External Legal Counsel </w:t>
      </w:r>
      <w:r w:rsidRPr="00125F39">
        <w:rPr>
          <w:szCs w:val="17"/>
        </w:rPr>
        <w:t xml:space="preserve">(2007) (detailing the rules for subcontracting cases to external legal counsel and providing a sample contract engaging the services of external counsel).  </w:t>
      </w:r>
    </w:p>
  </w:footnote>
  <w:footnote w:id="19">
    <w:p w14:paraId="26C6EEB8" w14:textId="77777777" w:rsidR="001019DF" w:rsidRPr="00125F39" w:rsidRDefault="001019DF" w:rsidP="00F87329">
      <w:pPr>
        <w:pStyle w:val="FootnoteText"/>
        <w:ind w:left="1843" w:hanging="567"/>
        <w:jc w:val="both"/>
        <w:rPr>
          <w:szCs w:val="17"/>
          <w:lang w:val="en-US"/>
        </w:rPr>
      </w:pPr>
      <w:r w:rsidRPr="00125F39">
        <w:rPr>
          <w:rStyle w:val="FootnoteReference"/>
          <w:szCs w:val="17"/>
        </w:rPr>
        <w:footnoteRef/>
      </w:r>
      <w:r w:rsidRPr="00125F39">
        <w:rPr>
          <w:szCs w:val="17"/>
        </w:rPr>
        <w:t xml:space="preserve"> CCSI</w:t>
      </w:r>
      <w:r w:rsidRPr="00125F39">
        <w:rPr>
          <w:i/>
          <w:iCs/>
          <w:szCs w:val="17"/>
        </w:rPr>
        <w:t xml:space="preserve"> Scoping Study, </w:t>
      </w:r>
      <w:r w:rsidRPr="00125F39">
        <w:rPr>
          <w:szCs w:val="17"/>
        </w:rPr>
        <w:t>107</w:t>
      </w:r>
    </w:p>
  </w:footnote>
  <w:footnote w:id="20">
    <w:p w14:paraId="38C0D665" w14:textId="77777777" w:rsidR="001019DF" w:rsidRPr="00125F39" w:rsidRDefault="001019DF" w:rsidP="00A56E8A">
      <w:pPr>
        <w:pStyle w:val="FootnoteText"/>
        <w:ind w:left="1276" w:firstLine="0"/>
        <w:jc w:val="both"/>
        <w:rPr>
          <w:szCs w:val="17"/>
          <w:lang w:val="en-US"/>
        </w:rPr>
      </w:pPr>
      <w:r w:rsidRPr="00125F39">
        <w:rPr>
          <w:rStyle w:val="FootnoteReference"/>
          <w:szCs w:val="17"/>
        </w:rPr>
        <w:footnoteRef/>
      </w:r>
      <w:r w:rsidRPr="00125F39">
        <w:rPr>
          <w:szCs w:val="17"/>
        </w:rPr>
        <w:t xml:space="preserve"> </w:t>
      </w:r>
      <w:r w:rsidRPr="00125F39">
        <w:rPr>
          <w:szCs w:val="17"/>
          <w:lang w:val="en-US"/>
        </w:rPr>
        <w:t>Ibid 110</w:t>
      </w:r>
    </w:p>
  </w:footnote>
  <w:footnote w:id="21">
    <w:p w14:paraId="2C6928F4" w14:textId="77777777" w:rsidR="00726882" w:rsidRDefault="00726882" w:rsidP="00726882">
      <w:pPr>
        <w:pStyle w:val="FootnoteText"/>
        <w:tabs>
          <w:tab w:val="clear" w:pos="418"/>
          <w:tab w:val="right" w:pos="1134"/>
        </w:tabs>
        <w:ind w:left="1276" w:right="1198" w:hanging="142"/>
      </w:pPr>
      <w:r>
        <w:tab/>
      </w:r>
      <w:r>
        <w:rPr>
          <w:rStyle w:val="FootnoteReference"/>
        </w:rPr>
        <w:footnoteRef/>
      </w:r>
      <w:r>
        <w:t xml:space="preserve"> </w:t>
      </w:r>
      <w:r w:rsidRPr="008C3C79">
        <w:rPr>
          <w:rFonts w:ascii="Times" w:hAnsi="Times"/>
          <w:szCs w:val="17"/>
          <w:lang w:val="en-US"/>
        </w:rPr>
        <w:t>As an illustration, the Working Group may wish to note the internal organization of the ACWL, which consists of the General Assembly, the Management Board and the Executive Director. The General Assembly is the ACWL’s highest decision-making body, consisting of the representatives of the Members of the ACWL and of the LDCs entitled to the services of the ACWL. It oversees the functioning of the ACWL, monitors the ACWL’s finances and approves the annual budget. It meets at least twice a year. The ACWL’s Management Board is responsible for the decisions necessary to ensure the efficient and effective operation of the ACWL. It functions independently (and free form political interferences) of the General Assembly. The Management Board appoints the Executive Director in consultation with Members, prepares the annual budgets for adoption by the General Assembly, supervises the administration of the Endowment Fund, and proposes regulations on various matters for adoption by the General Assembly. The Management Board consists of six persons. Under the Agreement establishing the ACWL, the Members of the Management Board are to be selected on the basis of their personal qualifications in the field of WTO law or international trade relations and development. Three are nominated by the developing country Members, two by the developed country Members and one by the LDCs. In addition, the Executive Director of the ACWL serves as an ex officio member. The Members of the Management Board serve for two-year terms, which may be renewed. To ensure the independence of the operations of the ACWL from influence by its Members, the Management Board members serve in their personal capacities and independently of their national affiliations.  They undertake not to seek or accept instructions in the performance of their duties from any government or any other source external to the ACWL. The Management Board meets at least twice a year and otherwise as needed to ensure the effective operation of the ACWL.  All decisions of the Management Board are reported to the General Assembly. The Executive Director manages the ACWL’s day-to-day operations and represents the ACWL externally.</w:t>
      </w:r>
    </w:p>
  </w:footnote>
  <w:footnote w:id="22">
    <w:p w14:paraId="5BBB73B2" w14:textId="77777777" w:rsidR="001019DF" w:rsidRDefault="001019DF" w:rsidP="00290C7A">
      <w:pPr>
        <w:pStyle w:val="FootnoteText"/>
        <w:tabs>
          <w:tab w:val="clear" w:pos="418"/>
          <w:tab w:val="right" w:pos="1276"/>
        </w:tabs>
        <w:ind w:left="1276" w:right="1198" w:firstLine="0"/>
      </w:pPr>
      <w:r>
        <w:rPr>
          <w:rStyle w:val="FootnoteReference"/>
        </w:rPr>
        <w:footnoteRef/>
      </w:r>
      <w:r>
        <w:t xml:space="preserve"> The Scoping Study highlights that a connected issue is the question of financial arrangements between any external service provider and the centre, as this may have an impact on how the services are rendered (if they are paid by hours worked, they may have an incentive to raise frivolous arguments or engage in other actions that prolong hours worked in proceedings;  if they are paid based on a flat fee, they may be reluctant to incur costs that would result in their running the case at a loss or shrink their profit; if they are paid based on a contingency fee arrangement, they may push for (or against) any pre-award settlement or other outcome that affects their returns).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1019DF" w14:paraId="3F014ED4" w14:textId="77777777" w:rsidTr="00721987">
      <w:trPr>
        <w:trHeight w:hRule="exact" w:val="864"/>
        <w:jc w:val="center"/>
      </w:trPr>
      <w:tc>
        <w:tcPr>
          <w:tcW w:w="4882" w:type="dxa"/>
          <w:shd w:val="clear" w:color="auto" w:fill="auto"/>
          <w:vAlign w:val="bottom"/>
        </w:tcPr>
        <w:p w14:paraId="6D91DE18" w14:textId="57746F30" w:rsidR="001019DF" w:rsidRPr="00721987" w:rsidRDefault="001019DF" w:rsidP="00721987">
          <w:pPr>
            <w:pStyle w:val="Header"/>
            <w:spacing w:after="80"/>
            <w:rPr>
              <w:b/>
            </w:rPr>
          </w:pPr>
        </w:p>
      </w:tc>
      <w:tc>
        <w:tcPr>
          <w:tcW w:w="4923" w:type="dxa"/>
          <w:shd w:val="clear" w:color="auto" w:fill="auto"/>
          <w:vAlign w:val="bottom"/>
        </w:tcPr>
        <w:p w14:paraId="1002303D" w14:textId="77777777" w:rsidR="001019DF" w:rsidRDefault="001019DF" w:rsidP="00721987">
          <w:pPr>
            <w:pStyle w:val="Header"/>
          </w:pPr>
        </w:p>
      </w:tc>
    </w:tr>
  </w:tbl>
  <w:p w14:paraId="3039FD79" w14:textId="6C0484A6" w:rsidR="001019DF" w:rsidRPr="00721987" w:rsidRDefault="005C260A" w:rsidP="00721987">
    <w:pPr>
      <w:pStyle w:val="Header"/>
    </w:pPr>
    <w:r>
      <w:pict w14:anchorId="29959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95.75pt;height:198.3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1019DF" w14:paraId="5C4A1200" w14:textId="77777777" w:rsidTr="00721987">
      <w:trPr>
        <w:trHeight w:hRule="exact" w:val="864"/>
        <w:jc w:val="center"/>
      </w:trPr>
      <w:tc>
        <w:tcPr>
          <w:tcW w:w="4882" w:type="dxa"/>
          <w:shd w:val="clear" w:color="auto" w:fill="auto"/>
          <w:vAlign w:val="bottom"/>
        </w:tcPr>
        <w:p w14:paraId="7D220D3F" w14:textId="5F83C249" w:rsidR="001019DF" w:rsidRDefault="001019DF" w:rsidP="00721987">
          <w:pPr>
            <w:pStyle w:val="Header"/>
          </w:pPr>
        </w:p>
      </w:tc>
      <w:tc>
        <w:tcPr>
          <w:tcW w:w="4923" w:type="dxa"/>
          <w:shd w:val="clear" w:color="auto" w:fill="auto"/>
          <w:vAlign w:val="bottom"/>
        </w:tcPr>
        <w:p w14:paraId="1E632333" w14:textId="28DA6911" w:rsidR="001019DF" w:rsidRPr="00721987" w:rsidRDefault="001019DF" w:rsidP="00721987">
          <w:pPr>
            <w:pStyle w:val="Header"/>
            <w:spacing w:after="80"/>
            <w:jc w:val="right"/>
            <w:rPr>
              <w:b/>
            </w:rPr>
          </w:pPr>
        </w:p>
      </w:tc>
    </w:tr>
  </w:tbl>
  <w:p w14:paraId="20A165DD" w14:textId="7FD6D30A" w:rsidR="001019DF" w:rsidRPr="00721987" w:rsidRDefault="005C260A" w:rsidP="00721987">
    <w:pPr>
      <w:pStyle w:val="Header"/>
    </w:pPr>
    <w:r>
      <w:pict w14:anchorId="737F90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95.75pt;height:198.3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1019DF" w14:paraId="1B2B89BB" w14:textId="77777777" w:rsidTr="00721987">
      <w:trPr>
        <w:trHeight w:hRule="exact" w:val="864"/>
      </w:trPr>
      <w:tc>
        <w:tcPr>
          <w:tcW w:w="1267" w:type="dxa"/>
          <w:tcBorders>
            <w:bottom w:val="single" w:sz="4" w:space="0" w:color="auto"/>
          </w:tcBorders>
          <w:shd w:val="clear" w:color="auto" w:fill="auto"/>
          <w:vAlign w:val="bottom"/>
        </w:tcPr>
        <w:p w14:paraId="6E365AF4" w14:textId="77777777" w:rsidR="001019DF" w:rsidRDefault="001019DF" w:rsidP="00721987">
          <w:pPr>
            <w:pStyle w:val="Header"/>
            <w:spacing w:after="120"/>
          </w:pPr>
        </w:p>
      </w:tc>
      <w:tc>
        <w:tcPr>
          <w:tcW w:w="1872" w:type="dxa"/>
          <w:tcBorders>
            <w:bottom w:val="single" w:sz="4" w:space="0" w:color="auto"/>
          </w:tcBorders>
          <w:shd w:val="clear" w:color="auto" w:fill="auto"/>
          <w:vAlign w:val="bottom"/>
        </w:tcPr>
        <w:p w14:paraId="364C253F" w14:textId="77777777" w:rsidR="001019DF" w:rsidRPr="00721987" w:rsidRDefault="001019DF" w:rsidP="00721987">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23DBD3A" w14:textId="77777777" w:rsidR="001019DF" w:rsidRDefault="001019DF" w:rsidP="00721987">
          <w:pPr>
            <w:pStyle w:val="Header"/>
            <w:spacing w:after="120"/>
          </w:pPr>
        </w:p>
      </w:tc>
      <w:tc>
        <w:tcPr>
          <w:tcW w:w="6466" w:type="dxa"/>
          <w:gridSpan w:val="4"/>
          <w:tcBorders>
            <w:bottom w:val="single" w:sz="4" w:space="0" w:color="auto"/>
          </w:tcBorders>
          <w:shd w:val="clear" w:color="auto" w:fill="auto"/>
          <w:vAlign w:val="bottom"/>
        </w:tcPr>
        <w:p w14:paraId="35911DA8" w14:textId="4466451C" w:rsidR="001019DF" w:rsidRPr="00721987" w:rsidRDefault="001019DF" w:rsidP="00721987">
          <w:pPr>
            <w:spacing w:after="80" w:line="240" w:lineRule="auto"/>
            <w:jc w:val="right"/>
            <w:rPr>
              <w:position w:val="-4"/>
            </w:rPr>
          </w:pPr>
          <w:r>
            <w:rPr>
              <w:position w:val="-4"/>
              <w:sz w:val="40"/>
            </w:rPr>
            <w:t>A</w:t>
          </w:r>
          <w:r>
            <w:rPr>
              <w:position w:val="-4"/>
            </w:rPr>
            <w:t>/CN.9/WG.III/WP.</w:t>
          </w:r>
        </w:p>
      </w:tc>
    </w:tr>
    <w:tr w:rsidR="001019DF" w:rsidRPr="00721987" w14:paraId="0B523DBD" w14:textId="77777777" w:rsidTr="00721987">
      <w:trPr>
        <w:gridAfter w:val="1"/>
        <w:wAfter w:w="11" w:type="dxa"/>
        <w:trHeight w:hRule="exact" w:val="2880"/>
      </w:trPr>
      <w:tc>
        <w:tcPr>
          <w:tcW w:w="1267" w:type="dxa"/>
          <w:tcBorders>
            <w:top w:val="single" w:sz="4" w:space="0" w:color="auto"/>
            <w:bottom w:val="single" w:sz="12" w:space="0" w:color="auto"/>
          </w:tcBorders>
          <w:shd w:val="clear" w:color="auto" w:fill="auto"/>
        </w:tcPr>
        <w:p w14:paraId="704F7A49" w14:textId="77777777" w:rsidR="001019DF" w:rsidRPr="00721987" w:rsidRDefault="001019DF" w:rsidP="00721987">
          <w:pPr>
            <w:pStyle w:val="Header"/>
            <w:spacing w:before="120"/>
            <w:jc w:val="center"/>
          </w:pPr>
          <w:r>
            <w:t xml:space="preserve"> </w:t>
          </w:r>
          <w:r>
            <w:drawing>
              <wp:inline distT="0" distB="0" distL="0" distR="0" wp14:anchorId="6392D1AC" wp14:editId="1282B257">
                <wp:extent cx="713232" cy="59710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34133AEE" w14:textId="77777777" w:rsidR="001019DF" w:rsidRPr="00721987" w:rsidRDefault="001019DF" w:rsidP="00721987">
          <w:pPr>
            <w:pStyle w:val="XLarge"/>
            <w:spacing w:before="109" w:line="390" w:lineRule="atLeast"/>
          </w:pPr>
          <w:r>
            <w:t>General Assembly</w:t>
          </w:r>
        </w:p>
      </w:tc>
      <w:tc>
        <w:tcPr>
          <w:tcW w:w="245" w:type="dxa"/>
          <w:tcBorders>
            <w:top w:val="single" w:sz="4" w:space="0" w:color="auto"/>
            <w:bottom w:val="single" w:sz="12" w:space="0" w:color="auto"/>
          </w:tcBorders>
          <w:shd w:val="clear" w:color="auto" w:fill="auto"/>
        </w:tcPr>
        <w:p w14:paraId="60C89267" w14:textId="77777777" w:rsidR="001019DF" w:rsidRPr="00721987" w:rsidRDefault="001019DF" w:rsidP="00721987">
          <w:pPr>
            <w:pStyle w:val="Header"/>
            <w:spacing w:before="109"/>
          </w:pPr>
        </w:p>
      </w:tc>
      <w:tc>
        <w:tcPr>
          <w:tcW w:w="3100" w:type="dxa"/>
          <w:tcBorders>
            <w:top w:val="single" w:sz="4" w:space="0" w:color="auto"/>
            <w:bottom w:val="single" w:sz="12" w:space="0" w:color="auto"/>
          </w:tcBorders>
          <w:shd w:val="clear" w:color="auto" w:fill="auto"/>
        </w:tcPr>
        <w:p w14:paraId="09A56060" w14:textId="77777777" w:rsidR="001019DF" w:rsidRDefault="001019DF" w:rsidP="00721987">
          <w:pPr>
            <w:pStyle w:val="Distribution"/>
            <w:rPr>
              <w:color w:val="010000"/>
            </w:rPr>
          </w:pPr>
          <w:r>
            <w:rPr>
              <w:color w:val="010000"/>
            </w:rPr>
            <w:t>Distr.: Limited</w:t>
          </w:r>
        </w:p>
        <w:p w14:paraId="417B088F" w14:textId="77777777" w:rsidR="001019DF" w:rsidRDefault="001019DF" w:rsidP="00721987"/>
        <w:p w14:paraId="28043F60" w14:textId="77777777" w:rsidR="001019DF" w:rsidRDefault="001019DF" w:rsidP="00721987">
          <w:pPr>
            <w:pStyle w:val="Original"/>
            <w:rPr>
              <w:color w:val="010000"/>
            </w:rPr>
          </w:pPr>
          <w:r>
            <w:rPr>
              <w:color w:val="010000"/>
            </w:rPr>
            <w:t>Original: English</w:t>
          </w:r>
        </w:p>
        <w:p w14:paraId="46000F28" w14:textId="77777777" w:rsidR="001019DF" w:rsidRPr="00721987" w:rsidRDefault="001019DF" w:rsidP="00721987"/>
      </w:tc>
    </w:tr>
  </w:tbl>
  <w:p w14:paraId="6D1724B8" w14:textId="4D60100C" w:rsidR="001019DF" w:rsidRPr="00721987" w:rsidRDefault="005C260A" w:rsidP="00721987">
    <w:pPr>
      <w:pStyle w:val="Header"/>
      <w:rPr>
        <w:sz w:val="2"/>
      </w:rPr>
    </w:pPr>
    <w:r>
      <w:pict w14:anchorId="479F82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95.75pt;height:198.3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0F8"/>
    <w:multiLevelType w:val="hybridMultilevel"/>
    <w:tmpl w:val="7B9C8F6C"/>
    <w:lvl w:ilvl="0" w:tplc="403EE248">
      <w:start w:val="5"/>
      <w:numFmt w:val="lowerLetter"/>
      <w:lvlText w:val="%1."/>
      <w:lvlJc w:val="left"/>
      <w:pPr>
        <w:ind w:left="2724" w:hanging="360"/>
      </w:pPr>
      <w:rPr>
        <w:rFonts w:hint="default"/>
      </w:rPr>
    </w:lvl>
    <w:lvl w:ilvl="1" w:tplc="10000019" w:tentative="1">
      <w:start w:val="1"/>
      <w:numFmt w:val="lowerLetter"/>
      <w:lvlText w:val="%2."/>
      <w:lvlJc w:val="left"/>
      <w:pPr>
        <w:ind w:left="3444" w:hanging="360"/>
      </w:pPr>
    </w:lvl>
    <w:lvl w:ilvl="2" w:tplc="1000001B" w:tentative="1">
      <w:start w:val="1"/>
      <w:numFmt w:val="lowerRoman"/>
      <w:lvlText w:val="%3."/>
      <w:lvlJc w:val="right"/>
      <w:pPr>
        <w:ind w:left="4164" w:hanging="180"/>
      </w:pPr>
    </w:lvl>
    <w:lvl w:ilvl="3" w:tplc="1000000F" w:tentative="1">
      <w:start w:val="1"/>
      <w:numFmt w:val="decimal"/>
      <w:lvlText w:val="%4."/>
      <w:lvlJc w:val="left"/>
      <w:pPr>
        <w:ind w:left="4884" w:hanging="360"/>
      </w:pPr>
    </w:lvl>
    <w:lvl w:ilvl="4" w:tplc="10000019" w:tentative="1">
      <w:start w:val="1"/>
      <w:numFmt w:val="lowerLetter"/>
      <w:lvlText w:val="%5."/>
      <w:lvlJc w:val="left"/>
      <w:pPr>
        <w:ind w:left="5604" w:hanging="360"/>
      </w:pPr>
    </w:lvl>
    <w:lvl w:ilvl="5" w:tplc="1000001B" w:tentative="1">
      <w:start w:val="1"/>
      <w:numFmt w:val="lowerRoman"/>
      <w:lvlText w:val="%6."/>
      <w:lvlJc w:val="right"/>
      <w:pPr>
        <w:ind w:left="6324" w:hanging="180"/>
      </w:pPr>
    </w:lvl>
    <w:lvl w:ilvl="6" w:tplc="1000000F" w:tentative="1">
      <w:start w:val="1"/>
      <w:numFmt w:val="decimal"/>
      <w:lvlText w:val="%7."/>
      <w:lvlJc w:val="left"/>
      <w:pPr>
        <w:ind w:left="7044" w:hanging="360"/>
      </w:pPr>
    </w:lvl>
    <w:lvl w:ilvl="7" w:tplc="10000019" w:tentative="1">
      <w:start w:val="1"/>
      <w:numFmt w:val="lowerLetter"/>
      <w:lvlText w:val="%8."/>
      <w:lvlJc w:val="left"/>
      <w:pPr>
        <w:ind w:left="7764" w:hanging="360"/>
      </w:pPr>
    </w:lvl>
    <w:lvl w:ilvl="8" w:tplc="1000001B" w:tentative="1">
      <w:start w:val="1"/>
      <w:numFmt w:val="lowerRoman"/>
      <w:lvlText w:val="%9."/>
      <w:lvlJc w:val="right"/>
      <w:pPr>
        <w:ind w:left="8484" w:hanging="180"/>
      </w:pPr>
    </w:lvl>
  </w:abstractNum>
  <w:abstractNum w:abstractNumId="1" w15:restartNumberingAfterBreak="0">
    <w:nsid w:val="05BC1E17"/>
    <w:multiLevelType w:val="hybridMultilevel"/>
    <w:tmpl w:val="932C928E"/>
    <w:lvl w:ilvl="0" w:tplc="498E3842">
      <w:start w:val="2"/>
      <w:numFmt w:val="upperRoman"/>
      <w:lvlText w:val="%1."/>
      <w:lvlJc w:val="left"/>
      <w:pPr>
        <w:ind w:left="1080" w:hanging="72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F2D6503"/>
    <w:multiLevelType w:val="hybridMultilevel"/>
    <w:tmpl w:val="829CFDE4"/>
    <w:lvl w:ilvl="0" w:tplc="B1EACF9C">
      <w:start w:val="1"/>
      <w:numFmt w:val="lowerLetter"/>
      <w:lvlText w:val="%1)"/>
      <w:lvlJc w:val="left"/>
      <w:pPr>
        <w:ind w:left="2952" w:hanging="360"/>
      </w:pPr>
      <w:rPr>
        <w:rFonts w:hint="default"/>
        <w:i/>
        <w:iCs/>
      </w:rPr>
    </w:lvl>
    <w:lvl w:ilvl="1" w:tplc="08090019">
      <w:start w:val="1"/>
      <w:numFmt w:val="lowerLetter"/>
      <w:lvlText w:val="%2."/>
      <w:lvlJc w:val="left"/>
      <w:pPr>
        <w:ind w:left="3672" w:hanging="360"/>
      </w:pPr>
    </w:lvl>
    <w:lvl w:ilvl="2" w:tplc="0809001B" w:tentative="1">
      <w:start w:val="1"/>
      <w:numFmt w:val="lowerRoman"/>
      <w:lvlText w:val="%3."/>
      <w:lvlJc w:val="right"/>
      <w:pPr>
        <w:ind w:left="4392" w:hanging="180"/>
      </w:pPr>
    </w:lvl>
    <w:lvl w:ilvl="3" w:tplc="0809000F" w:tentative="1">
      <w:start w:val="1"/>
      <w:numFmt w:val="decimal"/>
      <w:lvlText w:val="%4."/>
      <w:lvlJc w:val="left"/>
      <w:pPr>
        <w:ind w:left="5112" w:hanging="360"/>
      </w:pPr>
    </w:lvl>
    <w:lvl w:ilvl="4" w:tplc="08090019" w:tentative="1">
      <w:start w:val="1"/>
      <w:numFmt w:val="lowerLetter"/>
      <w:lvlText w:val="%5."/>
      <w:lvlJc w:val="left"/>
      <w:pPr>
        <w:ind w:left="5832" w:hanging="360"/>
      </w:pPr>
    </w:lvl>
    <w:lvl w:ilvl="5" w:tplc="0809001B" w:tentative="1">
      <w:start w:val="1"/>
      <w:numFmt w:val="lowerRoman"/>
      <w:lvlText w:val="%6."/>
      <w:lvlJc w:val="right"/>
      <w:pPr>
        <w:ind w:left="6552" w:hanging="180"/>
      </w:pPr>
    </w:lvl>
    <w:lvl w:ilvl="6" w:tplc="0809000F" w:tentative="1">
      <w:start w:val="1"/>
      <w:numFmt w:val="decimal"/>
      <w:lvlText w:val="%7."/>
      <w:lvlJc w:val="left"/>
      <w:pPr>
        <w:ind w:left="7272" w:hanging="360"/>
      </w:pPr>
    </w:lvl>
    <w:lvl w:ilvl="7" w:tplc="08090019" w:tentative="1">
      <w:start w:val="1"/>
      <w:numFmt w:val="lowerLetter"/>
      <w:lvlText w:val="%8."/>
      <w:lvlJc w:val="left"/>
      <w:pPr>
        <w:ind w:left="7992" w:hanging="360"/>
      </w:pPr>
    </w:lvl>
    <w:lvl w:ilvl="8" w:tplc="0809001B" w:tentative="1">
      <w:start w:val="1"/>
      <w:numFmt w:val="lowerRoman"/>
      <w:lvlText w:val="%9."/>
      <w:lvlJc w:val="right"/>
      <w:pPr>
        <w:ind w:left="8712" w:hanging="180"/>
      </w:pPr>
    </w:lvl>
  </w:abstractNum>
  <w:abstractNum w:abstractNumId="3" w15:restartNumberingAfterBreak="0">
    <w:nsid w:val="10BB7813"/>
    <w:multiLevelType w:val="multilevel"/>
    <w:tmpl w:val="FCD2C54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08"/>
        </w:tabs>
        <w:ind w:left="1708" w:hanging="432"/>
      </w:pPr>
      <w:rPr>
        <w:rFonts w:hint="default"/>
        <w:b w:val="0"/>
        <w:bCs/>
      </w:rPr>
    </w:lvl>
    <w:lvl w:ilvl="2">
      <w:start w:val="1"/>
      <w:numFmt w:val="decimal"/>
      <w:lvlText w:val="%3."/>
      <w:lvlJc w:val="left"/>
      <w:pPr>
        <w:tabs>
          <w:tab w:val="num" w:pos="1991"/>
        </w:tabs>
        <w:ind w:left="1991" w:hanging="432"/>
      </w:pPr>
      <w:rPr>
        <w:rFonts w:hint="default"/>
        <w:b w:val="0"/>
        <w:bCs w:val="0"/>
        <w:i w:val="0"/>
        <w:iCs w:val="0"/>
        <w:color w:val="auto"/>
      </w:rPr>
    </w:lvl>
    <w:lvl w:ilvl="3">
      <w:start w:val="1"/>
      <w:numFmt w:val="lowerLetter"/>
      <w:lvlText w:val="%4)"/>
      <w:lvlJc w:val="left"/>
      <w:pPr>
        <w:tabs>
          <w:tab w:val="num" w:pos="2592"/>
        </w:tabs>
        <w:ind w:left="2592" w:hanging="432"/>
      </w:pPr>
      <w:rPr>
        <w:rFonts w:ascii="Times New Roman" w:eastAsiaTheme="minorHAnsi" w:hAnsi="Times New Roman" w:cs="Times New Roman"/>
      </w:rPr>
    </w:lvl>
    <w:lvl w:ilvl="4">
      <w:start w:val="1"/>
      <w:numFmt w:val="decimal"/>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1BA3BD5"/>
    <w:multiLevelType w:val="hybridMultilevel"/>
    <w:tmpl w:val="ECA28712"/>
    <w:lvl w:ilvl="0" w:tplc="625E2E1A">
      <w:start w:val="1"/>
      <w:numFmt w:val="upperLetter"/>
      <w:lvlText w:val="%1."/>
      <w:lvlJc w:val="left"/>
      <w:pPr>
        <w:ind w:left="1764" w:hanging="480"/>
      </w:pPr>
      <w:rPr>
        <w:rFonts w:hint="default"/>
      </w:rPr>
    </w:lvl>
    <w:lvl w:ilvl="1" w:tplc="08090019">
      <w:start w:val="1"/>
      <w:numFmt w:val="lowerLetter"/>
      <w:lvlText w:val="%2."/>
      <w:lvlJc w:val="left"/>
      <w:pPr>
        <w:ind w:left="2364" w:hanging="360"/>
      </w:pPr>
    </w:lvl>
    <w:lvl w:ilvl="2" w:tplc="0809001B">
      <w:start w:val="1"/>
      <w:numFmt w:val="lowerRoman"/>
      <w:lvlText w:val="%3."/>
      <w:lvlJc w:val="right"/>
      <w:pPr>
        <w:ind w:left="3084" w:hanging="180"/>
      </w:pPr>
    </w:lvl>
    <w:lvl w:ilvl="3" w:tplc="F91677DA">
      <w:start w:val="18"/>
      <w:numFmt w:val="decimal"/>
      <w:lvlText w:val="%4."/>
      <w:lvlJc w:val="left"/>
      <w:pPr>
        <w:ind w:left="3804" w:hanging="360"/>
      </w:pPr>
      <w:rPr>
        <w:rFonts w:hint="default"/>
      </w:rPr>
    </w:lvl>
    <w:lvl w:ilvl="4" w:tplc="1F1CCA94">
      <w:start w:val="1"/>
      <w:numFmt w:val="decimal"/>
      <w:lvlText w:val="%5."/>
      <w:lvlJc w:val="left"/>
      <w:pPr>
        <w:ind w:left="4524" w:hanging="360"/>
      </w:pPr>
      <w:rPr>
        <w:rFonts w:asciiTheme="majorBidi" w:eastAsiaTheme="minorHAnsi" w:hAnsiTheme="majorBidi" w:cstheme="majorBidi"/>
      </w:rPr>
    </w:lvl>
    <w:lvl w:ilvl="5" w:tplc="0809001B" w:tentative="1">
      <w:start w:val="1"/>
      <w:numFmt w:val="lowerRoman"/>
      <w:lvlText w:val="%6."/>
      <w:lvlJc w:val="right"/>
      <w:pPr>
        <w:ind w:left="5244" w:hanging="180"/>
      </w:pPr>
    </w:lvl>
    <w:lvl w:ilvl="6" w:tplc="0809000F" w:tentative="1">
      <w:start w:val="1"/>
      <w:numFmt w:val="decimal"/>
      <w:lvlText w:val="%7."/>
      <w:lvlJc w:val="left"/>
      <w:pPr>
        <w:ind w:left="5964" w:hanging="360"/>
      </w:pPr>
    </w:lvl>
    <w:lvl w:ilvl="7" w:tplc="08090019" w:tentative="1">
      <w:start w:val="1"/>
      <w:numFmt w:val="lowerLetter"/>
      <w:lvlText w:val="%8."/>
      <w:lvlJc w:val="left"/>
      <w:pPr>
        <w:ind w:left="6684" w:hanging="360"/>
      </w:pPr>
    </w:lvl>
    <w:lvl w:ilvl="8" w:tplc="0809001B" w:tentative="1">
      <w:start w:val="1"/>
      <w:numFmt w:val="lowerRoman"/>
      <w:lvlText w:val="%9."/>
      <w:lvlJc w:val="right"/>
      <w:pPr>
        <w:ind w:left="7404" w:hanging="180"/>
      </w:pPr>
    </w:lvl>
  </w:abstractNum>
  <w:abstractNum w:abstractNumId="5" w15:restartNumberingAfterBreak="0">
    <w:nsid w:val="12BB473D"/>
    <w:multiLevelType w:val="hybridMultilevel"/>
    <w:tmpl w:val="90E8A0F0"/>
    <w:lvl w:ilvl="0" w:tplc="92F40384">
      <w:start w:val="1"/>
      <w:numFmt w:val="decimal"/>
      <w:lvlText w:val="%1."/>
      <w:lvlJc w:val="left"/>
      <w:pPr>
        <w:ind w:left="2952" w:hanging="360"/>
      </w:pPr>
      <w:rPr>
        <w:rFonts w:hint="default"/>
      </w:rPr>
    </w:lvl>
    <w:lvl w:ilvl="1" w:tplc="08090019" w:tentative="1">
      <w:start w:val="1"/>
      <w:numFmt w:val="lowerLetter"/>
      <w:lvlText w:val="%2."/>
      <w:lvlJc w:val="left"/>
      <w:pPr>
        <w:ind w:left="3672" w:hanging="360"/>
      </w:pPr>
    </w:lvl>
    <w:lvl w:ilvl="2" w:tplc="0809001B" w:tentative="1">
      <w:start w:val="1"/>
      <w:numFmt w:val="lowerRoman"/>
      <w:lvlText w:val="%3."/>
      <w:lvlJc w:val="right"/>
      <w:pPr>
        <w:ind w:left="4392" w:hanging="180"/>
      </w:pPr>
    </w:lvl>
    <w:lvl w:ilvl="3" w:tplc="0809000F" w:tentative="1">
      <w:start w:val="1"/>
      <w:numFmt w:val="decimal"/>
      <w:lvlText w:val="%4."/>
      <w:lvlJc w:val="left"/>
      <w:pPr>
        <w:ind w:left="5112" w:hanging="360"/>
      </w:pPr>
    </w:lvl>
    <w:lvl w:ilvl="4" w:tplc="08090019" w:tentative="1">
      <w:start w:val="1"/>
      <w:numFmt w:val="lowerLetter"/>
      <w:lvlText w:val="%5."/>
      <w:lvlJc w:val="left"/>
      <w:pPr>
        <w:ind w:left="5832" w:hanging="360"/>
      </w:pPr>
    </w:lvl>
    <w:lvl w:ilvl="5" w:tplc="0809001B" w:tentative="1">
      <w:start w:val="1"/>
      <w:numFmt w:val="lowerRoman"/>
      <w:lvlText w:val="%6."/>
      <w:lvlJc w:val="right"/>
      <w:pPr>
        <w:ind w:left="6552" w:hanging="180"/>
      </w:pPr>
    </w:lvl>
    <w:lvl w:ilvl="6" w:tplc="0809000F" w:tentative="1">
      <w:start w:val="1"/>
      <w:numFmt w:val="decimal"/>
      <w:lvlText w:val="%7."/>
      <w:lvlJc w:val="left"/>
      <w:pPr>
        <w:ind w:left="7272" w:hanging="360"/>
      </w:pPr>
    </w:lvl>
    <w:lvl w:ilvl="7" w:tplc="08090019" w:tentative="1">
      <w:start w:val="1"/>
      <w:numFmt w:val="lowerLetter"/>
      <w:lvlText w:val="%8."/>
      <w:lvlJc w:val="left"/>
      <w:pPr>
        <w:ind w:left="7992" w:hanging="360"/>
      </w:pPr>
    </w:lvl>
    <w:lvl w:ilvl="8" w:tplc="0809001B" w:tentative="1">
      <w:start w:val="1"/>
      <w:numFmt w:val="lowerRoman"/>
      <w:lvlText w:val="%9."/>
      <w:lvlJc w:val="right"/>
      <w:pPr>
        <w:ind w:left="8712" w:hanging="180"/>
      </w:pPr>
    </w:lvl>
  </w:abstractNum>
  <w:abstractNum w:abstractNumId="6" w15:restartNumberingAfterBreak="0">
    <w:nsid w:val="153666DD"/>
    <w:multiLevelType w:val="hybridMultilevel"/>
    <w:tmpl w:val="ABC63DFE"/>
    <w:lvl w:ilvl="0" w:tplc="44D28892">
      <w:start w:val="1"/>
      <w:numFmt w:val="lowerLetter"/>
      <w:lvlText w:val="%1."/>
      <w:lvlJc w:val="left"/>
      <w:pPr>
        <w:ind w:left="1636" w:hanging="360"/>
      </w:pPr>
      <w:rPr>
        <w:rFonts w:hint="default"/>
      </w:rPr>
    </w:lvl>
    <w:lvl w:ilvl="1" w:tplc="10000019" w:tentative="1">
      <w:start w:val="1"/>
      <w:numFmt w:val="lowerLetter"/>
      <w:lvlText w:val="%2."/>
      <w:lvlJc w:val="left"/>
      <w:pPr>
        <w:ind w:left="2356" w:hanging="360"/>
      </w:pPr>
    </w:lvl>
    <w:lvl w:ilvl="2" w:tplc="1000001B" w:tentative="1">
      <w:start w:val="1"/>
      <w:numFmt w:val="lowerRoman"/>
      <w:lvlText w:val="%3."/>
      <w:lvlJc w:val="right"/>
      <w:pPr>
        <w:ind w:left="3076" w:hanging="180"/>
      </w:pPr>
    </w:lvl>
    <w:lvl w:ilvl="3" w:tplc="1000000F" w:tentative="1">
      <w:start w:val="1"/>
      <w:numFmt w:val="decimal"/>
      <w:lvlText w:val="%4."/>
      <w:lvlJc w:val="left"/>
      <w:pPr>
        <w:ind w:left="3796" w:hanging="360"/>
      </w:pPr>
    </w:lvl>
    <w:lvl w:ilvl="4" w:tplc="10000019" w:tentative="1">
      <w:start w:val="1"/>
      <w:numFmt w:val="lowerLetter"/>
      <w:lvlText w:val="%5."/>
      <w:lvlJc w:val="left"/>
      <w:pPr>
        <w:ind w:left="4516" w:hanging="360"/>
      </w:pPr>
    </w:lvl>
    <w:lvl w:ilvl="5" w:tplc="1000001B" w:tentative="1">
      <w:start w:val="1"/>
      <w:numFmt w:val="lowerRoman"/>
      <w:lvlText w:val="%6."/>
      <w:lvlJc w:val="right"/>
      <w:pPr>
        <w:ind w:left="5236" w:hanging="180"/>
      </w:pPr>
    </w:lvl>
    <w:lvl w:ilvl="6" w:tplc="1000000F" w:tentative="1">
      <w:start w:val="1"/>
      <w:numFmt w:val="decimal"/>
      <w:lvlText w:val="%7."/>
      <w:lvlJc w:val="left"/>
      <w:pPr>
        <w:ind w:left="5956" w:hanging="360"/>
      </w:pPr>
    </w:lvl>
    <w:lvl w:ilvl="7" w:tplc="10000019" w:tentative="1">
      <w:start w:val="1"/>
      <w:numFmt w:val="lowerLetter"/>
      <w:lvlText w:val="%8."/>
      <w:lvlJc w:val="left"/>
      <w:pPr>
        <w:ind w:left="6676" w:hanging="360"/>
      </w:pPr>
    </w:lvl>
    <w:lvl w:ilvl="8" w:tplc="1000001B" w:tentative="1">
      <w:start w:val="1"/>
      <w:numFmt w:val="lowerRoman"/>
      <w:lvlText w:val="%9."/>
      <w:lvlJc w:val="right"/>
      <w:pPr>
        <w:ind w:left="7396" w:hanging="180"/>
      </w:pPr>
    </w:lvl>
  </w:abstractNum>
  <w:abstractNum w:abstractNumId="7" w15:restartNumberingAfterBreak="0">
    <w:nsid w:val="17D6228B"/>
    <w:multiLevelType w:val="multilevel"/>
    <w:tmpl w:val="0809001D"/>
    <w:name w:val="TOC3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92D13C9"/>
    <w:multiLevelType w:val="hybridMultilevel"/>
    <w:tmpl w:val="0530451A"/>
    <w:lvl w:ilvl="0" w:tplc="CA86075E">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571887"/>
    <w:multiLevelType w:val="hybridMultilevel"/>
    <w:tmpl w:val="829CFDE4"/>
    <w:lvl w:ilvl="0" w:tplc="B1EACF9C">
      <w:start w:val="1"/>
      <w:numFmt w:val="lowerLetter"/>
      <w:lvlText w:val="%1)"/>
      <w:lvlJc w:val="left"/>
      <w:pPr>
        <w:ind w:left="2952" w:hanging="360"/>
      </w:pPr>
      <w:rPr>
        <w:rFonts w:hint="default"/>
        <w:i/>
        <w:iCs/>
      </w:rPr>
    </w:lvl>
    <w:lvl w:ilvl="1" w:tplc="08090019">
      <w:start w:val="1"/>
      <w:numFmt w:val="lowerLetter"/>
      <w:lvlText w:val="%2."/>
      <w:lvlJc w:val="left"/>
      <w:pPr>
        <w:ind w:left="3672" w:hanging="360"/>
      </w:pPr>
    </w:lvl>
    <w:lvl w:ilvl="2" w:tplc="0809001B" w:tentative="1">
      <w:start w:val="1"/>
      <w:numFmt w:val="lowerRoman"/>
      <w:lvlText w:val="%3."/>
      <w:lvlJc w:val="right"/>
      <w:pPr>
        <w:ind w:left="4392" w:hanging="180"/>
      </w:pPr>
    </w:lvl>
    <w:lvl w:ilvl="3" w:tplc="0809000F" w:tentative="1">
      <w:start w:val="1"/>
      <w:numFmt w:val="decimal"/>
      <w:lvlText w:val="%4."/>
      <w:lvlJc w:val="left"/>
      <w:pPr>
        <w:ind w:left="5112" w:hanging="360"/>
      </w:pPr>
    </w:lvl>
    <w:lvl w:ilvl="4" w:tplc="08090019" w:tentative="1">
      <w:start w:val="1"/>
      <w:numFmt w:val="lowerLetter"/>
      <w:lvlText w:val="%5."/>
      <w:lvlJc w:val="left"/>
      <w:pPr>
        <w:ind w:left="5832" w:hanging="360"/>
      </w:pPr>
    </w:lvl>
    <w:lvl w:ilvl="5" w:tplc="0809001B" w:tentative="1">
      <w:start w:val="1"/>
      <w:numFmt w:val="lowerRoman"/>
      <w:lvlText w:val="%6."/>
      <w:lvlJc w:val="right"/>
      <w:pPr>
        <w:ind w:left="6552" w:hanging="180"/>
      </w:pPr>
    </w:lvl>
    <w:lvl w:ilvl="6" w:tplc="0809000F" w:tentative="1">
      <w:start w:val="1"/>
      <w:numFmt w:val="decimal"/>
      <w:lvlText w:val="%7."/>
      <w:lvlJc w:val="left"/>
      <w:pPr>
        <w:ind w:left="7272" w:hanging="360"/>
      </w:pPr>
    </w:lvl>
    <w:lvl w:ilvl="7" w:tplc="08090019" w:tentative="1">
      <w:start w:val="1"/>
      <w:numFmt w:val="lowerLetter"/>
      <w:lvlText w:val="%8."/>
      <w:lvlJc w:val="left"/>
      <w:pPr>
        <w:ind w:left="7992" w:hanging="360"/>
      </w:pPr>
    </w:lvl>
    <w:lvl w:ilvl="8" w:tplc="0809001B" w:tentative="1">
      <w:start w:val="1"/>
      <w:numFmt w:val="lowerRoman"/>
      <w:lvlText w:val="%9."/>
      <w:lvlJc w:val="right"/>
      <w:pPr>
        <w:ind w:left="8712" w:hanging="180"/>
      </w:pPr>
    </w:lvl>
  </w:abstractNum>
  <w:abstractNum w:abstractNumId="1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15:restartNumberingAfterBreak="0">
    <w:nsid w:val="29AB385A"/>
    <w:multiLevelType w:val="hybridMultilevel"/>
    <w:tmpl w:val="7EA4F672"/>
    <w:lvl w:ilvl="0" w:tplc="2890A646">
      <w:start w:val="1"/>
      <w:numFmt w:val="lowerRoman"/>
      <w:lvlText w:val="(%1)"/>
      <w:lvlJc w:val="left"/>
      <w:pPr>
        <w:ind w:left="1984" w:hanging="720"/>
      </w:pPr>
      <w:rPr>
        <w:rFonts w:hint="default"/>
      </w:rPr>
    </w:lvl>
    <w:lvl w:ilvl="1" w:tplc="10000019" w:tentative="1">
      <w:start w:val="1"/>
      <w:numFmt w:val="lowerLetter"/>
      <w:lvlText w:val="%2."/>
      <w:lvlJc w:val="left"/>
      <w:pPr>
        <w:ind w:left="2344" w:hanging="360"/>
      </w:pPr>
    </w:lvl>
    <w:lvl w:ilvl="2" w:tplc="1000001B" w:tentative="1">
      <w:start w:val="1"/>
      <w:numFmt w:val="lowerRoman"/>
      <w:lvlText w:val="%3."/>
      <w:lvlJc w:val="right"/>
      <w:pPr>
        <w:ind w:left="3064" w:hanging="180"/>
      </w:pPr>
    </w:lvl>
    <w:lvl w:ilvl="3" w:tplc="1000000F" w:tentative="1">
      <w:start w:val="1"/>
      <w:numFmt w:val="decimal"/>
      <w:lvlText w:val="%4."/>
      <w:lvlJc w:val="left"/>
      <w:pPr>
        <w:ind w:left="3784" w:hanging="360"/>
      </w:pPr>
    </w:lvl>
    <w:lvl w:ilvl="4" w:tplc="10000019" w:tentative="1">
      <w:start w:val="1"/>
      <w:numFmt w:val="lowerLetter"/>
      <w:lvlText w:val="%5."/>
      <w:lvlJc w:val="left"/>
      <w:pPr>
        <w:ind w:left="4504" w:hanging="360"/>
      </w:pPr>
    </w:lvl>
    <w:lvl w:ilvl="5" w:tplc="1000001B" w:tentative="1">
      <w:start w:val="1"/>
      <w:numFmt w:val="lowerRoman"/>
      <w:lvlText w:val="%6."/>
      <w:lvlJc w:val="right"/>
      <w:pPr>
        <w:ind w:left="5224" w:hanging="180"/>
      </w:pPr>
    </w:lvl>
    <w:lvl w:ilvl="6" w:tplc="1000000F" w:tentative="1">
      <w:start w:val="1"/>
      <w:numFmt w:val="decimal"/>
      <w:lvlText w:val="%7."/>
      <w:lvlJc w:val="left"/>
      <w:pPr>
        <w:ind w:left="5944" w:hanging="360"/>
      </w:pPr>
    </w:lvl>
    <w:lvl w:ilvl="7" w:tplc="10000019" w:tentative="1">
      <w:start w:val="1"/>
      <w:numFmt w:val="lowerLetter"/>
      <w:lvlText w:val="%8."/>
      <w:lvlJc w:val="left"/>
      <w:pPr>
        <w:ind w:left="6664" w:hanging="360"/>
      </w:pPr>
    </w:lvl>
    <w:lvl w:ilvl="8" w:tplc="1000001B" w:tentative="1">
      <w:start w:val="1"/>
      <w:numFmt w:val="lowerRoman"/>
      <w:lvlText w:val="%9."/>
      <w:lvlJc w:val="right"/>
      <w:pPr>
        <w:ind w:left="7384" w:hanging="180"/>
      </w:pPr>
    </w:lvl>
  </w:abstractNum>
  <w:abstractNum w:abstractNumId="12" w15:restartNumberingAfterBreak="0">
    <w:nsid w:val="2BD42DCA"/>
    <w:multiLevelType w:val="hybridMultilevel"/>
    <w:tmpl w:val="B6B00F8A"/>
    <w:lvl w:ilvl="0" w:tplc="D2F00338">
      <w:start w:val="3"/>
      <w:numFmt w:val="decimal"/>
      <w:lvlText w:val="%1."/>
      <w:lvlJc w:val="left"/>
      <w:pPr>
        <w:ind w:left="1624" w:hanging="360"/>
      </w:pPr>
      <w:rPr>
        <w:rFonts w:hint="default"/>
      </w:rPr>
    </w:lvl>
    <w:lvl w:ilvl="1" w:tplc="10000019" w:tentative="1">
      <w:start w:val="1"/>
      <w:numFmt w:val="lowerLetter"/>
      <w:lvlText w:val="%2."/>
      <w:lvlJc w:val="left"/>
      <w:pPr>
        <w:ind w:left="2344" w:hanging="360"/>
      </w:pPr>
    </w:lvl>
    <w:lvl w:ilvl="2" w:tplc="1000001B" w:tentative="1">
      <w:start w:val="1"/>
      <w:numFmt w:val="lowerRoman"/>
      <w:lvlText w:val="%3."/>
      <w:lvlJc w:val="right"/>
      <w:pPr>
        <w:ind w:left="3064" w:hanging="180"/>
      </w:pPr>
    </w:lvl>
    <w:lvl w:ilvl="3" w:tplc="1000000F" w:tentative="1">
      <w:start w:val="1"/>
      <w:numFmt w:val="decimal"/>
      <w:lvlText w:val="%4."/>
      <w:lvlJc w:val="left"/>
      <w:pPr>
        <w:ind w:left="3784" w:hanging="360"/>
      </w:pPr>
    </w:lvl>
    <w:lvl w:ilvl="4" w:tplc="10000019" w:tentative="1">
      <w:start w:val="1"/>
      <w:numFmt w:val="lowerLetter"/>
      <w:lvlText w:val="%5."/>
      <w:lvlJc w:val="left"/>
      <w:pPr>
        <w:ind w:left="4504" w:hanging="360"/>
      </w:pPr>
    </w:lvl>
    <w:lvl w:ilvl="5" w:tplc="1000001B" w:tentative="1">
      <w:start w:val="1"/>
      <w:numFmt w:val="lowerRoman"/>
      <w:lvlText w:val="%6."/>
      <w:lvlJc w:val="right"/>
      <w:pPr>
        <w:ind w:left="5224" w:hanging="180"/>
      </w:pPr>
    </w:lvl>
    <w:lvl w:ilvl="6" w:tplc="1000000F" w:tentative="1">
      <w:start w:val="1"/>
      <w:numFmt w:val="decimal"/>
      <w:lvlText w:val="%7."/>
      <w:lvlJc w:val="left"/>
      <w:pPr>
        <w:ind w:left="5944" w:hanging="360"/>
      </w:pPr>
    </w:lvl>
    <w:lvl w:ilvl="7" w:tplc="10000019" w:tentative="1">
      <w:start w:val="1"/>
      <w:numFmt w:val="lowerLetter"/>
      <w:lvlText w:val="%8."/>
      <w:lvlJc w:val="left"/>
      <w:pPr>
        <w:ind w:left="6664" w:hanging="360"/>
      </w:pPr>
    </w:lvl>
    <w:lvl w:ilvl="8" w:tplc="1000001B" w:tentative="1">
      <w:start w:val="1"/>
      <w:numFmt w:val="lowerRoman"/>
      <w:lvlText w:val="%9."/>
      <w:lvlJc w:val="right"/>
      <w:pPr>
        <w:ind w:left="7384" w:hanging="180"/>
      </w:pPr>
    </w:lvl>
  </w:abstractNum>
  <w:abstractNum w:abstractNumId="13" w15:restartNumberingAfterBreak="0">
    <w:nsid w:val="2D776456"/>
    <w:multiLevelType w:val="hybridMultilevel"/>
    <w:tmpl w:val="384E8510"/>
    <w:lvl w:ilvl="0" w:tplc="D41E2E4A">
      <w:start w:val="27"/>
      <w:numFmt w:val="lowerLetter"/>
      <w:lvlText w:val="%1."/>
      <w:lvlJc w:val="left"/>
      <w:pPr>
        <w:ind w:left="2724" w:hanging="360"/>
      </w:pPr>
      <w:rPr>
        <w:rFonts w:hint="default"/>
      </w:rPr>
    </w:lvl>
    <w:lvl w:ilvl="1" w:tplc="08090019">
      <w:start w:val="1"/>
      <w:numFmt w:val="lowerLetter"/>
      <w:lvlText w:val="%2."/>
      <w:lvlJc w:val="left"/>
      <w:pPr>
        <w:ind w:left="3444" w:hanging="360"/>
      </w:pPr>
    </w:lvl>
    <w:lvl w:ilvl="2" w:tplc="0809001B" w:tentative="1">
      <w:start w:val="1"/>
      <w:numFmt w:val="lowerRoman"/>
      <w:lvlText w:val="%3."/>
      <w:lvlJc w:val="right"/>
      <w:pPr>
        <w:ind w:left="4164" w:hanging="180"/>
      </w:pPr>
    </w:lvl>
    <w:lvl w:ilvl="3" w:tplc="0809000F" w:tentative="1">
      <w:start w:val="1"/>
      <w:numFmt w:val="decimal"/>
      <w:lvlText w:val="%4."/>
      <w:lvlJc w:val="left"/>
      <w:pPr>
        <w:ind w:left="4884" w:hanging="360"/>
      </w:pPr>
    </w:lvl>
    <w:lvl w:ilvl="4" w:tplc="08090019" w:tentative="1">
      <w:start w:val="1"/>
      <w:numFmt w:val="lowerLetter"/>
      <w:lvlText w:val="%5."/>
      <w:lvlJc w:val="left"/>
      <w:pPr>
        <w:ind w:left="5604" w:hanging="360"/>
      </w:pPr>
    </w:lvl>
    <w:lvl w:ilvl="5" w:tplc="0809001B" w:tentative="1">
      <w:start w:val="1"/>
      <w:numFmt w:val="lowerRoman"/>
      <w:lvlText w:val="%6."/>
      <w:lvlJc w:val="right"/>
      <w:pPr>
        <w:ind w:left="6324" w:hanging="180"/>
      </w:pPr>
    </w:lvl>
    <w:lvl w:ilvl="6" w:tplc="0809000F" w:tentative="1">
      <w:start w:val="1"/>
      <w:numFmt w:val="decimal"/>
      <w:lvlText w:val="%7."/>
      <w:lvlJc w:val="left"/>
      <w:pPr>
        <w:ind w:left="7044" w:hanging="360"/>
      </w:pPr>
    </w:lvl>
    <w:lvl w:ilvl="7" w:tplc="08090019" w:tentative="1">
      <w:start w:val="1"/>
      <w:numFmt w:val="lowerLetter"/>
      <w:lvlText w:val="%8."/>
      <w:lvlJc w:val="left"/>
      <w:pPr>
        <w:ind w:left="7764" w:hanging="360"/>
      </w:pPr>
    </w:lvl>
    <w:lvl w:ilvl="8" w:tplc="0809001B" w:tentative="1">
      <w:start w:val="1"/>
      <w:numFmt w:val="lowerRoman"/>
      <w:lvlText w:val="%9."/>
      <w:lvlJc w:val="right"/>
      <w:pPr>
        <w:ind w:left="8484" w:hanging="180"/>
      </w:pPr>
    </w:lvl>
  </w:abstractNum>
  <w:abstractNum w:abstractNumId="14" w15:restartNumberingAfterBreak="0">
    <w:nsid w:val="2DE55D5B"/>
    <w:multiLevelType w:val="hybridMultilevel"/>
    <w:tmpl w:val="5A281D24"/>
    <w:name w:val="TOC2"/>
    <w:lvl w:ilvl="0" w:tplc="A942D066">
      <w:start w:val="4"/>
      <w:numFmt w:val="decimal"/>
      <w:lvlText w:val="%1."/>
      <w:lvlJc w:val="left"/>
      <w:pPr>
        <w:ind w:left="162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FE4447"/>
    <w:multiLevelType w:val="hybridMultilevel"/>
    <w:tmpl w:val="4CCE11FE"/>
    <w:lvl w:ilvl="0" w:tplc="76FE66DA">
      <w:start w:val="1"/>
      <w:numFmt w:val="decimal"/>
      <w:lvlText w:val="%1."/>
      <w:lvlJc w:val="left"/>
      <w:pPr>
        <w:ind w:left="720" w:hanging="360"/>
      </w:pPr>
      <w:rPr>
        <w:rFonts w:hint="default"/>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481083B"/>
    <w:multiLevelType w:val="hybridMultilevel"/>
    <w:tmpl w:val="3462E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AEA6DE2"/>
    <w:multiLevelType w:val="hybridMultilevel"/>
    <w:tmpl w:val="B3B23E02"/>
    <w:lvl w:ilvl="0" w:tplc="A088EE12">
      <w:start w:val="1"/>
      <w:numFmt w:val="lowerRoman"/>
      <w:lvlText w:val="(%1)"/>
      <w:lvlJc w:val="left"/>
      <w:pPr>
        <w:ind w:left="1996" w:hanging="720"/>
      </w:pPr>
      <w:rPr>
        <w:rFonts w:hint="default"/>
      </w:rPr>
    </w:lvl>
    <w:lvl w:ilvl="1" w:tplc="10000019">
      <w:start w:val="1"/>
      <w:numFmt w:val="lowerLetter"/>
      <w:lvlText w:val="%2."/>
      <w:lvlJc w:val="left"/>
      <w:pPr>
        <w:ind w:left="2356" w:hanging="360"/>
      </w:pPr>
    </w:lvl>
    <w:lvl w:ilvl="2" w:tplc="1000001B" w:tentative="1">
      <w:start w:val="1"/>
      <w:numFmt w:val="lowerRoman"/>
      <w:lvlText w:val="%3."/>
      <w:lvlJc w:val="right"/>
      <w:pPr>
        <w:ind w:left="3076" w:hanging="180"/>
      </w:pPr>
    </w:lvl>
    <w:lvl w:ilvl="3" w:tplc="1000000F" w:tentative="1">
      <w:start w:val="1"/>
      <w:numFmt w:val="decimal"/>
      <w:lvlText w:val="%4."/>
      <w:lvlJc w:val="left"/>
      <w:pPr>
        <w:ind w:left="3796" w:hanging="360"/>
      </w:pPr>
    </w:lvl>
    <w:lvl w:ilvl="4" w:tplc="10000019" w:tentative="1">
      <w:start w:val="1"/>
      <w:numFmt w:val="lowerLetter"/>
      <w:lvlText w:val="%5."/>
      <w:lvlJc w:val="left"/>
      <w:pPr>
        <w:ind w:left="4516" w:hanging="360"/>
      </w:pPr>
    </w:lvl>
    <w:lvl w:ilvl="5" w:tplc="1000001B" w:tentative="1">
      <w:start w:val="1"/>
      <w:numFmt w:val="lowerRoman"/>
      <w:lvlText w:val="%6."/>
      <w:lvlJc w:val="right"/>
      <w:pPr>
        <w:ind w:left="5236" w:hanging="180"/>
      </w:pPr>
    </w:lvl>
    <w:lvl w:ilvl="6" w:tplc="1000000F" w:tentative="1">
      <w:start w:val="1"/>
      <w:numFmt w:val="decimal"/>
      <w:lvlText w:val="%7."/>
      <w:lvlJc w:val="left"/>
      <w:pPr>
        <w:ind w:left="5956" w:hanging="360"/>
      </w:pPr>
    </w:lvl>
    <w:lvl w:ilvl="7" w:tplc="10000019" w:tentative="1">
      <w:start w:val="1"/>
      <w:numFmt w:val="lowerLetter"/>
      <w:lvlText w:val="%8."/>
      <w:lvlJc w:val="left"/>
      <w:pPr>
        <w:ind w:left="6676" w:hanging="360"/>
      </w:pPr>
    </w:lvl>
    <w:lvl w:ilvl="8" w:tplc="1000001B" w:tentative="1">
      <w:start w:val="1"/>
      <w:numFmt w:val="lowerRoman"/>
      <w:lvlText w:val="%9."/>
      <w:lvlJc w:val="right"/>
      <w:pPr>
        <w:ind w:left="7396" w:hanging="180"/>
      </w:pPr>
    </w:lvl>
  </w:abstractNum>
  <w:abstractNum w:abstractNumId="18"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9" w15:restartNumberingAfterBreak="0">
    <w:nsid w:val="492733B3"/>
    <w:multiLevelType w:val="multilevel"/>
    <w:tmpl w:val="526C4B56"/>
    <w:lvl w:ilvl="0">
      <w:start w:val="1"/>
      <w:numFmt w:val="decimal"/>
      <w:lvlText w:val="%1."/>
      <w:lvlJc w:val="right"/>
      <w:pPr>
        <w:tabs>
          <w:tab w:val="num" w:pos="1296"/>
        </w:tabs>
        <w:ind w:left="1296" w:hanging="216"/>
      </w:pPr>
      <w:rPr>
        <w:rFonts w:ascii="Times New Roman" w:eastAsiaTheme="minorHAnsi" w:hAnsi="Times New Roman" w:cs="Times New Roman"/>
      </w:rPr>
    </w:lvl>
    <w:lvl w:ilvl="1">
      <w:start w:val="1"/>
      <w:numFmt w:val="upperLetter"/>
      <w:lvlText w:val="%2."/>
      <w:lvlJc w:val="left"/>
      <w:pPr>
        <w:tabs>
          <w:tab w:val="num" w:pos="1708"/>
        </w:tabs>
        <w:ind w:left="1708" w:hanging="432"/>
      </w:pPr>
      <w:rPr>
        <w:rFonts w:hint="default"/>
        <w:b w:val="0"/>
        <w:bCs/>
      </w:rPr>
    </w:lvl>
    <w:lvl w:ilvl="2">
      <w:start w:val="1"/>
      <w:numFmt w:val="decimal"/>
      <w:lvlText w:val="%3."/>
      <w:lvlJc w:val="left"/>
      <w:pPr>
        <w:tabs>
          <w:tab w:val="num" w:pos="2843"/>
        </w:tabs>
        <w:ind w:left="2843" w:hanging="432"/>
      </w:pPr>
      <w:rPr>
        <w:rFonts w:hint="default"/>
        <w:i w:val="0"/>
        <w:iCs w:val="0"/>
        <w:color w:val="auto"/>
      </w:rPr>
    </w:lvl>
    <w:lvl w:ilvl="3">
      <w:start w:val="1"/>
      <w:numFmt w:val="lowerLetter"/>
      <w:lvlText w:val="%4)"/>
      <w:lvlJc w:val="left"/>
      <w:pPr>
        <w:tabs>
          <w:tab w:val="num" w:pos="2592"/>
        </w:tabs>
        <w:ind w:left="2592" w:hanging="432"/>
      </w:pPr>
      <w:rPr>
        <w:rFonts w:ascii="Times New Roman" w:eastAsiaTheme="minorHAnsi" w:hAnsi="Times New Roman" w:cs="Times New Roman"/>
      </w:rPr>
    </w:lvl>
    <w:lvl w:ilvl="4">
      <w:start w:val="1"/>
      <w:numFmt w:val="decimal"/>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1" w15:restartNumberingAfterBreak="0">
    <w:nsid w:val="58F15E58"/>
    <w:multiLevelType w:val="multilevel"/>
    <w:tmpl w:val="0DAAA768"/>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08"/>
        </w:tabs>
        <w:ind w:left="1708" w:hanging="432"/>
      </w:pPr>
      <w:rPr>
        <w:rFonts w:hint="default"/>
        <w:b w:val="0"/>
        <w:bCs/>
      </w:rPr>
    </w:lvl>
    <w:lvl w:ilvl="2">
      <w:start w:val="1"/>
      <w:numFmt w:val="decimal"/>
      <w:lvlText w:val="%3."/>
      <w:lvlJc w:val="left"/>
      <w:pPr>
        <w:tabs>
          <w:tab w:val="num" w:pos="3126"/>
        </w:tabs>
        <w:ind w:left="3126" w:hanging="432"/>
      </w:pPr>
      <w:rPr>
        <w:rFonts w:hint="default"/>
        <w:b w:val="0"/>
        <w:bCs w:val="0"/>
        <w:i w:val="0"/>
        <w:iCs w:val="0"/>
        <w:color w:val="auto"/>
      </w:rPr>
    </w:lvl>
    <w:lvl w:ilvl="3">
      <w:start w:val="1"/>
      <w:numFmt w:val="lowerLetter"/>
      <w:lvlText w:val="%4)"/>
      <w:lvlJc w:val="left"/>
      <w:pPr>
        <w:tabs>
          <w:tab w:val="num" w:pos="2592"/>
        </w:tabs>
        <w:ind w:left="2592" w:hanging="432"/>
      </w:pPr>
      <w:rPr>
        <w:rFonts w:ascii="Times New Roman" w:eastAsiaTheme="minorHAnsi" w:hAnsi="Times New Roman" w:cs="Times New Roman"/>
      </w:rPr>
    </w:lvl>
    <w:lvl w:ilvl="4">
      <w:start w:val="1"/>
      <w:numFmt w:val="decimal"/>
      <w:lvlText w:val="(%5)"/>
      <w:lvlJc w:val="left"/>
      <w:pPr>
        <w:tabs>
          <w:tab w:val="num" w:pos="3024"/>
        </w:tabs>
        <w:ind w:left="3024" w:hanging="432"/>
      </w:pPr>
      <w:rPr>
        <w:rFonts w:asciiTheme="majorBidi" w:eastAsiaTheme="minorHAnsi" w:hAnsiTheme="majorBidi" w:cstheme="majorBidi"/>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15:restartNumberingAfterBreak="0">
    <w:nsid w:val="60AC6F54"/>
    <w:multiLevelType w:val="hybridMultilevel"/>
    <w:tmpl w:val="7534F032"/>
    <w:lvl w:ilvl="0" w:tplc="8B14E226">
      <w:start w:val="4"/>
      <w:numFmt w:val="upperLetter"/>
      <w:lvlText w:val="%1)"/>
      <w:lvlJc w:val="left"/>
      <w:pPr>
        <w:ind w:left="2952" w:hanging="360"/>
      </w:pPr>
      <w:rPr>
        <w:rFonts w:hint="default"/>
      </w:rPr>
    </w:lvl>
    <w:lvl w:ilvl="1" w:tplc="10000019" w:tentative="1">
      <w:start w:val="1"/>
      <w:numFmt w:val="lowerLetter"/>
      <w:lvlText w:val="%2."/>
      <w:lvlJc w:val="left"/>
      <w:pPr>
        <w:ind w:left="3672" w:hanging="360"/>
      </w:pPr>
    </w:lvl>
    <w:lvl w:ilvl="2" w:tplc="1000001B" w:tentative="1">
      <w:start w:val="1"/>
      <w:numFmt w:val="lowerRoman"/>
      <w:lvlText w:val="%3."/>
      <w:lvlJc w:val="right"/>
      <w:pPr>
        <w:ind w:left="4392" w:hanging="180"/>
      </w:pPr>
    </w:lvl>
    <w:lvl w:ilvl="3" w:tplc="1000000F" w:tentative="1">
      <w:start w:val="1"/>
      <w:numFmt w:val="decimal"/>
      <w:lvlText w:val="%4."/>
      <w:lvlJc w:val="left"/>
      <w:pPr>
        <w:ind w:left="5112" w:hanging="360"/>
      </w:pPr>
    </w:lvl>
    <w:lvl w:ilvl="4" w:tplc="10000019">
      <w:start w:val="1"/>
      <w:numFmt w:val="lowerLetter"/>
      <w:lvlText w:val="%5."/>
      <w:lvlJc w:val="left"/>
      <w:pPr>
        <w:ind w:left="5832" w:hanging="360"/>
      </w:pPr>
    </w:lvl>
    <w:lvl w:ilvl="5" w:tplc="1000001B" w:tentative="1">
      <w:start w:val="1"/>
      <w:numFmt w:val="lowerRoman"/>
      <w:lvlText w:val="%6."/>
      <w:lvlJc w:val="right"/>
      <w:pPr>
        <w:ind w:left="6552" w:hanging="180"/>
      </w:pPr>
    </w:lvl>
    <w:lvl w:ilvl="6" w:tplc="1000000F" w:tentative="1">
      <w:start w:val="1"/>
      <w:numFmt w:val="decimal"/>
      <w:lvlText w:val="%7."/>
      <w:lvlJc w:val="left"/>
      <w:pPr>
        <w:ind w:left="7272" w:hanging="360"/>
      </w:pPr>
    </w:lvl>
    <w:lvl w:ilvl="7" w:tplc="10000019" w:tentative="1">
      <w:start w:val="1"/>
      <w:numFmt w:val="lowerLetter"/>
      <w:lvlText w:val="%8."/>
      <w:lvlJc w:val="left"/>
      <w:pPr>
        <w:ind w:left="7992" w:hanging="360"/>
      </w:pPr>
    </w:lvl>
    <w:lvl w:ilvl="8" w:tplc="1000001B" w:tentative="1">
      <w:start w:val="1"/>
      <w:numFmt w:val="lowerRoman"/>
      <w:lvlText w:val="%9."/>
      <w:lvlJc w:val="right"/>
      <w:pPr>
        <w:ind w:left="8712" w:hanging="180"/>
      </w:pPr>
    </w:lvl>
  </w:abstractNum>
  <w:abstractNum w:abstractNumId="23" w15:restartNumberingAfterBreak="0">
    <w:nsid w:val="61BA69B5"/>
    <w:multiLevelType w:val="hybridMultilevel"/>
    <w:tmpl w:val="829CFDE4"/>
    <w:lvl w:ilvl="0" w:tplc="B1EACF9C">
      <w:start w:val="1"/>
      <w:numFmt w:val="lowerLetter"/>
      <w:lvlText w:val="%1)"/>
      <w:lvlJc w:val="left"/>
      <w:pPr>
        <w:ind w:left="2952" w:hanging="360"/>
      </w:pPr>
      <w:rPr>
        <w:rFonts w:hint="default"/>
        <w:i/>
        <w:iCs/>
      </w:rPr>
    </w:lvl>
    <w:lvl w:ilvl="1" w:tplc="08090019">
      <w:start w:val="1"/>
      <w:numFmt w:val="lowerLetter"/>
      <w:lvlText w:val="%2."/>
      <w:lvlJc w:val="left"/>
      <w:pPr>
        <w:ind w:left="3672" w:hanging="360"/>
      </w:pPr>
    </w:lvl>
    <w:lvl w:ilvl="2" w:tplc="0809001B" w:tentative="1">
      <w:start w:val="1"/>
      <w:numFmt w:val="lowerRoman"/>
      <w:lvlText w:val="%3."/>
      <w:lvlJc w:val="right"/>
      <w:pPr>
        <w:ind w:left="4392" w:hanging="180"/>
      </w:pPr>
    </w:lvl>
    <w:lvl w:ilvl="3" w:tplc="0809000F" w:tentative="1">
      <w:start w:val="1"/>
      <w:numFmt w:val="decimal"/>
      <w:lvlText w:val="%4."/>
      <w:lvlJc w:val="left"/>
      <w:pPr>
        <w:ind w:left="5112" w:hanging="360"/>
      </w:pPr>
    </w:lvl>
    <w:lvl w:ilvl="4" w:tplc="08090019" w:tentative="1">
      <w:start w:val="1"/>
      <w:numFmt w:val="lowerLetter"/>
      <w:lvlText w:val="%5."/>
      <w:lvlJc w:val="left"/>
      <w:pPr>
        <w:ind w:left="5832" w:hanging="360"/>
      </w:pPr>
    </w:lvl>
    <w:lvl w:ilvl="5" w:tplc="0809001B" w:tentative="1">
      <w:start w:val="1"/>
      <w:numFmt w:val="lowerRoman"/>
      <w:lvlText w:val="%6."/>
      <w:lvlJc w:val="right"/>
      <w:pPr>
        <w:ind w:left="6552" w:hanging="180"/>
      </w:pPr>
    </w:lvl>
    <w:lvl w:ilvl="6" w:tplc="0809000F" w:tentative="1">
      <w:start w:val="1"/>
      <w:numFmt w:val="decimal"/>
      <w:lvlText w:val="%7."/>
      <w:lvlJc w:val="left"/>
      <w:pPr>
        <w:ind w:left="7272" w:hanging="360"/>
      </w:pPr>
    </w:lvl>
    <w:lvl w:ilvl="7" w:tplc="08090019" w:tentative="1">
      <w:start w:val="1"/>
      <w:numFmt w:val="lowerLetter"/>
      <w:lvlText w:val="%8."/>
      <w:lvlJc w:val="left"/>
      <w:pPr>
        <w:ind w:left="7992" w:hanging="360"/>
      </w:pPr>
    </w:lvl>
    <w:lvl w:ilvl="8" w:tplc="0809001B" w:tentative="1">
      <w:start w:val="1"/>
      <w:numFmt w:val="lowerRoman"/>
      <w:lvlText w:val="%9."/>
      <w:lvlJc w:val="right"/>
      <w:pPr>
        <w:ind w:left="8712" w:hanging="180"/>
      </w:pPr>
    </w:lvl>
  </w:abstractNum>
  <w:abstractNum w:abstractNumId="24"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5" w15:restartNumberingAfterBreak="0">
    <w:nsid w:val="6575108A"/>
    <w:multiLevelType w:val="hybridMultilevel"/>
    <w:tmpl w:val="4EAC9CC4"/>
    <w:name w:val="TOC3"/>
    <w:lvl w:ilvl="0" w:tplc="284C3D4A">
      <w:start w:val="5"/>
      <w:numFmt w:val="decimal"/>
      <w:lvlText w:val="%1."/>
      <w:lvlJc w:val="left"/>
      <w:pPr>
        <w:ind w:left="1624"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6C0BB0"/>
    <w:multiLevelType w:val="hybridMultilevel"/>
    <w:tmpl w:val="CED2CCE4"/>
    <w:lvl w:ilvl="0" w:tplc="3A1E24EC">
      <w:start w:val="1"/>
      <w:numFmt w:val="bullet"/>
      <w:lvlText w:val="-"/>
      <w:lvlJc w:val="left"/>
      <w:pPr>
        <w:ind w:left="3308" w:hanging="360"/>
      </w:pPr>
      <w:rPr>
        <w:rFonts w:ascii="Times New Roman" w:eastAsiaTheme="minorHAnsi" w:hAnsi="Times New Roman" w:cs="Times New Roman" w:hint="default"/>
      </w:rPr>
    </w:lvl>
    <w:lvl w:ilvl="1" w:tplc="10000003">
      <w:start w:val="1"/>
      <w:numFmt w:val="bullet"/>
      <w:lvlText w:val="o"/>
      <w:lvlJc w:val="left"/>
      <w:pPr>
        <w:ind w:left="4028" w:hanging="360"/>
      </w:pPr>
      <w:rPr>
        <w:rFonts w:ascii="Courier New" w:hAnsi="Courier New" w:cs="Courier New" w:hint="default"/>
      </w:rPr>
    </w:lvl>
    <w:lvl w:ilvl="2" w:tplc="10000005" w:tentative="1">
      <w:start w:val="1"/>
      <w:numFmt w:val="bullet"/>
      <w:lvlText w:val=""/>
      <w:lvlJc w:val="left"/>
      <w:pPr>
        <w:ind w:left="4748" w:hanging="360"/>
      </w:pPr>
      <w:rPr>
        <w:rFonts w:ascii="Wingdings" w:hAnsi="Wingdings" w:hint="default"/>
      </w:rPr>
    </w:lvl>
    <w:lvl w:ilvl="3" w:tplc="10000001" w:tentative="1">
      <w:start w:val="1"/>
      <w:numFmt w:val="bullet"/>
      <w:lvlText w:val=""/>
      <w:lvlJc w:val="left"/>
      <w:pPr>
        <w:ind w:left="5468" w:hanging="360"/>
      </w:pPr>
      <w:rPr>
        <w:rFonts w:ascii="Symbol" w:hAnsi="Symbol" w:hint="default"/>
      </w:rPr>
    </w:lvl>
    <w:lvl w:ilvl="4" w:tplc="10000003" w:tentative="1">
      <w:start w:val="1"/>
      <w:numFmt w:val="bullet"/>
      <w:lvlText w:val="o"/>
      <w:lvlJc w:val="left"/>
      <w:pPr>
        <w:ind w:left="6188" w:hanging="360"/>
      </w:pPr>
      <w:rPr>
        <w:rFonts w:ascii="Courier New" w:hAnsi="Courier New" w:cs="Courier New" w:hint="default"/>
      </w:rPr>
    </w:lvl>
    <w:lvl w:ilvl="5" w:tplc="10000005" w:tentative="1">
      <w:start w:val="1"/>
      <w:numFmt w:val="bullet"/>
      <w:lvlText w:val=""/>
      <w:lvlJc w:val="left"/>
      <w:pPr>
        <w:ind w:left="6908" w:hanging="360"/>
      </w:pPr>
      <w:rPr>
        <w:rFonts w:ascii="Wingdings" w:hAnsi="Wingdings" w:hint="default"/>
      </w:rPr>
    </w:lvl>
    <w:lvl w:ilvl="6" w:tplc="10000001" w:tentative="1">
      <w:start w:val="1"/>
      <w:numFmt w:val="bullet"/>
      <w:lvlText w:val=""/>
      <w:lvlJc w:val="left"/>
      <w:pPr>
        <w:ind w:left="7628" w:hanging="360"/>
      </w:pPr>
      <w:rPr>
        <w:rFonts w:ascii="Symbol" w:hAnsi="Symbol" w:hint="default"/>
      </w:rPr>
    </w:lvl>
    <w:lvl w:ilvl="7" w:tplc="10000003" w:tentative="1">
      <w:start w:val="1"/>
      <w:numFmt w:val="bullet"/>
      <w:lvlText w:val="o"/>
      <w:lvlJc w:val="left"/>
      <w:pPr>
        <w:ind w:left="8348" w:hanging="360"/>
      </w:pPr>
      <w:rPr>
        <w:rFonts w:ascii="Courier New" w:hAnsi="Courier New" w:cs="Courier New" w:hint="default"/>
      </w:rPr>
    </w:lvl>
    <w:lvl w:ilvl="8" w:tplc="10000005" w:tentative="1">
      <w:start w:val="1"/>
      <w:numFmt w:val="bullet"/>
      <w:lvlText w:val=""/>
      <w:lvlJc w:val="left"/>
      <w:pPr>
        <w:ind w:left="9068" w:hanging="360"/>
      </w:pPr>
      <w:rPr>
        <w:rFonts w:ascii="Wingdings" w:hAnsi="Wingdings" w:hint="default"/>
      </w:rPr>
    </w:lvl>
  </w:abstractNum>
  <w:abstractNum w:abstractNumId="27" w15:restartNumberingAfterBreak="0">
    <w:nsid w:val="6D941184"/>
    <w:multiLevelType w:val="hybridMultilevel"/>
    <w:tmpl w:val="829CFDE4"/>
    <w:lvl w:ilvl="0" w:tplc="B1EACF9C">
      <w:start w:val="1"/>
      <w:numFmt w:val="lowerLetter"/>
      <w:lvlText w:val="%1)"/>
      <w:lvlJc w:val="left"/>
      <w:pPr>
        <w:ind w:left="2952" w:hanging="360"/>
      </w:pPr>
      <w:rPr>
        <w:rFonts w:hint="default"/>
        <w:i/>
        <w:iCs/>
      </w:rPr>
    </w:lvl>
    <w:lvl w:ilvl="1" w:tplc="08090019">
      <w:start w:val="1"/>
      <w:numFmt w:val="lowerLetter"/>
      <w:lvlText w:val="%2."/>
      <w:lvlJc w:val="left"/>
      <w:pPr>
        <w:ind w:left="3672" w:hanging="360"/>
      </w:pPr>
    </w:lvl>
    <w:lvl w:ilvl="2" w:tplc="0809001B" w:tentative="1">
      <w:start w:val="1"/>
      <w:numFmt w:val="lowerRoman"/>
      <w:lvlText w:val="%3."/>
      <w:lvlJc w:val="right"/>
      <w:pPr>
        <w:ind w:left="4392" w:hanging="180"/>
      </w:pPr>
    </w:lvl>
    <w:lvl w:ilvl="3" w:tplc="0809000F" w:tentative="1">
      <w:start w:val="1"/>
      <w:numFmt w:val="decimal"/>
      <w:lvlText w:val="%4."/>
      <w:lvlJc w:val="left"/>
      <w:pPr>
        <w:ind w:left="5112" w:hanging="360"/>
      </w:pPr>
    </w:lvl>
    <w:lvl w:ilvl="4" w:tplc="08090019" w:tentative="1">
      <w:start w:val="1"/>
      <w:numFmt w:val="lowerLetter"/>
      <w:lvlText w:val="%5."/>
      <w:lvlJc w:val="left"/>
      <w:pPr>
        <w:ind w:left="5832" w:hanging="360"/>
      </w:pPr>
    </w:lvl>
    <w:lvl w:ilvl="5" w:tplc="0809001B" w:tentative="1">
      <w:start w:val="1"/>
      <w:numFmt w:val="lowerRoman"/>
      <w:lvlText w:val="%6."/>
      <w:lvlJc w:val="right"/>
      <w:pPr>
        <w:ind w:left="6552" w:hanging="180"/>
      </w:pPr>
    </w:lvl>
    <w:lvl w:ilvl="6" w:tplc="0809000F" w:tentative="1">
      <w:start w:val="1"/>
      <w:numFmt w:val="decimal"/>
      <w:lvlText w:val="%7."/>
      <w:lvlJc w:val="left"/>
      <w:pPr>
        <w:ind w:left="7272" w:hanging="360"/>
      </w:pPr>
    </w:lvl>
    <w:lvl w:ilvl="7" w:tplc="08090019" w:tentative="1">
      <w:start w:val="1"/>
      <w:numFmt w:val="lowerLetter"/>
      <w:lvlText w:val="%8."/>
      <w:lvlJc w:val="left"/>
      <w:pPr>
        <w:ind w:left="7992" w:hanging="360"/>
      </w:pPr>
    </w:lvl>
    <w:lvl w:ilvl="8" w:tplc="0809001B" w:tentative="1">
      <w:start w:val="1"/>
      <w:numFmt w:val="lowerRoman"/>
      <w:lvlText w:val="%9."/>
      <w:lvlJc w:val="right"/>
      <w:pPr>
        <w:ind w:left="8712" w:hanging="180"/>
      </w:pPr>
    </w:lvl>
  </w:abstractNum>
  <w:abstractNum w:abstractNumId="28" w15:restartNumberingAfterBreak="0">
    <w:nsid w:val="7042578E"/>
    <w:multiLevelType w:val="hybridMultilevel"/>
    <w:tmpl w:val="4DE8198E"/>
    <w:lvl w:ilvl="0" w:tplc="89B8E5D8">
      <w:start w:val="1"/>
      <w:numFmt w:val="lowerLetter"/>
      <w:lvlText w:val="%1."/>
      <w:lvlJc w:val="left"/>
      <w:pPr>
        <w:ind w:left="2716" w:hanging="360"/>
      </w:pPr>
      <w:rPr>
        <w:rFonts w:hint="default"/>
      </w:rPr>
    </w:lvl>
    <w:lvl w:ilvl="1" w:tplc="10000019" w:tentative="1">
      <w:start w:val="1"/>
      <w:numFmt w:val="lowerLetter"/>
      <w:lvlText w:val="%2."/>
      <w:lvlJc w:val="left"/>
      <w:pPr>
        <w:ind w:left="3436" w:hanging="360"/>
      </w:pPr>
    </w:lvl>
    <w:lvl w:ilvl="2" w:tplc="1000001B" w:tentative="1">
      <w:start w:val="1"/>
      <w:numFmt w:val="lowerRoman"/>
      <w:lvlText w:val="%3."/>
      <w:lvlJc w:val="right"/>
      <w:pPr>
        <w:ind w:left="4156" w:hanging="180"/>
      </w:pPr>
    </w:lvl>
    <w:lvl w:ilvl="3" w:tplc="1000000F" w:tentative="1">
      <w:start w:val="1"/>
      <w:numFmt w:val="decimal"/>
      <w:lvlText w:val="%4."/>
      <w:lvlJc w:val="left"/>
      <w:pPr>
        <w:ind w:left="4876" w:hanging="360"/>
      </w:pPr>
    </w:lvl>
    <w:lvl w:ilvl="4" w:tplc="10000019" w:tentative="1">
      <w:start w:val="1"/>
      <w:numFmt w:val="lowerLetter"/>
      <w:lvlText w:val="%5."/>
      <w:lvlJc w:val="left"/>
      <w:pPr>
        <w:ind w:left="5596" w:hanging="360"/>
      </w:pPr>
    </w:lvl>
    <w:lvl w:ilvl="5" w:tplc="1000001B" w:tentative="1">
      <w:start w:val="1"/>
      <w:numFmt w:val="lowerRoman"/>
      <w:lvlText w:val="%6."/>
      <w:lvlJc w:val="right"/>
      <w:pPr>
        <w:ind w:left="6316" w:hanging="180"/>
      </w:pPr>
    </w:lvl>
    <w:lvl w:ilvl="6" w:tplc="1000000F" w:tentative="1">
      <w:start w:val="1"/>
      <w:numFmt w:val="decimal"/>
      <w:lvlText w:val="%7."/>
      <w:lvlJc w:val="left"/>
      <w:pPr>
        <w:ind w:left="7036" w:hanging="360"/>
      </w:pPr>
    </w:lvl>
    <w:lvl w:ilvl="7" w:tplc="10000019" w:tentative="1">
      <w:start w:val="1"/>
      <w:numFmt w:val="lowerLetter"/>
      <w:lvlText w:val="%8."/>
      <w:lvlJc w:val="left"/>
      <w:pPr>
        <w:ind w:left="7756" w:hanging="360"/>
      </w:pPr>
    </w:lvl>
    <w:lvl w:ilvl="8" w:tplc="1000001B" w:tentative="1">
      <w:start w:val="1"/>
      <w:numFmt w:val="lowerRoman"/>
      <w:lvlText w:val="%9."/>
      <w:lvlJc w:val="right"/>
      <w:pPr>
        <w:ind w:left="8476" w:hanging="180"/>
      </w:pPr>
    </w:lvl>
  </w:abstractNum>
  <w:abstractNum w:abstractNumId="29" w15:restartNumberingAfterBreak="0">
    <w:nsid w:val="74344656"/>
    <w:multiLevelType w:val="multilevel"/>
    <w:tmpl w:val="0DAAA768"/>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08"/>
        </w:tabs>
        <w:ind w:left="1708" w:hanging="432"/>
      </w:pPr>
      <w:rPr>
        <w:rFonts w:hint="default"/>
        <w:b w:val="0"/>
        <w:bCs/>
      </w:rPr>
    </w:lvl>
    <w:lvl w:ilvl="2">
      <w:start w:val="1"/>
      <w:numFmt w:val="decimal"/>
      <w:lvlText w:val="%3."/>
      <w:lvlJc w:val="left"/>
      <w:pPr>
        <w:tabs>
          <w:tab w:val="num" w:pos="3126"/>
        </w:tabs>
        <w:ind w:left="3126" w:hanging="432"/>
      </w:pPr>
      <w:rPr>
        <w:rFonts w:hint="default"/>
        <w:b w:val="0"/>
        <w:bCs w:val="0"/>
        <w:i w:val="0"/>
        <w:iCs w:val="0"/>
        <w:color w:val="auto"/>
      </w:rPr>
    </w:lvl>
    <w:lvl w:ilvl="3">
      <w:start w:val="1"/>
      <w:numFmt w:val="lowerLetter"/>
      <w:lvlText w:val="%4)"/>
      <w:lvlJc w:val="left"/>
      <w:pPr>
        <w:tabs>
          <w:tab w:val="num" w:pos="2592"/>
        </w:tabs>
        <w:ind w:left="2592" w:hanging="432"/>
      </w:pPr>
      <w:rPr>
        <w:rFonts w:ascii="Times New Roman" w:eastAsiaTheme="minorHAnsi" w:hAnsi="Times New Roman" w:cs="Times New Roman"/>
      </w:rPr>
    </w:lvl>
    <w:lvl w:ilvl="4">
      <w:start w:val="1"/>
      <w:numFmt w:val="decimal"/>
      <w:lvlText w:val="(%5)"/>
      <w:lvlJc w:val="left"/>
      <w:pPr>
        <w:tabs>
          <w:tab w:val="num" w:pos="3024"/>
        </w:tabs>
        <w:ind w:left="3024" w:hanging="432"/>
      </w:pPr>
      <w:rPr>
        <w:rFonts w:asciiTheme="majorBidi" w:eastAsiaTheme="minorHAnsi" w:hAnsiTheme="majorBidi" w:cstheme="majorBidi"/>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44003EA"/>
    <w:multiLevelType w:val="hybridMultilevel"/>
    <w:tmpl w:val="BB28A7C8"/>
    <w:name w:val="TOC33"/>
    <w:lvl w:ilvl="0" w:tplc="BC9C5E6C">
      <w:start w:val="3"/>
      <w:numFmt w:val="upperRoman"/>
      <w:lvlText w:val="%1."/>
      <w:lvlJc w:val="right"/>
      <w:pPr>
        <w:ind w:left="162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503111"/>
    <w:multiLevelType w:val="hybridMultilevel"/>
    <w:tmpl w:val="5144EF0E"/>
    <w:lvl w:ilvl="0" w:tplc="2EBE8EAE">
      <w:start w:val="7"/>
      <w:numFmt w:val="bullet"/>
      <w:lvlText w:val="-"/>
      <w:lvlJc w:val="left"/>
      <w:pPr>
        <w:ind w:left="1636" w:hanging="360"/>
      </w:pPr>
      <w:rPr>
        <w:rFonts w:ascii="Times New Roman" w:eastAsiaTheme="minorHAnsi" w:hAnsi="Times New Roman" w:cs="Times New Roman" w:hint="default"/>
      </w:rPr>
    </w:lvl>
    <w:lvl w:ilvl="1" w:tplc="10000003">
      <w:start w:val="1"/>
      <w:numFmt w:val="bullet"/>
      <w:lvlText w:val="o"/>
      <w:lvlJc w:val="left"/>
      <w:pPr>
        <w:ind w:left="2356" w:hanging="360"/>
      </w:pPr>
      <w:rPr>
        <w:rFonts w:ascii="Courier New" w:hAnsi="Courier New" w:cs="Courier New" w:hint="default"/>
      </w:rPr>
    </w:lvl>
    <w:lvl w:ilvl="2" w:tplc="10000005" w:tentative="1">
      <w:start w:val="1"/>
      <w:numFmt w:val="bullet"/>
      <w:lvlText w:val=""/>
      <w:lvlJc w:val="left"/>
      <w:pPr>
        <w:ind w:left="3076" w:hanging="360"/>
      </w:pPr>
      <w:rPr>
        <w:rFonts w:ascii="Wingdings" w:hAnsi="Wingdings" w:hint="default"/>
      </w:rPr>
    </w:lvl>
    <w:lvl w:ilvl="3" w:tplc="10000001" w:tentative="1">
      <w:start w:val="1"/>
      <w:numFmt w:val="bullet"/>
      <w:lvlText w:val=""/>
      <w:lvlJc w:val="left"/>
      <w:pPr>
        <w:ind w:left="3796" w:hanging="360"/>
      </w:pPr>
      <w:rPr>
        <w:rFonts w:ascii="Symbol" w:hAnsi="Symbol" w:hint="default"/>
      </w:rPr>
    </w:lvl>
    <w:lvl w:ilvl="4" w:tplc="10000003" w:tentative="1">
      <w:start w:val="1"/>
      <w:numFmt w:val="bullet"/>
      <w:lvlText w:val="o"/>
      <w:lvlJc w:val="left"/>
      <w:pPr>
        <w:ind w:left="4516" w:hanging="360"/>
      </w:pPr>
      <w:rPr>
        <w:rFonts w:ascii="Courier New" w:hAnsi="Courier New" w:cs="Courier New" w:hint="default"/>
      </w:rPr>
    </w:lvl>
    <w:lvl w:ilvl="5" w:tplc="10000005" w:tentative="1">
      <w:start w:val="1"/>
      <w:numFmt w:val="bullet"/>
      <w:lvlText w:val=""/>
      <w:lvlJc w:val="left"/>
      <w:pPr>
        <w:ind w:left="5236" w:hanging="360"/>
      </w:pPr>
      <w:rPr>
        <w:rFonts w:ascii="Wingdings" w:hAnsi="Wingdings" w:hint="default"/>
      </w:rPr>
    </w:lvl>
    <w:lvl w:ilvl="6" w:tplc="10000001" w:tentative="1">
      <w:start w:val="1"/>
      <w:numFmt w:val="bullet"/>
      <w:lvlText w:val=""/>
      <w:lvlJc w:val="left"/>
      <w:pPr>
        <w:ind w:left="5956" w:hanging="360"/>
      </w:pPr>
      <w:rPr>
        <w:rFonts w:ascii="Symbol" w:hAnsi="Symbol" w:hint="default"/>
      </w:rPr>
    </w:lvl>
    <w:lvl w:ilvl="7" w:tplc="10000003" w:tentative="1">
      <w:start w:val="1"/>
      <w:numFmt w:val="bullet"/>
      <w:lvlText w:val="o"/>
      <w:lvlJc w:val="left"/>
      <w:pPr>
        <w:ind w:left="6676" w:hanging="360"/>
      </w:pPr>
      <w:rPr>
        <w:rFonts w:ascii="Courier New" w:hAnsi="Courier New" w:cs="Courier New" w:hint="default"/>
      </w:rPr>
    </w:lvl>
    <w:lvl w:ilvl="8" w:tplc="10000005" w:tentative="1">
      <w:start w:val="1"/>
      <w:numFmt w:val="bullet"/>
      <w:lvlText w:val=""/>
      <w:lvlJc w:val="left"/>
      <w:pPr>
        <w:ind w:left="7396" w:hanging="360"/>
      </w:pPr>
      <w:rPr>
        <w:rFonts w:ascii="Wingdings" w:hAnsi="Wingdings" w:hint="default"/>
      </w:rPr>
    </w:lvl>
  </w:abstractNum>
  <w:abstractNum w:abstractNumId="32" w15:restartNumberingAfterBreak="0">
    <w:nsid w:val="765E351A"/>
    <w:multiLevelType w:val="multilevel"/>
    <w:tmpl w:val="FCD2C544"/>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08"/>
        </w:tabs>
        <w:ind w:left="1708" w:hanging="432"/>
      </w:pPr>
      <w:rPr>
        <w:rFonts w:hint="default"/>
        <w:b w:val="0"/>
        <w:bCs/>
      </w:rPr>
    </w:lvl>
    <w:lvl w:ilvl="2">
      <w:start w:val="1"/>
      <w:numFmt w:val="decimal"/>
      <w:lvlText w:val="%3."/>
      <w:lvlJc w:val="left"/>
      <w:pPr>
        <w:tabs>
          <w:tab w:val="num" w:pos="2843"/>
        </w:tabs>
        <w:ind w:left="2843" w:hanging="432"/>
      </w:pPr>
      <w:rPr>
        <w:rFonts w:hint="default"/>
        <w:b w:val="0"/>
        <w:bCs w:val="0"/>
        <w:i w:val="0"/>
        <w:iCs w:val="0"/>
        <w:color w:val="auto"/>
      </w:rPr>
    </w:lvl>
    <w:lvl w:ilvl="3">
      <w:start w:val="1"/>
      <w:numFmt w:val="lowerLetter"/>
      <w:lvlText w:val="%4)"/>
      <w:lvlJc w:val="left"/>
      <w:pPr>
        <w:tabs>
          <w:tab w:val="num" w:pos="2592"/>
        </w:tabs>
        <w:ind w:left="2592" w:hanging="432"/>
      </w:pPr>
      <w:rPr>
        <w:rFonts w:ascii="Times New Roman" w:eastAsiaTheme="minorHAnsi" w:hAnsi="Times New Roman" w:cs="Times New Roman"/>
      </w:rPr>
    </w:lvl>
    <w:lvl w:ilvl="4">
      <w:start w:val="1"/>
      <w:numFmt w:val="decimal"/>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3" w15:restartNumberingAfterBreak="0">
    <w:nsid w:val="7C761923"/>
    <w:multiLevelType w:val="hybridMultilevel"/>
    <w:tmpl w:val="F4F63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20"/>
  </w:num>
  <w:num w:numId="3">
    <w:abstractNumId w:val="24"/>
  </w:num>
  <w:num w:numId="4">
    <w:abstractNumId w:val="18"/>
  </w:num>
  <w:num w:numId="5">
    <w:abstractNumId w:val="21"/>
  </w:num>
  <w:num w:numId="6">
    <w:abstractNumId w:val="21"/>
  </w:num>
  <w:num w:numId="7">
    <w:abstractNumId w:val="4"/>
  </w:num>
  <w:num w:numId="8">
    <w:abstractNumId w:val="9"/>
  </w:num>
  <w:num w:numId="9">
    <w:abstractNumId w:val="19"/>
  </w:num>
  <w:num w:numId="10">
    <w:abstractNumId w:val="17"/>
  </w:num>
  <w:num w:numId="11">
    <w:abstractNumId w:val="31"/>
  </w:num>
  <w:num w:numId="12">
    <w:abstractNumId w:val="32"/>
  </w:num>
  <w:num w:numId="13">
    <w:abstractNumId w:val="0"/>
  </w:num>
  <w:num w:numId="14">
    <w:abstractNumId w:val="28"/>
  </w:num>
  <w:num w:numId="15">
    <w:abstractNumId w:val="8"/>
  </w:num>
  <w:num w:numId="16">
    <w:abstractNumId w:val="6"/>
  </w:num>
  <w:num w:numId="17">
    <w:abstractNumId w:val="3"/>
  </w:num>
  <w:num w:numId="18">
    <w:abstractNumId w:val="33"/>
  </w:num>
  <w:num w:numId="19">
    <w:abstractNumId w:val="16"/>
  </w:num>
  <w:num w:numId="20">
    <w:abstractNumId w:val="15"/>
  </w:num>
  <w:num w:numId="2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2"/>
  </w:num>
  <w:num w:numId="24">
    <w:abstractNumId w:val="13"/>
  </w:num>
  <w:num w:numId="25">
    <w:abstractNumId w:val="1"/>
  </w:num>
  <w:num w:numId="26">
    <w:abstractNumId w:val="29"/>
  </w:num>
  <w:num w:numId="27">
    <w:abstractNumId w:val="27"/>
  </w:num>
  <w:num w:numId="28">
    <w:abstractNumId w:val="2"/>
  </w:num>
  <w:num w:numId="29">
    <w:abstractNumId w:val="23"/>
  </w:num>
  <w:num w:numId="30">
    <w:abstractNumId w:val="22"/>
  </w:num>
  <w:num w:numId="31">
    <w:abstractNumId w:val="11"/>
  </w:num>
  <w:num w:numId="32">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475"/>
  <w:hyphenationZone w:val="20"/>
  <w:doNotHyphenateCaps/>
  <w:evenAndOddHeaders/>
  <w:characterSpacingControl w:val="doNotCompress"/>
  <w:hdrShapeDefaults>
    <o:shapedefaults v:ext="edit" spidmax="2052"/>
    <o:shapelayout v:ext="edit">
      <o:idmap v:ext="edit" data="2"/>
    </o:shapelayout>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7888*"/>
    <w:docVar w:name="CreationDt" w:val="26/07/2019 08:00:48"/>
    <w:docVar w:name="DocCategory" w:val="Doc"/>
    <w:docVar w:name="DocType" w:val="Final"/>
    <w:docVar w:name="DutyStation" w:val="Vienna"/>
    <w:docVar w:name="FooterJN" w:val="V.19-07888"/>
    <w:docVar w:name="jobn" w:val="V.19-07888 (E)"/>
    <w:docVar w:name="jobnDT" w:val="V.19-07888 (E)   260719"/>
    <w:docVar w:name="jobnDTDT" w:val="V.19-07888 (E)   260719   260719"/>
    <w:docVar w:name="JobNo" w:val="V.1907888E"/>
    <w:docVar w:name="JobNo2" w:val="1907888E"/>
    <w:docVar w:name="LocalDrive" w:val="0"/>
    <w:docVar w:name="OandT" w:val="TM"/>
    <w:docVar w:name="sss1" w:val="A/CN.9/WG.III/WP.168"/>
    <w:docVar w:name="sss2" w:val="-"/>
    <w:docVar w:name="Symbol1" w:val="A/CN.9/WG.III/WP.168"/>
    <w:docVar w:name="Symbol2" w:val="-"/>
  </w:docVars>
  <w:rsids>
    <w:rsidRoot w:val="00CA6363"/>
    <w:rsid w:val="0000049C"/>
    <w:rsid w:val="00000A65"/>
    <w:rsid w:val="00001006"/>
    <w:rsid w:val="00002529"/>
    <w:rsid w:val="00002C1C"/>
    <w:rsid w:val="0000347F"/>
    <w:rsid w:val="0000420E"/>
    <w:rsid w:val="00006A4D"/>
    <w:rsid w:val="000126A6"/>
    <w:rsid w:val="0001325F"/>
    <w:rsid w:val="00013387"/>
    <w:rsid w:val="00013710"/>
    <w:rsid w:val="00016A06"/>
    <w:rsid w:val="00017284"/>
    <w:rsid w:val="000173A5"/>
    <w:rsid w:val="0001766F"/>
    <w:rsid w:val="00017C0C"/>
    <w:rsid w:val="00017FCF"/>
    <w:rsid w:val="00020116"/>
    <w:rsid w:val="0002014A"/>
    <w:rsid w:val="0002161E"/>
    <w:rsid w:val="00021981"/>
    <w:rsid w:val="00023494"/>
    <w:rsid w:val="0002484E"/>
    <w:rsid w:val="00024C61"/>
    <w:rsid w:val="00024D1E"/>
    <w:rsid w:val="00027D65"/>
    <w:rsid w:val="0003031F"/>
    <w:rsid w:val="000305AF"/>
    <w:rsid w:val="00031E12"/>
    <w:rsid w:val="00032556"/>
    <w:rsid w:val="00032946"/>
    <w:rsid w:val="0003374A"/>
    <w:rsid w:val="000338AF"/>
    <w:rsid w:val="000345A9"/>
    <w:rsid w:val="00034710"/>
    <w:rsid w:val="00036E51"/>
    <w:rsid w:val="0003723A"/>
    <w:rsid w:val="00037FBF"/>
    <w:rsid w:val="00040222"/>
    <w:rsid w:val="0004029B"/>
    <w:rsid w:val="00041917"/>
    <w:rsid w:val="00041BC7"/>
    <w:rsid w:val="00044B67"/>
    <w:rsid w:val="000457F2"/>
    <w:rsid w:val="0004596A"/>
    <w:rsid w:val="00045CC4"/>
    <w:rsid w:val="00045EC8"/>
    <w:rsid w:val="00045F3C"/>
    <w:rsid w:val="0004710A"/>
    <w:rsid w:val="00047B12"/>
    <w:rsid w:val="0005015D"/>
    <w:rsid w:val="000507C9"/>
    <w:rsid w:val="000514CF"/>
    <w:rsid w:val="000524F0"/>
    <w:rsid w:val="000532A4"/>
    <w:rsid w:val="00053D34"/>
    <w:rsid w:val="00054E9A"/>
    <w:rsid w:val="00055E4C"/>
    <w:rsid w:val="00057370"/>
    <w:rsid w:val="00057763"/>
    <w:rsid w:val="0006052B"/>
    <w:rsid w:val="00060F11"/>
    <w:rsid w:val="00061D2B"/>
    <w:rsid w:val="000628B1"/>
    <w:rsid w:val="00064B0E"/>
    <w:rsid w:val="000669DB"/>
    <w:rsid w:val="00070672"/>
    <w:rsid w:val="0007294B"/>
    <w:rsid w:val="000729DA"/>
    <w:rsid w:val="00072D8E"/>
    <w:rsid w:val="00073AB8"/>
    <w:rsid w:val="00073CA2"/>
    <w:rsid w:val="00073E2D"/>
    <w:rsid w:val="0007454C"/>
    <w:rsid w:val="000758DF"/>
    <w:rsid w:val="00075FC0"/>
    <w:rsid w:val="00076686"/>
    <w:rsid w:val="0008109F"/>
    <w:rsid w:val="00081EB8"/>
    <w:rsid w:val="00081F44"/>
    <w:rsid w:val="0008258F"/>
    <w:rsid w:val="00083B95"/>
    <w:rsid w:val="00084AC4"/>
    <w:rsid w:val="00085DDC"/>
    <w:rsid w:val="00087262"/>
    <w:rsid w:val="00087F12"/>
    <w:rsid w:val="000908EE"/>
    <w:rsid w:val="000910A5"/>
    <w:rsid w:val="00091BC7"/>
    <w:rsid w:val="0009216D"/>
    <w:rsid w:val="000935CB"/>
    <w:rsid w:val="00093A1B"/>
    <w:rsid w:val="00096039"/>
    <w:rsid w:val="00096069"/>
    <w:rsid w:val="000976D1"/>
    <w:rsid w:val="00097EA7"/>
    <w:rsid w:val="000A0A88"/>
    <w:rsid w:val="000A1D8E"/>
    <w:rsid w:val="000A2EC3"/>
    <w:rsid w:val="000A3F11"/>
    <w:rsid w:val="000A4513"/>
    <w:rsid w:val="000A63BC"/>
    <w:rsid w:val="000A7A1E"/>
    <w:rsid w:val="000A7B05"/>
    <w:rsid w:val="000B0012"/>
    <w:rsid w:val="000B05FF"/>
    <w:rsid w:val="000B0A81"/>
    <w:rsid w:val="000B0AA5"/>
    <w:rsid w:val="000B1B04"/>
    <w:rsid w:val="000B1BAB"/>
    <w:rsid w:val="000B2C31"/>
    <w:rsid w:val="000B3288"/>
    <w:rsid w:val="000B383D"/>
    <w:rsid w:val="000B6627"/>
    <w:rsid w:val="000B7F8D"/>
    <w:rsid w:val="000C0D9F"/>
    <w:rsid w:val="000C1B63"/>
    <w:rsid w:val="000C200C"/>
    <w:rsid w:val="000C2854"/>
    <w:rsid w:val="000C2E1F"/>
    <w:rsid w:val="000C491A"/>
    <w:rsid w:val="000C4C9C"/>
    <w:rsid w:val="000C6F1A"/>
    <w:rsid w:val="000D0F89"/>
    <w:rsid w:val="000D1D97"/>
    <w:rsid w:val="000D2570"/>
    <w:rsid w:val="000D3D12"/>
    <w:rsid w:val="000D5B25"/>
    <w:rsid w:val="000D5DCB"/>
    <w:rsid w:val="000D640B"/>
    <w:rsid w:val="000D685D"/>
    <w:rsid w:val="000E08A9"/>
    <w:rsid w:val="000E0C0F"/>
    <w:rsid w:val="000E0C7C"/>
    <w:rsid w:val="000E37E2"/>
    <w:rsid w:val="000E48E8"/>
    <w:rsid w:val="000E5BC8"/>
    <w:rsid w:val="000E6E06"/>
    <w:rsid w:val="000E7600"/>
    <w:rsid w:val="000F0149"/>
    <w:rsid w:val="000F1A73"/>
    <w:rsid w:val="000F1B90"/>
    <w:rsid w:val="000F270D"/>
    <w:rsid w:val="000F278E"/>
    <w:rsid w:val="000F3878"/>
    <w:rsid w:val="000F483C"/>
    <w:rsid w:val="000F4BA5"/>
    <w:rsid w:val="000F6946"/>
    <w:rsid w:val="000F749A"/>
    <w:rsid w:val="000F758A"/>
    <w:rsid w:val="0010009E"/>
    <w:rsid w:val="0010158D"/>
    <w:rsid w:val="001019DF"/>
    <w:rsid w:val="00101BAA"/>
    <w:rsid w:val="00102408"/>
    <w:rsid w:val="00102F57"/>
    <w:rsid w:val="001051D1"/>
    <w:rsid w:val="00105634"/>
    <w:rsid w:val="00107A95"/>
    <w:rsid w:val="0011004E"/>
    <w:rsid w:val="00110158"/>
    <w:rsid w:val="00110CC9"/>
    <w:rsid w:val="00113563"/>
    <w:rsid w:val="00113934"/>
    <w:rsid w:val="00113AFE"/>
    <w:rsid w:val="00115E79"/>
    <w:rsid w:val="001161CF"/>
    <w:rsid w:val="00117FEB"/>
    <w:rsid w:val="00122A4F"/>
    <w:rsid w:val="00122B47"/>
    <w:rsid w:val="001230A6"/>
    <w:rsid w:val="00124304"/>
    <w:rsid w:val="00124754"/>
    <w:rsid w:val="00125F39"/>
    <w:rsid w:val="001268B8"/>
    <w:rsid w:val="001269A4"/>
    <w:rsid w:val="0012704C"/>
    <w:rsid w:val="0012784D"/>
    <w:rsid w:val="00130A68"/>
    <w:rsid w:val="00130D1F"/>
    <w:rsid w:val="001328F2"/>
    <w:rsid w:val="00132A77"/>
    <w:rsid w:val="00134048"/>
    <w:rsid w:val="00134CF4"/>
    <w:rsid w:val="001352C8"/>
    <w:rsid w:val="00135FC5"/>
    <w:rsid w:val="00137895"/>
    <w:rsid w:val="0014225E"/>
    <w:rsid w:val="00143839"/>
    <w:rsid w:val="00143D18"/>
    <w:rsid w:val="00144700"/>
    <w:rsid w:val="00145835"/>
    <w:rsid w:val="001460FF"/>
    <w:rsid w:val="00146674"/>
    <w:rsid w:val="0014676A"/>
    <w:rsid w:val="00146ADB"/>
    <w:rsid w:val="00150299"/>
    <w:rsid w:val="001509A5"/>
    <w:rsid w:val="00150BC6"/>
    <w:rsid w:val="0015101A"/>
    <w:rsid w:val="00152E5D"/>
    <w:rsid w:val="00154473"/>
    <w:rsid w:val="00156016"/>
    <w:rsid w:val="00156607"/>
    <w:rsid w:val="00157EFF"/>
    <w:rsid w:val="0016075A"/>
    <w:rsid w:val="00162506"/>
    <w:rsid w:val="00162A66"/>
    <w:rsid w:val="00163B1A"/>
    <w:rsid w:val="0016448D"/>
    <w:rsid w:val="00165313"/>
    <w:rsid w:val="00165F6B"/>
    <w:rsid w:val="00166998"/>
    <w:rsid w:val="00166E4F"/>
    <w:rsid w:val="00170BE1"/>
    <w:rsid w:val="00171215"/>
    <w:rsid w:val="00171B94"/>
    <w:rsid w:val="00171C41"/>
    <w:rsid w:val="001720F5"/>
    <w:rsid w:val="00172459"/>
    <w:rsid w:val="00173D45"/>
    <w:rsid w:val="001740A8"/>
    <w:rsid w:val="001741C3"/>
    <w:rsid w:val="00176519"/>
    <w:rsid w:val="00177579"/>
    <w:rsid w:val="00182603"/>
    <w:rsid w:val="00182D67"/>
    <w:rsid w:val="00184FDB"/>
    <w:rsid w:val="0018522C"/>
    <w:rsid w:val="00185A35"/>
    <w:rsid w:val="00190A3D"/>
    <w:rsid w:val="00190B44"/>
    <w:rsid w:val="00192560"/>
    <w:rsid w:val="00193AFB"/>
    <w:rsid w:val="001969C2"/>
    <w:rsid w:val="0019715D"/>
    <w:rsid w:val="001A0822"/>
    <w:rsid w:val="001A0DDC"/>
    <w:rsid w:val="001A143C"/>
    <w:rsid w:val="001A207A"/>
    <w:rsid w:val="001A4ACC"/>
    <w:rsid w:val="001A70EE"/>
    <w:rsid w:val="001A765C"/>
    <w:rsid w:val="001A7E66"/>
    <w:rsid w:val="001B0821"/>
    <w:rsid w:val="001B0B5D"/>
    <w:rsid w:val="001B4D37"/>
    <w:rsid w:val="001B5DDB"/>
    <w:rsid w:val="001B6C04"/>
    <w:rsid w:val="001B726C"/>
    <w:rsid w:val="001C0976"/>
    <w:rsid w:val="001C35B1"/>
    <w:rsid w:val="001C4447"/>
    <w:rsid w:val="001C4AFE"/>
    <w:rsid w:val="001C4ED2"/>
    <w:rsid w:val="001C5F07"/>
    <w:rsid w:val="001C61F3"/>
    <w:rsid w:val="001C640E"/>
    <w:rsid w:val="001C6C47"/>
    <w:rsid w:val="001C75EE"/>
    <w:rsid w:val="001D0879"/>
    <w:rsid w:val="001D0EB0"/>
    <w:rsid w:val="001D1B80"/>
    <w:rsid w:val="001D319C"/>
    <w:rsid w:val="001D463E"/>
    <w:rsid w:val="001D4F08"/>
    <w:rsid w:val="001D5601"/>
    <w:rsid w:val="001D6B64"/>
    <w:rsid w:val="001D7374"/>
    <w:rsid w:val="001D75BC"/>
    <w:rsid w:val="001D78AD"/>
    <w:rsid w:val="001D79B0"/>
    <w:rsid w:val="001E0F17"/>
    <w:rsid w:val="001E11A2"/>
    <w:rsid w:val="001E1848"/>
    <w:rsid w:val="001E1CDD"/>
    <w:rsid w:val="001E2F5E"/>
    <w:rsid w:val="001E3C9E"/>
    <w:rsid w:val="001E3E13"/>
    <w:rsid w:val="001E5D16"/>
    <w:rsid w:val="001E5EC6"/>
    <w:rsid w:val="001E60E7"/>
    <w:rsid w:val="001E6FDF"/>
    <w:rsid w:val="001F02D8"/>
    <w:rsid w:val="001F14F5"/>
    <w:rsid w:val="001F1D6D"/>
    <w:rsid w:val="001F25D0"/>
    <w:rsid w:val="001F3370"/>
    <w:rsid w:val="001F4F0D"/>
    <w:rsid w:val="001F51A0"/>
    <w:rsid w:val="001F5834"/>
    <w:rsid w:val="001F5CBD"/>
    <w:rsid w:val="001F5ECA"/>
    <w:rsid w:val="001F72E8"/>
    <w:rsid w:val="001F7F12"/>
    <w:rsid w:val="0020031A"/>
    <w:rsid w:val="002007C7"/>
    <w:rsid w:val="00200F9C"/>
    <w:rsid w:val="00201D3B"/>
    <w:rsid w:val="00201FAB"/>
    <w:rsid w:val="00202D1B"/>
    <w:rsid w:val="00203136"/>
    <w:rsid w:val="00206166"/>
    <w:rsid w:val="0020640A"/>
    <w:rsid w:val="002077B7"/>
    <w:rsid w:val="00207C70"/>
    <w:rsid w:val="0021054A"/>
    <w:rsid w:val="00210BE1"/>
    <w:rsid w:val="00210C87"/>
    <w:rsid w:val="00211AC6"/>
    <w:rsid w:val="00211C80"/>
    <w:rsid w:val="00211F9A"/>
    <w:rsid w:val="00214645"/>
    <w:rsid w:val="00215C68"/>
    <w:rsid w:val="00215C73"/>
    <w:rsid w:val="002160BE"/>
    <w:rsid w:val="002203F4"/>
    <w:rsid w:val="00221E31"/>
    <w:rsid w:val="00222CA1"/>
    <w:rsid w:val="00225FC9"/>
    <w:rsid w:val="00227358"/>
    <w:rsid w:val="0022735C"/>
    <w:rsid w:val="002316D2"/>
    <w:rsid w:val="0023330D"/>
    <w:rsid w:val="00234014"/>
    <w:rsid w:val="00241BD0"/>
    <w:rsid w:val="00244931"/>
    <w:rsid w:val="002452A4"/>
    <w:rsid w:val="002456F3"/>
    <w:rsid w:val="00245B9F"/>
    <w:rsid w:val="00245D7C"/>
    <w:rsid w:val="00246A30"/>
    <w:rsid w:val="00250A6B"/>
    <w:rsid w:val="00250D79"/>
    <w:rsid w:val="00252129"/>
    <w:rsid w:val="00254882"/>
    <w:rsid w:val="002554A2"/>
    <w:rsid w:val="002568BE"/>
    <w:rsid w:val="00256E8C"/>
    <w:rsid w:val="00256F05"/>
    <w:rsid w:val="002636A9"/>
    <w:rsid w:val="00265E16"/>
    <w:rsid w:val="002677D3"/>
    <w:rsid w:val="002706A2"/>
    <w:rsid w:val="00270CC6"/>
    <w:rsid w:val="002724D8"/>
    <w:rsid w:val="00273118"/>
    <w:rsid w:val="002742FA"/>
    <w:rsid w:val="002748D5"/>
    <w:rsid w:val="00275361"/>
    <w:rsid w:val="00275C5B"/>
    <w:rsid w:val="00276EE5"/>
    <w:rsid w:val="00277014"/>
    <w:rsid w:val="00280223"/>
    <w:rsid w:val="00281605"/>
    <w:rsid w:val="00281D37"/>
    <w:rsid w:val="00281EA9"/>
    <w:rsid w:val="002820E6"/>
    <w:rsid w:val="00282363"/>
    <w:rsid w:val="002827FA"/>
    <w:rsid w:val="00284218"/>
    <w:rsid w:val="002850C1"/>
    <w:rsid w:val="002863C9"/>
    <w:rsid w:val="002879E2"/>
    <w:rsid w:val="00290C7A"/>
    <w:rsid w:val="00290C9C"/>
    <w:rsid w:val="00291C7D"/>
    <w:rsid w:val="00292DEC"/>
    <w:rsid w:val="00292FA2"/>
    <w:rsid w:val="00293576"/>
    <w:rsid w:val="002945B3"/>
    <w:rsid w:val="00296482"/>
    <w:rsid w:val="00297E76"/>
    <w:rsid w:val="002A07B2"/>
    <w:rsid w:val="002A1395"/>
    <w:rsid w:val="002A1BA0"/>
    <w:rsid w:val="002A1CA8"/>
    <w:rsid w:val="002A242F"/>
    <w:rsid w:val="002A31F9"/>
    <w:rsid w:val="002A3413"/>
    <w:rsid w:val="002A5791"/>
    <w:rsid w:val="002A5F14"/>
    <w:rsid w:val="002A64AF"/>
    <w:rsid w:val="002B1B5E"/>
    <w:rsid w:val="002B2E75"/>
    <w:rsid w:val="002B3115"/>
    <w:rsid w:val="002B4C62"/>
    <w:rsid w:val="002B5385"/>
    <w:rsid w:val="002B5B5B"/>
    <w:rsid w:val="002B6CA4"/>
    <w:rsid w:val="002B741E"/>
    <w:rsid w:val="002B758B"/>
    <w:rsid w:val="002B7694"/>
    <w:rsid w:val="002C0CEE"/>
    <w:rsid w:val="002C130D"/>
    <w:rsid w:val="002C1C5C"/>
    <w:rsid w:val="002C24B3"/>
    <w:rsid w:val="002C3C58"/>
    <w:rsid w:val="002C4D0C"/>
    <w:rsid w:val="002C52E8"/>
    <w:rsid w:val="002C6357"/>
    <w:rsid w:val="002C7197"/>
    <w:rsid w:val="002C7281"/>
    <w:rsid w:val="002D010C"/>
    <w:rsid w:val="002D1E69"/>
    <w:rsid w:val="002D272D"/>
    <w:rsid w:val="002D3B95"/>
    <w:rsid w:val="002D6EB4"/>
    <w:rsid w:val="002E06F8"/>
    <w:rsid w:val="002E09A8"/>
    <w:rsid w:val="002E0A38"/>
    <w:rsid w:val="002E238C"/>
    <w:rsid w:val="002E33B5"/>
    <w:rsid w:val="002E379D"/>
    <w:rsid w:val="002E3DA0"/>
    <w:rsid w:val="002E4791"/>
    <w:rsid w:val="002E4F29"/>
    <w:rsid w:val="002E6121"/>
    <w:rsid w:val="002E77D2"/>
    <w:rsid w:val="002E7E5D"/>
    <w:rsid w:val="002E7EDA"/>
    <w:rsid w:val="002F0693"/>
    <w:rsid w:val="002F1155"/>
    <w:rsid w:val="002F43E9"/>
    <w:rsid w:val="002F4E86"/>
    <w:rsid w:val="0030074F"/>
    <w:rsid w:val="00300AED"/>
    <w:rsid w:val="00301D5A"/>
    <w:rsid w:val="00302747"/>
    <w:rsid w:val="00302A12"/>
    <w:rsid w:val="0030312A"/>
    <w:rsid w:val="003032B6"/>
    <w:rsid w:val="00303CAC"/>
    <w:rsid w:val="0030692B"/>
    <w:rsid w:val="00306C21"/>
    <w:rsid w:val="003070C0"/>
    <w:rsid w:val="003072CD"/>
    <w:rsid w:val="00307452"/>
    <w:rsid w:val="00307605"/>
    <w:rsid w:val="00314796"/>
    <w:rsid w:val="00315072"/>
    <w:rsid w:val="00316A8D"/>
    <w:rsid w:val="003176B0"/>
    <w:rsid w:val="00320796"/>
    <w:rsid w:val="003210FF"/>
    <w:rsid w:val="003224E1"/>
    <w:rsid w:val="00325185"/>
    <w:rsid w:val="00325838"/>
    <w:rsid w:val="003265C2"/>
    <w:rsid w:val="00326B3F"/>
    <w:rsid w:val="003273A6"/>
    <w:rsid w:val="003301A0"/>
    <w:rsid w:val="00331BEC"/>
    <w:rsid w:val="00332AC7"/>
    <w:rsid w:val="00333C95"/>
    <w:rsid w:val="00333FAE"/>
    <w:rsid w:val="00334D4D"/>
    <w:rsid w:val="00334EA3"/>
    <w:rsid w:val="00336B60"/>
    <w:rsid w:val="00337A06"/>
    <w:rsid w:val="00341751"/>
    <w:rsid w:val="00341DD6"/>
    <w:rsid w:val="0034203C"/>
    <w:rsid w:val="00342214"/>
    <w:rsid w:val="00342D7C"/>
    <w:rsid w:val="00345C55"/>
    <w:rsid w:val="00346075"/>
    <w:rsid w:val="00346E64"/>
    <w:rsid w:val="00351FFF"/>
    <w:rsid w:val="003544DE"/>
    <w:rsid w:val="00354EFC"/>
    <w:rsid w:val="003557CB"/>
    <w:rsid w:val="00355826"/>
    <w:rsid w:val="00355F6F"/>
    <w:rsid w:val="00356B37"/>
    <w:rsid w:val="003572A9"/>
    <w:rsid w:val="00360B9B"/>
    <w:rsid w:val="00362C64"/>
    <w:rsid w:val="00362DAC"/>
    <w:rsid w:val="00363AD1"/>
    <w:rsid w:val="00365766"/>
    <w:rsid w:val="003661FE"/>
    <w:rsid w:val="00371A3B"/>
    <w:rsid w:val="00371CC6"/>
    <w:rsid w:val="00372DA9"/>
    <w:rsid w:val="0037689F"/>
    <w:rsid w:val="00376C60"/>
    <w:rsid w:val="00376F20"/>
    <w:rsid w:val="00382201"/>
    <w:rsid w:val="00382CE4"/>
    <w:rsid w:val="003843C9"/>
    <w:rsid w:val="00384AF0"/>
    <w:rsid w:val="00385BBD"/>
    <w:rsid w:val="003865E3"/>
    <w:rsid w:val="003879C3"/>
    <w:rsid w:val="00392EB1"/>
    <w:rsid w:val="00393A73"/>
    <w:rsid w:val="00393D5C"/>
    <w:rsid w:val="00394980"/>
    <w:rsid w:val="00395203"/>
    <w:rsid w:val="003968BC"/>
    <w:rsid w:val="00397307"/>
    <w:rsid w:val="003A02C6"/>
    <w:rsid w:val="003A03D8"/>
    <w:rsid w:val="003A1599"/>
    <w:rsid w:val="003A164A"/>
    <w:rsid w:val="003A1C32"/>
    <w:rsid w:val="003A3058"/>
    <w:rsid w:val="003A37C6"/>
    <w:rsid w:val="003A4049"/>
    <w:rsid w:val="003A6E19"/>
    <w:rsid w:val="003B060B"/>
    <w:rsid w:val="003B24C3"/>
    <w:rsid w:val="003B3654"/>
    <w:rsid w:val="003B42A4"/>
    <w:rsid w:val="003B467C"/>
    <w:rsid w:val="003B627E"/>
    <w:rsid w:val="003B6D17"/>
    <w:rsid w:val="003B6D1C"/>
    <w:rsid w:val="003B756B"/>
    <w:rsid w:val="003C18DE"/>
    <w:rsid w:val="003C2C1E"/>
    <w:rsid w:val="003C3254"/>
    <w:rsid w:val="003C3DDD"/>
    <w:rsid w:val="003C59A1"/>
    <w:rsid w:val="003C6257"/>
    <w:rsid w:val="003C64FE"/>
    <w:rsid w:val="003D159A"/>
    <w:rsid w:val="003D57A9"/>
    <w:rsid w:val="003D5D93"/>
    <w:rsid w:val="003D5F1A"/>
    <w:rsid w:val="003D6D8D"/>
    <w:rsid w:val="003D73B3"/>
    <w:rsid w:val="003E0B91"/>
    <w:rsid w:val="003E140B"/>
    <w:rsid w:val="003E24FB"/>
    <w:rsid w:val="003E259C"/>
    <w:rsid w:val="003E3945"/>
    <w:rsid w:val="003E3B08"/>
    <w:rsid w:val="003E4798"/>
    <w:rsid w:val="003E4B61"/>
    <w:rsid w:val="003E57B1"/>
    <w:rsid w:val="003E6411"/>
    <w:rsid w:val="003E6977"/>
    <w:rsid w:val="003E723B"/>
    <w:rsid w:val="003F0975"/>
    <w:rsid w:val="003F1C23"/>
    <w:rsid w:val="003F2752"/>
    <w:rsid w:val="003F34BF"/>
    <w:rsid w:val="003F37F3"/>
    <w:rsid w:val="003F3970"/>
    <w:rsid w:val="003F3DDC"/>
    <w:rsid w:val="003F5D8A"/>
    <w:rsid w:val="003F656C"/>
    <w:rsid w:val="003F7799"/>
    <w:rsid w:val="0040199E"/>
    <w:rsid w:val="004038A8"/>
    <w:rsid w:val="00403C85"/>
    <w:rsid w:val="00405102"/>
    <w:rsid w:val="00405B8D"/>
    <w:rsid w:val="00405DA0"/>
    <w:rsid w:val="00410328"/>
    <w:rsid w:val="00410B04"/>
    <w:rsid w:val="004115AF"/>
    <w:rsid w:val="00411C55"/>
    <w:rsid w:val="00411F71"/>
    <w:rsid w:val="00414E5C"/>
    <w:rsid w:val="004154C7"/>
    <w:rsid w:val="0041744A"/>
    <w:rsid w:val="00421015"/>
    <w:rsid w:val="00422386"/>
    <w:rsid w:val="00422D2B"/>
    <w:rsid w:val="00423947"/>
    <w:rsid w:val="00424196"/>
    <w:rsid w:val="00425A5C"/>
    <w:rsid w:val="00426086"/>
    <w:rsid w:val="00427226"/>
    <w:rsid w:val="0043092C"/>
    <w:rsid w:val="00435A6C"/>
    <w:rsid w:val="00435A6D"/>
    <w:rsid w:val="00435ECF"/>
    <w:rsid w:val="00436535"/>
    <w:rsid w:val="00436DA9"/>
    <w:rsid w:val="004414F5"/>
    <w:rsid w:val="0044179B"/>
    <w:rsid w:val="0044250D"/>
    <w:rsid w:val="004435B1"/>
    <w:rsid w:val="004439F5"/>
    <w:rsid w:val="00444424"/>
    <w:rsid w:val="0044467B"/>
    <w:rsid w:val="00444A9B"/>
    <w:rsid w:val="00445023"/>
    <w:rsid w:val="00445799"/>
    <w:rsid w:val="00445D91"/>
    <w:rsid w:val="00446402"/>
    <w:rsid w:val="00446BB3"/>
    <w:rsid w:val="0045092B"/>
    <w:rsid w:val="004510DA"/>
    <w:rsid w:val="004518B5"/>
    <w:rsid w:val="0045247F"/>
    <w:rsid w:val="00452EE9"/>
    <w:rsid w:val="00453A6F"/>
    <w:rsid w:val="00454B88"/>
    <w:rsid w:val="004557B5"/>
    <w:rsid w:val="00456C68"/>
    <w:rsid w:val="00456F0B"/>
    <w:rsid w:val="00457147"/>
    <w:rsid w:val="00457CDD"/>
    <w:rsid w:val="0046118D"/>
    <w:rsid w:val="00462239"/>
    <w:rsid w:val="00462F0E"/>
    <w:rsid w:val="00463F0F"/>
    <w:rsid w:val="00464139"/>
    <w:rsid w:val="004645E9"/>
    <w:rsid w:val="0046495F"/>
    <w:rsid w:val="00465282"/>
    <w:rsid w:val="004654FB"/>
    <w:rsid w:val="00465540"/>
    <w:rsid w:val="0046583B"/>
    <w:rsid w:val="00466E96"/>
    <w:rsid w:val="00467140"/>
    <w:rsid w:val="004678A8"/>
    <w:rsid w:val="004713F7"/>
    <w:rsid w:val="00471D28"/>
    <w:rsid w:val="00471D62"/>
    <w:rsid w:val="004725AC"/>
    <w:rsid w:val="004726A0"/>
    <w:rsid w:val="00472741"/>
    <w:rsid w:val="00473469"/>
    <w:rsid w:val="004739B7"/>
    <w:rsid w:val="00473E1A"/>
    <w:rsid w:val="00474EC7"/>
    <w:rsid w:val="0047557E"/>
    <w:rsid w:val="00475A30"/>
    <w:rsid w:val="00476891"/>
    <w:rsid w:val="00476FF7"/>
    <w:rsid w:val="004804AB"/>
    <w:rsid w:val="00480560"/>
    <w:rsid w:val="004821F2"/>
    <w:rsid w:val="004825C2"/>
    <w:rsid w:val="004851E2"/>
    <w:rsid w:val="004856CD"/>
    <w:rsid w:val="00486A0F"/>
    <w:rsid w:val="00486E12"/>
    <w:rsid w:val="0048774F"/>
    <w:rsid w:val="004900E9"/>
    <w:rsid w:val="00490407"/>
    <w:rsid w:val="00492C1F"/>
    <w:rsid w:val="00496AAC"/>
    <w:rsid w:val="004975ED"/>
    <w:rsid w:val="004A16B3"/>
    <w:rsid w:val="004A19F5"/>
    <w:rsid w:val="004A38B7"/>
    <w:rsid w:val="004A44A7"/>
    <w:rsid w:val="004A4CD8"/>
    <w:rsid w:val="004A5B39"/>
    <w:rsid w:val="004A663D"/>
    <w:rsid w:val="004B0B18"/>
    <w:rsid w:val="004B21D8"/>
    <w:rsid w:val="004B3E2A"/>
    <w:rsid w:val="004B4C46"/>
    <w:rsid w:val="004B6144"/>
    <w:rsid w:val="004B79B8"/>
    <w:rsid w:val="004C1EC7"/>
    <w:rsid w:val="004C29DA"/>
    <w:rsid w:val="004C6AB2"/>
    <w:rsid w:val="004C76C0"/>
    <w:rsid w:val="004C7719"/>
    <w:rsid w:val="004D0030"/>
    <w:rsid w:val="004D17DB"/>
    <w:rsid w:val="004D2A37"/>
    <w:rsid w:val="004D3A94"/>
    <w:rsid w:val="004D584D"/>
    <w:rsid w:val="004D5F80"/>
    <w:rsid w:val="004D6488"/>
    <w:rsid w:val="004D72A1"/>
    <w:rsid w:val="004D7DEE"/>
    <w:rsid w:val="004E02ED"/>
    <w:rsid w:val="004E0CA0"/>
    <w:rsid w:val="004E0F91"/>
    <w:rsid w:val="004E25DA"/>
    <w:rsid w:val="004E2AE3"/>
    <w:rsid w:val="004E544A"/>
    <w:rsid w:val="004E56D8"/>
    <w:rsid w:val="004E66B8"/>
    <w:rsid w:val="004E6B40"/>
    <w:rsid w:val="004E730A"/>
    <w:rsid w:val="004F0550"/>
    <w:rsid w:val="004F0DFB"/>
    <w:rsid w:val="004F15F8"/>
    <w:rsid w:val="004F3C7E"/>
    <w:rsid w:val="004F660F"/>
    <w:rsid w:val="004F7765"/>
    <w:rsid w:val="005020EE"/>
    <w:rsid w:val="005040BD"/>
    <w:rsid w:val="00504F43"/>
    <w:rsid w:val="00505251"/>
    <w:rsid w:val="0050630A"/>
    <w:rsid w:val="005065C8"/>
    <w:rsid w:val="0050699F"/>
    <w:rsid w:val="005101A9"/>
    <w:rsid w:val="005108F3"/>
    <w:rsid w:val="00511689"/>
    <w:rsid w:val="00511D5B"/>
    <w:rsid w:val="0051262E"/>
    <w:rsid w:val="005140A5"/>
    <w:rsid w:val="00514637"/>
    <w:rsid w:val="00514C92"/>
    <w:rsid w:val="00516B23"/>
    <w:rsid w:val="00521BC6"/>
    <w:rsid w:val="00521C60"/>
    <w:rsid w:val="005225CB"/>
    <w:rsid w:val="0052305D"/>
    <w:rsid w:val="005233D5"/>
    <w:rsid w:val="00523A08"/>
    <w:rsid w:val="005240B2"/>
    <w:rsid w:val="00525648"/>
    <w:rsid w:val="00530396"/>
    <w:rsid w:val="00530D9E"/>
    <w:rsid w:val="0053114E"/>
    <w:rsid w:val="00532982"/>
    <w:rsid w:val="005331B4"/>
    <w:rsid w:val="005334CF"/>
    <w:rsid w:val="0053369D"/>
    <w:rsid w:val="00533853"/>
    <w:rsid w:val="00533BBC"/>
    <w:rsid w:val="00533DE4"/>
    <w:rsid w:val="00533E22"/>
    <w:rsid w:val="0053567A"/>
    <w:rsid w:val="00535B1C"/>
    <w:rsid w:val="00536EB8"/>
    <w:rsid w:val="00536EC9"/>
    <w:rsid w:val="005373EC"/>
    <w:rsid w:val="00537408"/>
    <w:rsid w:val="005378CF"/>
    <w:rsid w:val="00541451"/>
    <w:rsid w:val="005416E3"/>
    <w:rsid w:val="00541E06"/>
    <w:rsid w:val="00542EFA"/>
    <w:rsid w:val="00543336"/>
    <w:rsid w:val="0054374D"/>
    <w:rsid w:val="00545099"/>
    <w:rsid w:val="00545349"/>
    <w:rsid w:val="00546EAB"/>
    <w:rsid w:val="005506D3"/>
    <w:rsid w:val="00552503"/>
    <w:rsid w:val="00552A98"/>
    <w:rsid w:val="005547E8"/>
    <w:rsid w:val="0055553C"/>
    <w:rsid w:val="00555793"/>
    <w:rsid w:val="00556720"/>
    <w:rsid w:val="00556B01"/>
    <w:rsid w:val="00560150"/>
    <w:rsid w:val="005608D0"/>
    <w:rsid w:val="005610B7"/>
    <w:rsid w:val="00562E60"/>
    <w:rsid w:val="00563250"/>
    <w:rsid w:val="00563563"/>
    <w:rsid w:val="00563F78"/>
    <w:rsid w:val="005644A6"/>
    <w:rsid w:val="005673B4"/>
    <w:rsid w:val="005705EB"/>
    <w:rsid w:val="00571965"/>
    <w:rsid w:val="0057307B"/>
    <w:rsid w:val="005732CA"/>
    <w:rsid w:val="00575377"/>
    <w:rsid w:val="005778C1"/>
    <w:rsid w:val="00581678"/>
    <w:rsid w:val="00581CD6"/>
    <w:rsid w:val="005821D6"/>
    <w:rsid w:val="00582228"/>
    <w:rsid w:val="00582F1E"/>
    <w:rsid w:val="00584854"/>
    <w:rsid w:val="005866E3"/>
    <w:rsid w:val="00587BD8"/>
    <w:rsid w:val="00591241"/>
    <w:rsid w:val="0059230B"/>
    <w:rsid w:val="005940DC"/>
    <w:rsid w:val="005948C8"/>
    <w:rsid w:val="00595F16"/>
    <w:rsid w:val="00596C6E"/>
    <w:rsid w:val="005A01A8"/>
    <w:rsid w:val="005A1DAF"/>
    <w:rsid w:val="005A2ECF"/>
    <w:rsid w:val="005A327B"/>
    <w:rsid w:val="005A41EB"/>
    <w:rsid w:val="005A4735"/>
    <w:rsid w:val="005A4D8E"/>
    <w:rsid w:val="005A4F2B"/>
    <w:rsid w:val="005A5394"/>
    <w:rsid w:val="005A69BA"/>
    <w:rsid w:val="005A7272"/>
    <w:rsid w:val="005B2409"/>
    <w:rsid w:val="005B2DCC"/>
    <w:rsid w:val="005B4AB6"/>
    <w:rsid w:val="005C09EF"/>
    <w:rsid w:val="005C13AB"/>
    <w:rsid w:val="005C260A"/>
    <w:rsid w:val="005C28D9"/>
    <w:rsid w:val="005C2C64"/>
    <w:rsid w:val="005C43A2"/>
    <w:rsid w:val="005C49C8"/>
    <w:rsid w:val="005C5355"/>
    <w:rsid w:val="005D099D"/>
    <w:rsid w:val="005D0A0D"/>
    <w:rsid w:val="005D266D"/>
    <w:rsid w:val="005D28F3"/>
    <w:rsid w:val="005D32A9"/>
    <w:rsid w:val="005D343B"/>
    <w:rsid w:val="005D59AD"/>
    <w:rsid w:val="005D5A46"/>
    <w:rsid w:val="005D73EC"/>
    <w:rsid w:val="005D779C"/>
    <w:rsid w:val="005E0915"/>
    <w:rsid w:val="005E146E"/>
    <w:rsid w:val="005E3E31"/>
    <w:rsid w:val="005E5C3C"/>
    <w:rsid w:val="005E6D8B"/>
    <w:rsid w:val="005F1D6B"/>
    <w:rsid w:val="005F2F1C"/>
    <w:rsid w:val="005F3243"/>
    <w:rsid w:val="005F4B4F"/>
    <w:rsid w:val="005F615C"/>
    <w:rsid w:val="005F6C8F"/>
    <w:rsid w:val="006009F2"/>
    <w:rsid w:val="00600D93"/>
    <w:rsid w:val="006018AD"/>
    <w:rsid w:val="00601DFE"/>
    <w:rsid w:val="00601EA9"/>
    <w:rsid w:val="006023CA"/>
    <w:rsid w:val="00602C20"/>
    <w:rsid w:val="00612565"/>
    <w:rsid w:val="00613426"/>
    <w:rsid w:val="006137E4"/>
    <w:rsid w:val="00613CB8"/>
    <w:rsid w:val="0061470E"/>
    <w:rsid w:val="006148CB"/>
    <w:rsid w:val="00616DF5"/>
    <w:rsid w:val="0061722F"/>
    <w:rsid w:val="006201B6"/>
    <w:rsid w:val="00620A41"/>
    <w:rsid w:val="00622673"/>
    <w:rsid w:val="00622DF4"/>
    <w:rsid w:val="00625A44"/>
    <w:rsid w:val="00627B33"/>
    <w:rsid w:val="00630BA2"/>
    <w:rsid w:val="00632110"/>
    <w:rsid w:val="0063583D"/>
    <w:rsid w:val="0063642E"/>
    <w:rsid w:val="00636605"/>
    <w:rsid w:val="00636FC6"/>
    <w:rsid w:val="00637E14"/>
    <w:rsid w:val="00642020"/>
    <w:rsid w:val="006439F2"/>
    <w:rsid w:val="006446CF"/>
    <w:rsid w:val="00644E89"/>
    <w:rsid w:val="00644FC9"/>
    <w:rsid w:val="00645F20"/>
    <w:rsid w:val="00646DA4"/>
    <w:rsid w:val="00647760"/>
    <w:rsid w:val="0064794F"/>
    <w:rsid w:val="00647A0C"/>
    <w:rsid w:val="00650FC6"/>
    <w:rsid w:val="00651110"/>
    <w:rsid w:val="0065201F"/>
    <w:rsid w:val="006520DB"/>
    <w:rsid w:val="00652123"/>
    <w:rsid w:val="00652664"/>
    <w:rsid w:val="00654C28"/>
    <w:rsid w:val="00656264"/>
    <w:rsid w:val="00656F13"/>
    <w:rsid w:val="0065784C"/>
    <w:rsid w:val="006602C0"/>
    <w:rsid w:val="0066035C"/>
    <w:rsid w:val="00661E9A"/>
    <w:rsid w:val="006622B1"/>
    <w:rsid w:val="006625A5"/>
    <w:rsid w:val="00662BC7"/>
    <w:rsid w:val="0066332F"/>
    <w:rsid w:val="006652BE"/>
    <w:rsid w:val="00666C82"/>
    <w:rsid w:val="006701B6"/>
    <w:rsid w:val="006712A6"/>
    <w:rsid w:val="0067347E"/>
    <w:rsid w:val="00673F60"/>
    <w:rsid w:val="00674235"/>
    <w:rsid w:val="00674273"/>
    <w:rsid w:val="006774D4"/>
    <w:rsid w:val="00677B3A"/>
    <w:rsid w:val="0068020C"/>
    <w:rsid w:val="00680240"/>
    <w:rsid w:val="00680635"/>
    <w:rsid w:val="0068087A"/>
    <w:rsid w:val="00681523"/>
    <w:rsid w:val="006820A6"/>
    <w:rsid w:val="00683FAA"/>
    <w:rsid w:val="00684A40"/>
    <w:rsid w:val="00686F4E"/>
    <w:rsid w:val="00687F41"/>
    <w:rsid w:val="00690463"/>
    <w:rsid w:val="00691574"/>
    <w:rsid w:val="0069167A"/>
    <w:rsid w:val="00694030"/>
    <w:rsid w:val="00694244"/>
    <w:rsid w:val="00695910"/>
    <w:rsid w:val="006A04F5"/>
    <w:rsid w:val="006A0E46"/>
    <w:rsid w:val="006A1164"/>
    <w:rsid w:val="006A31FC"/>
    <w:rsid w:val="006A3ED3"/>
    <w:rsid w:val="006A5956"/>
    <w:rsid w:val="006A68B9"/>
    <w:rsid w:val="006B2588"/>
    <w:rsid w:val="006B2726"/>
    <w:rsid w:val="006B390E"/>
    <w:rsid w:val="006B62DA"/>
    <w:rsid w:val="006B65B2"/>
    <w:rsid w:val="006B6AC0"/>
    <w:rsid w:val="006B7452"/>
    <w:rsid w:val="006C56A3"/>
    <w:rsid w:val="006C5763"/>
    <w:rsid w:val="006C70A2"/>
    <w:rsid w:val="006C7234"/>
    <w:rsid w:val="006C7514"/>
    <w:rsid w:val="006D00C6"/>
    <w:rsid w:val="006D1A2B"/>
    <w:rsid w:val="006D2D58"/>
    <w:rsid w:val="006D3B9B"/>
    <w:rsid w:val="006D5D6E"/>
    <w:rsid w:val="006D6454"/>
    <w:rsid w:val="006D6F78"/>
    <w:rsid w:val="006E02D3"/>
    <w:rsid w:val="006E11D6"/>
    <w:rsid w:val="006E1DA5"/>
    <w:rsid w:val="006E22CC"/>
    <w:rsid w:val="006E28A2"/>
    <w:rsid w:val="006E33F5"/>
    <w:rsid w:val="006E3F17"/>
    <w:rsid w:val="006E4FFB"/>
    <w:rsid w:val="006E6690"/>
    <w:rsid w:val="006E6ED2"/>
    <w:rsid w:val="006F008B"/>
    <w:rsid w:val="006F0A22"/>
    <w:rsid w:val="006F1506"/>
    <w:rsid w:val="006F4548"/>
    <w:rsid w:val="006F61A2"/>
    <w:rsid w:val="007000EC"/>
    <w:rsid w:val="00701579"/>
    <w:rsid w:val="0070164B"/>
    <w:rsid w:val="00701B23"/>
    <w:rsid w:val="00702504"/>
    <w:rsid w:val="007033CE"/>
    <w:rsid w:val="007043A0"/>
    <w:rsid w:val="0070595C"/>
    <w:rsid w:val="00707545"/>
    <w:rsid w:val="007076AD"/>
    <w:rsid w:val="007076F9"/>
    <w:rsid w:val="00707CA7"/>
    <w:rsid w:val="00707CAD"/>
    <w:rsid w:val="00707CB2"/>
    <w:rsid w:val="00710034"/>
    <w:rsid w:val="0071007F"/>
    <w:rsid w:val="0071040C"/>
    <w:rsid w:val="0071272E"/>
    <w:rsid w:val="007161DA"/>
    <w:rsid w:val="00721987"/>
    <w:rsid w:val="007236E3"/>
    <w:rsid w:val="00723CB4"/>
    <w:rsid w:val="00723D15"/>
    <w:rsid w:val="00723DBA"/>
    <w:rsid w:val="00726882"/>
    <w:rsid w:val="00727DD2"/>
    <w:rsid w:val="00730D12"/>
    <w:rsid w:val="0073165A"/>
    <w:rsid w:val="00734A2C"/>
    <w:rsid w:val="00736085"/>
    <w:rsid w:val="00736519"/>
    <w:rsid w:val="007402E2"/>
    <w:rsid w:val="0074058C"/>
    <w:rsid w:val="00743D0D"/>
    <w:rsid w:val="00745C93"/>
    <w:rsid w:val="00746921"/>
    <w:rsid w:val="00746F4A"/>
    <w:rsid w:val="0074740D"/>
    <w:rsid w:val="007525EA"/>
    <w:rsid w:val="007532D2"/>
    <w:rsid w:val="00753A15"/>
    <w:rsid w:val="00754A99"/>
    <w:rsid w:val="0075702D"/>
    <w:rsid w:val="00757E89"/>
    <w:rsid w:val="00760E46"/>
    <w:rsid w:val="00763FD6"/>
    <w:rsid w:val="00764DD9"/>
    <w:rsid w:val="00765115"/>
    <w:rsid w:val="007658BC"/>
    <w:rsid w:val="00767404"/>
    <w:rsid w:val="00767831"/>
    <w:rsid w:val="00770132"/>
    <w:rsid w:val="00770358"/>
    <w:rsid w:val="00770CB1"/>
    <w:rsid w:val="00771635"/>
    <w:rsid w:val="00771894"/>
    <w:rsid w:val="00772617"/>
    <w:rsid w:val="0077264D"/>
    <w:rsid w:val="007729D7"/>
    <w:rsid w:val="00775F61"/>
    <w:rsid w:val="00776582"/>
    <w:rsid w:val="00777887"/>
    <w:rsid w:val="00781C3A"/>
    <w:rsid w:val="00782173"/>
    <w:rsid w:val="007824A9"/>
    <w:rsid w:val="007849CA"/>
    <w:rsid w:val="007852C9"/>
    <w:rsid w:val="00786B18"/>
    <w:rsid w:val="00786E02"/>
    <w:rsid w:val="007918BB"/>
    <w:rsid w:val="00793C93"/>
    <w:rsid w:val="00794638"/>
    <w:rsid w:val="007956AB"/>
    <w:rsid w:val="00797F6D"/>
    <w:rsid w:val="007A0116"/>
    <w:rsid w:val="007A0F5C"/>
    <w:rsid w:val="007A1D0C"/>
    <w:rsid w:val="007A3421"/>
    <w:rsid w:val="007A4FE6"/>
    <w:rsid w:val="007A5168"/>
    <w:rsid w:val="007A6050"/>
    <w:rsid w:val="007A61BC"/>
    <w:rsid w:val="007A620C"/>
    <w:rsid w:val="007A6916"/>
    <w:rsid w:val="007A737C"/>
    <w:rsid w:val="007A7C47"/>
    <w:rsid w:val="007B0667"/>
    <w:rsid w:val="007B06FF"/>
    <w:rsid w:val="007B2556"/>
    <w:rsid w:val="007B2900"/>
    <w:rsid w:val="007B3485"/>
    <w:rsid w:val="007B53A1"/>
    <w:rsid w:val="007B7032"/>
    <w:rsid w:val="007B7B2A"/>
    <w:rsid w:val="007C0FCF"/>
    <w:rsid w:val="007C34AB"/>
    <w:rsid w:val="007C3FDC"/>
    <w:rsid w:val="007C52BD"/>
    <w:rsid w:val="007C5737"/>
    <w:rsid w:val="007D0A3D"/>
    <w:rsid w:val="007D0C07"/>
    <w:rsid w:val="007D4812"/>
    <w:rsid w:val="007D4EC9"/>
    <w:rsid w:val="007D5CD3"/>
    <w:rsid w:val="007D66AE"/>
    <w:rsid w:val="007E0429"/>
    <w:rsid w:val="007E1D3D"/>
    <w:rsid w:val="007E2555"/>
    <w:rsid w:val="007E33AB"/>
    <w:rsid w:val="007E3D4C"/>
    <w:rsid w:val="007E3D82"/>
    <w:rsid w:val="007E40E2"/>
    <w:rsid w:val="007E434A"/>
    <w:rsid w:val="007E466D"/>
    <w:rsid w:val="007E4D2B"/>
    <w:rsid w:val="007E5E87"/>
    <w:rsid w:val="007E70C7"/>
    <w:rsid w:val="007F016A"/>
    <w:rsid w:val="007F067B"/>
    <w:rsid w:val="007F1EE6"/>
    <w:rsid w:val="007F26EE"/>
    <w:rsid w:val="007F3845"/>
    <w:rsid w:val="007F39BD"/>
    <w:rsid w:val="007F41BE"/>
    <w:rsid w:val="007F47BA"/>
    <w:rsid w:val="007F6ED8"/>
    <w:rsid w:val="007F74CA"/>
    <w:rsid w:val="00802C4B"/>
    <w:rsid w:val="008037DC"/>
    <w:rsid w:val="00803F80"/>
    <w:rsid w:val="00804E0D"/>
    <w:rsid w:val="00805C91"/>
    <w:rsid w:val="00806C12"/>
    <w:rsid w:val="00806FDD"/>
    <w:rsid w:val="0080721F"/>
    <w:rsid w:val="00807A75"/>
    <w:rsid w:val="0081079E"/>
    <w:rsid w:val="00810A0E"/>
    <w:rsid w:val="0081273B"/>
    <w:rsid w:val="0081397E"/>
    <w:rsid w:val="00816203"/>
    <w:rsid w:val="00816609"/>
    <w:rsid w:val="00817644"/>
    <w:rsid w:val="00820843"/>
    <w:rsid w:val="00820A9E"/>
    <w:rsid w:val="00820C35"/>
    <w:rsid w:val="008214AE"/>
    <w:rsid w:val="0082353C"/>
    <w:rsid w:val="00823C51"/>
    <w:rsid w:val="00824746"/>
    <w:rsid w:val="008247DF"/>
    <w:rsid w:val="008247FE"/>
    <w:rsid w:val="00824D9F"/>
    <w:rsid w:val="00825DF7"/>
    <w:rsid w:val="00826563"/>
    <w:rsid w:val="00827099"/>
    <w:rsid w:val="00827803"/>
    <w:rsid w:val="008278A4"/>
    <w:rsid w:val="008300D6"/>
    <w:rsid w:val="008302A7"/>
    <w:rsid w:val="0083189D"/>
    <w:rsid w:val="00832F12"/>
    <w:rsid w:val="00836886"/>
    <w:rsid w:val="00836A8E"/>
    <w:rsid w:val="00837EF4"/>
    <w:rsid w:val="00840538"/>
    <w:rsid w:val="008407FC"/>
    <w:rsid w:val="00840C5B"/>
    <w:rsid w:val="008416B6"/>
    <w:rsid w:val="00842642"/>
    <w:rsid w:val="00842F80"/>
    <w:rsid w:val="008432C2"/>
    <w:rsid w:val="008449B0"/>
    <w:rsid w:val="00845266"/>
    <w:rsid w:val="00846615"/>
    <w:rsid w:val="00846D29"/>
    <w:rsid w:val="00846F44"/>
    <w:rsid w:val="00847141"/>
    <w:rsid w:val="008512E1"/>
    <w:rsid w:val="00854336"/>
    <w:rsid w:val="00855FFA"/>
    <w:rsid w:val="0085623F"/>
    <w:rsid w:val="00856E1E"/>
    <w:rsid w:val="00860830"/>
    <w:rsid w:val="00860D6B"/>
    <w:rsid w:val="00860F26"/>
    <w:rsid w:val="00864D63"/>
    <w:rsid w:val="0086785F"/>
    <w:rsid w:val="008723C3"/>
    <w:rsid w:val="00872844"/>
    <w:rsid w:val="00874367"/>
    <w:rsid w:val="00874C80"/>
    <w:rsid w:val="00876831"/>
    <w:rsid w:val="008771CF"/>
    <w:rsid w:val="00877B5F"/>
    <w:rsid w:val="008816D5"/>
    <w:rsid w:val="00883C94"/>
    <w:rsid w:val="0088402C"/>
    <w:rsid w:val="0088665A"/>
    <w:rsid w:val="00886B8C"/>
    <w:rsid w:val="00890150"/>
    <w:rsid w:val="00890791"/>
    <w:rsid w:val="00890B1A"/>
    <w:rsid w:val="00891F37"/>
    <w:rsid w:val="00892D3E"/>
    <w:rsid w:val="0089309B"/>
    <w:rsid w:val="008933C8"/>
    <w:rsid w:val="00893CD7"/>
    <w:rsid w:val="00894629"/>
    <w:rsid w:val="00894B4E"/>
    <w:rsid w:val="0089512F"/>
    <w:rsid w:val="00895E0B"/>
    <w:rsid w:val="008A020E"/>
    <w:rsid w:val="008A156F"/>
    <w:rsid w:val="008A1D2C"/>
    <w:rsid w:val="008A3E0C"/>
    <w:rsid w:val="008A6C5C"/>
    <w:rsid w:val="008A71F4"/>
    <w:rsid w:val="008B03E8"/>
    <w:rsid w:val="008B072B"/>
    <w:rsid w:val="008B0C9B"/>
    <w:rsid w:val="008B27FE"/>
    <w:rsid w:val="008B39ED"/>
    <w:rsid w:val="008B3A27"/>
    <w:rsid w:val="008B3B32"/>
    <w:rsid w:val="008B40EA"/>
    <w:rsid w:val="008B43AF"/>
    <w:rsid w:val="008B6228"/>
    <w:rsid w:val="008B6416"/>
    <w:rsid w:val="008B6518"/>
    <w:rsid w:val="008B6EA4"/>
    <w:rsid w:val="008B7F32"/>
    <w:rsid w:val="008C00D1"/>
    <w:rsid w:val="008C09EA"/>
    <w:rsid w:val="008C1D7A"/>
    <w:rsid w:val="008C241C"/>
    <w:rsid w:val="008C3594"/>
    <w:rsid w:val="008C3C79"/>
    <w:rsid w:val="008C3F54"/>
    <w:rsid w:val="008C4F96"/>
    <w:rsid w:val="008C6448"/>
    <w:rsid w:val="008C6F27"/>
    <w:rsid w:val="008D043C"/>
    <w:rsid w:val="008D0A8C"/>
    <w:rsid w:val="008D0BC0"/>
    <w:rsid w:val="008D1AD4"/>
    <w:rsid w:val="008D2FD2"/>
    <w:rsid w:val="008D3F24"/>
    <w:rsid w:val="008D3FE3"/>
    <w:rsid w:val="008D4655"/>
    <w:rsid w:val="008D46B0"/>
    <w:rsid w:val="008D55A3"/>
    <w:rsid w:val="008D6EF2"/>
    <w:rsid w:val="008D70B3"/>
    <w:rsid w:val="008E084E"/>
    <w:rsid w:val="008E213C"/>
    <w:rsid w:val="008E3CCC"/>
    <w:rsid w:val="008E509B"/>
    <w:rsid w:val="008E5634"/>
    <w:rsid w:val="008F0A95"/>
    <w:rsid w:val="008F1C5D"/>
    <w:rsid w:val="008F210A"/>
    <w:rsid w:val="008F29FE"/>
    <w:rsid w:val="008F2AFA"/>
    <w:rsid w:val="008F389B"/>
    <w:rsid w:val="008F44FA"/>
    <w:rsid w:val="008F65D6"/>
    <w:rsid w:val="008F6745"/>
    <w:rsid w:val="008F6AC7"/>
    <w:rsid w:val="008F6D43"/>
    <w:rsid w:val="00900757"/>
    <w:rsid w:val="009032E0"/>
    <w:rsid w:val="009038A8"/>
    <w:rsid w:val="00903A9D"/>
    <w:rsid w:val="00904157"/>
    <w:rsid w:val="00905123"/>
    <w:rsid w:val="00905440"/>
    <w:rsid w:val="00905838"/>
    <w:rsid w:val="00905D41"/>
    <w:rsid w:val="00906541"/>
    <w:rsid w:val="0090735C"/>
    <w:rsid w:val="00911ABE"/>
    <w:rsid w:val="00913199"/>
    <w:rsid w:val="00915C62"/>
    <w:rsid w:val="009211C0"/>
    <w:rsid w:val="00927624"/>
    <w:rsid w:val="00927F0F"/>
    <w:rsid w:val="00931751"/>
    <w:rsid w:val="009324E9"/>
    <w:rsid w:val="00935B66"/>
    <w:rsid w:val="00935E4C"/>
    <w:rsid w:val="00940784"/>
    <w:rsid w:val="0094158D"/>
    <w:rsid w:val="009418E2"/>
    <w:rsid w:val="00941CC5"/>
    <w:rsid w:val="00941DCF"/>
    <w:rsid w:val="00942436"/>
    <w:rsid w:val="0094343E"/>
    <w:rsid w:val="009434F4"/>
    <w:rsid w:val="00944427"/>
    <w:rsid w:val="009448F4"/>
    <w:rsid w:val="00947514"/>
    <w:rsid w:val="00952BA6"/>
    <w:rsid w:val="009541B7"/>
    <w:rsid w:val="009552F8"/>
    <w:rsid w:val="00955FD5"/>
    <w:rsid w:val="00956142"/>
    <w:rsid w:val="00956A1D"/>
    <w:rsid w:val="00964176"/>
    <w:rsid w:val="00965928"/>
    <w:rsid w:val="00965FD5"/>
    <w:rsid w:val="00967A20"/>
    <w:rsid w:val="0097022B"/>
    <w:rsid w:val="0097210A"/>
    <w:rsid w:val="0097235D"/>
    <w:rsid w:val="00972B44"/>
    <w:rsid w:val="00976331"/>
    <w:rsid w:val="00977C13"/>
    <w:rsid w:val="0098017D"/>
    <w:rsid w:val="00982085"/>
    <w:rsid w:val="009827F7"/>
    <w:rsid w:val="009853FC"/>
    <w:rsid w:val="00985509"/>
    <w:rsid w:val="009859DC"/>
    <w:rsid w:val="00992F71"/>
    <w:rsid w:val="00992FD0"/>
    <w:rsid w:val="00993224"/>
    <w:rsid w:val="00993778"/>
    <w:rsid w:val="00994D8A"/>
    <w:rsid w:val="009953FB"/>
    <w:rsid w:val="00995A77"/>
    <w:rsid w:val="009979B6"/>
    <w:rsid w:val="009A1CF9"/>
    <w:rsid w:val="009A2574"/>
    <w:rsid w:val="009A3192"/>
    <w:rsid w:val="009A3BBB"/>
    <w:rsid w:val="009A5B0A"/>
    <w:rsid w:val="009A5BA4"/>
    <w:rsid w:val="009A636F"/>
    <w:rsid w:val="009A7D61"/>
    <w:rsid w:val="009B2674"/>
    <w:rsid w:val="009B2B39"/>
    <w:rsid w:val="009B3AD7"/>
    <w:rsid w:val="009B3F93"/>
    <w:rsid w:val="009B736D"/>
    <w:rsid w:val="009B7882"/>
    <w:rsid w:val="009B7F95"/>
    <w:rsid w:val="009C300E"/>
    <w:rsid w:val="009C320C"/>
    <w:rsid w:val="009C3742"/>
    <w:rsid w:val="009C4396"/>
    <w:rsid w:val="009D1BEE"/>
    <w:rsid w:val="009D472E"/>
    <w:rsid w:val="009D49B6"/>
    <w:rsid w:val="009D5544"/>
    <w:rsid w:val="009D6A0F"/>
    <w:rsid w:val="009D6AAE"/>
    <w:rsid w:val="009D77C5"/>
    <w:rsid w:val="009E0CE9"/>
    <w:rsid w:val="009E129E"/>
    <w:rsid w:val="009E1969"/>
    <w:rsid w:val="009E27DE"/>
    <w:rsid w:val="009E2E26"/>
    <w:rsid w:val="009E32FD"/>
    <w:rsid w:val="009E373A"/>
    <w:rsid w:val="009E3B42"/>
    <w:rsid w:val="009E3D20"/>
    <w:rsid w:val="009E47C0"/>
    <w:rsid w:val="009E495F"/>
    <w:rsid w:val="009E5024"/>
    <w:rsid w:val="009E6061"/>
    <w:rsid w:val="009E66F9"/>
    <w:rsid w:val="009E7993"/>
    <w:rsid w:val="009E7DD0"/>
    <w:rsid w:val="009F164F"/>
    <w:rsid w:val="009F1CC1"/>
    <w:rsid w:val="009F33EC"/>
    <w:rsid w:val="009F38C7"/>
    <w:rsid w:val="009F4FD7"/>
    <w:rsid w:val="009F7075"/>
    <w:rsid w:val="00A004BF"/>
    <w:rsid w:val="00A030DF"/>
    <w:rsid w:val="00A03AD2"/>
    <w:rsid w:val="00A04261"/>
    <w:rsid w:val="00A1237F"/>
    <w:rsid w:val="00A12F3E"/>
    <w:rsid w:val="00A12FF4"/>
    <w:rsid w:val="00A1479E"/>
    <w:rsid w:val="00A16EED"/>
    <w:rsid w:val="00A20128"/>
    <w:rsid w:val="00A20AC0"/>
    <w:rsid w:val="00A216A8"/>
    <w:rsid w:val="00A222E7"/>
    <w:rsid w:val="00A238C8"/>
    <w:rsid w:val="00A26962"/>
    <w:rsid w:val="00A27220"/>
    <w:rsid w:val="00A30C27"/>
    <w:rsid w:val="00A30F78"/>
    <w:rsid w:val="00A31959"/>
    <w:rsid w:val="00A3308C"/>
    <w:rsid w:val="00A3367A"/>
    <w:rsid w:val="00A35C37"/>
    <w:rsid w:val="00A41BA2"/>
    <w:rsid w:val="00A43FCA"/>
    <w:rsid w:val="00A46F51"/>
    <w:rsid w:val="00A472C1"/>
    <w:rsid w:val="00A47E36"/>
    <w:rsid w:val="00A5117F"/>
    <w:rsid w:val="00A535A6"/>
    <w:rsid w:val="00A53EF3"/>
    <w:rsid w:val="00A54C2B"/>
    <w:rsid w:val="00A5579C"/>
    <w:rsid w:val="00A558E7"/>
    <w:rsid w:val="00A56E8A"/>
    <w:rsid w:val="00A56F2F"/>
    <w:rsid w:val="00A6000D"/>
    <w:rsid w:val="00A6017C"/>
    <w:rsid w:val="00A607D0"/>
    <w:rsid w:val="00A60C2A"/>
    <w:rsid w:val="00A62429"/>
    <w:rsid w:val="00A632E4"/>
    <w:rsid w:val="00A63988"/>
    <w:rsid w:val="00A640A1"/>
    <w:rsid w:val="00A645A0"/>
    <w:rsid w:val="00A70E29"/>
    <w:rsid w:val="00A71985"/>
    <w:rsid w:val="00A72055"/>
    <w:rsid w:val="00A72D48"/>
    <w:rsid w:val="00A73167"/>
    <w:rsid w:val="00A73E51"/>
    <w:rsid w:val="00A75E02"/>
    <w:rsid w:val="00A76511"/>
    <w:rsid w:val="00A76744"/>
    <w:rsid w:val="00A8114A"/>
    <w:rsid w:val="00A82102"/>
    <w:rsid w:val="00A8263F"/>
    <w:rsid w:val="00A8307A"/>
    <w:rsid w:val="00A83142"/>
    <w:rsid w:val="00A847E7"/>
    <w:rsid w:val="00A85FF3"/>
    <w:rsid w:val="00A9166E"/>
    <w:rsid w:val="00A92696"/>
    <w:rsid w:val="00A93A73"/>
    <w:rsid w:val="00A94F55"/>
    <w:rsid w:val="00A963C4"/>
    <w:rsid w:val="00A96480"/>
    <w:rsid w:val="00A9661C"/>
    <w:rsid w:val="00AA0E52"/>
    <w:rsid w:val="00AA1099"/>
    <w:rsid w:val="00AA25A2"/>
    <w:rsid w:val="00AA2E74"/>
    <w:rsid w:val="00AA4DE4"/>
    <w:rsid w:val="00AA5135"/>
    <w:rsid w:val="00AA616B"/>
    <w:rsid w:val="00AA7ABC"/>
    <w:rsid w:val="00AB22E2"/>
    <w:rsid w:val="00AB2906"/>
    <w:rsid w:val="00AB3510"/>
    <w:rsid w:val="00AB440F"/>
    <w:rsid w:val="00AB4518"/>
    <w:rsid w:val="00AB4D04"/>
    <w:rsid w:val="00AB54E5"/>
    <w:rsid w:val="00AB5796"/>
    <w:rsid w:val="00AB7BEB"/>
    <w:rsid w:val="00AC04D8"/>
    <w:rsid w:val="00AC1766"/>
    <w:rsid w:val="00AC1DD1"/>
    <w:rsid w:val="00AC38CA"/>
    <w:rsid w:val="00AC3BF9"/>
    <w:rsid w:val="00AC3DAB"/>
    <w:rsid w:val="00AC4F46"/>
    <w:rsid w:val="00AC5E00"/>
    <w:rsid w:val="00AC5EED"/>
    <w:rsid w:val="00AC617F"/>
    <w:rsid w:val="00AC7FD3"/>
    <w:rsid w:val="00AD0D4F"/>
    <w:rsid w:val="00AD12B0"/>
    <w:rsid w:val="00AD2F52"/>
    <w:rsid w:val="00AD3ADF"/>
    <w:rsid w:val="00AD4C1D"/>
    <w:rsid w:val="00AD530B"/>
    <w:rsid w:val="00AD77DA"/>
    <w:rsid w:val="00AD7D88"/>
    <w:rsid w:val="00AD7F71"/>
    <w:rsid w:val="00AE0F71"/>
    <w:rsid w:val="00AE1FFD"/>
    <w:rsid w:val="00AE56B9"/>
    <w:rsid w:val="00AE6FC2"/>
    <w:rsid w:val="00AE714D"/>
    <w:rsid w:val="00AF024B"/>
    <w:rsid w:val="00AF109F"/>
    <w:rsid w:val="00AF1C10"/>
    <w:rsid w:val="00AF1FBA"/>
    <w:rsid w:val="00AF20A1"/>
    <w:rsid w:val="00AF2480"/>
    <w:rsid w:val="00AF3AC3"/>
    <w:rsid w:val="00AF3CE5"/>
    <w:rsid w:val="00AF3D3A"/>
    <w:rsid w:val="00AF6D30"/>
    <w:rsid w:val="00AF77B0"/>
    <w:rsid w:val="00B0019D"/>
    <w:rsid w:val="00B01422"/>
    <w:rsid w:val="00B035E1"/>
    <w:rsid w:val="00B03D32"/>
    <w:rsid w:val="00B058FF"/>
    <w:rsid w:val="00B06BF7"/>
    <w:rsid w:val="00B079AD"/>
    <w:rsid w:val="00B07B51"/>
    <w:rsid w:val="00B10A4B"/>
    <w:rsid w:val="00B10B6E"/>
    <w:rsid w:val="00B12541"/>
    <w:rsid w:val="00B13781"/>
    <w:rsid w:val="00B1387B"/>
    <w:rsid w:val="00B14713"/>
    <w:rsid w:val="00B15CCF"/>
    <w:rsid w:val="00B16A28"/>
    <w:rsid w:val="00B212F7"/>
    <w:rsid w:val="00B24773"/>
    <w:rsid w:val="00B25D74"/>
    <w:rsid w:val="00B27E2C"/>
    <w:rsid w:val="00B30E88"/>
    <w:rsid w:val="00B321E7"/>
    <w:rsid w:val="00B329E4"/>
    <w:rsid w:val="00B336A1"/>
    <w:rsid w:val="00B33A90"/>
    <w:rsid w:val="00B35701"/>
    <w:rsid w:val="00B35F9B"/>
    <w:rsid w:val="00B364ED"/>
    <w:rsid w:val="00B4011C"/>
    <w:rsid w:val="00B40842"/>
    <w:rsid w:val="00B424C9"/>
    <w:rsid w:val="00B45E61"/>
    <w:rsid w:val="00B47214"/>
    <w:rsid w:val="00B5083A"/>
    <w:rsid w:val="00B51783"/>
    <w:rsid w:val="00B53CCB"/>
    <w:rsid w:val="00B55124"/>
    <w:rsid w:val="00B56C03"/>
    <w:rsid w:val="00B573A3"/>
    <w:rsid w:val="00B603D8"/>
    <w:rsid w:val="00B60C95"/>
    <w:rsid w:val="00B60DDB"/>
    <w:rsid w:val="00B61E46"/>
    <w:rsid w:val="00B61FA0"/>
    <w:rsid w:val="00B62F5C"/>
    <w:rsid w:val="00B63ED7"/>
    <w:rsid w:val="00B654F2"/>
    <w:rsid w:val="00B661D8"/>
    <w:rsid w:val="00B7053D"/>
    <w:rsid w:val="00B70BCB"/>
    <w:rsid w:val="00B713A8"/>
    <w:rsid w:val="00B719D3"/>
    <w:rsid w:val="00B72550"/>
    <w:rsid w:val="00B730CE"/>
    <w:rsid w:val="00B7476B"/>
    <w:rsid w:val="00B7534B"/>
    <w:rsid w:val="00B75D16"/>
    <w:rsid w:val="00B80FBD"/>
    <w:rsid w:val="00B81195"/>
    <w:rsid w:val="00B81376"/>
    <w:rsid w:val="00B8394B"/>
    <w:rsid w:val="00B85221"/>
    <w:rsid w:val="00B8649F"/>
    <w:rsid w:val="00B868BB"/>
    <w:rsid w:val="00B90E3C"/>
    <w:rsid w:val="00B914B2"/>
    <w:rsid w:val="00B915FD"/>
    <w:rsid w:val="00B922D2"/>
    <w:rsid w:val="00B926AF"/>
    <w:rsid w:val="00B93531"/>
    <w:rsid w:val="00B9580B"/>
    <w:rsid w:val="00B959DB"/>
    <w:rsid w:val="00B95C60"/>
    <w:rsid w:val="00B95EBB"/>
    <w:rsid w:val="00B968BD"/>
    <w:rsid w:val="00B96B48"/>
    <w:rsid w:val="00B96F65"/>
    <w:rsid w:val="00B97C92"/>
    <w:rsid w:val="00BA39D6"/>
    <w:rsid w:val="00BA4869"/>
    <w:rsid w:val="00BA663D"/>
    <w:rsid w:val="00BA7596"/>
    <w:rsid w:val="00BB0632"/>
    <w:rsid w:val="00BB1115"/>
    <w:rsid w:val="00BB25A8"/>
    <w:rsid w:val="00BB28D3"/>
    <w:rsid w:val="00BB3B3A"/>
    <w:rsid w:val="00BB526F"/>
    <w:rsid w:val="00BB58E5"/>
    <w:rsid w:val="00BB5C7D"/>
    <w:rsid w:val="00BB7313"/>
    <w:rsid w:val="00BC2E1B"/>
    <w:rsid w:val="00BC36F8"/>
    <w:rsid w:val="00BC3D4E"/>
    <w:rsid w:val="00BC427D"/>
    <w:rsid w:val="00BC487A"/>
    <w:rsid w:val="00BC5CC9"/>
    <w:rsid w:val="00BC7F8F"/>
    <w:rsid w:val="00BD0146"/>
    <w:rsid w:val="00BD1060"/>
    <w:rsid w:val="00BD1F58"/>
    <w:rsid w:val="00BD2663"/>
    <w:rsid w:val="00BD2885"/>
    <w:rsid w:val="00BD46BD"/>
    <w:rsid w:val="00BD4BBD"/>
    <w:rsid w:val="00BD4D43"/>
    <w:rsid w:val="00BD5444"/>
    <w:rsid w:val="00BD639E"/>
    <w:rsid w:val="00BD69C0"/>
    <w:rsid w:val="00BD70A0"/>
    <w:rsid w:val="00BD70BE"/>
    <w:rsid w:val="00BE001E"/>
    <w:rsid w:val="00BE09C5"/>
    <w:rsid w:val="00BE0AFF"/>
    <w:rsid w:val="00BE0BA4"/>
    <w:rsid w:val="00BE0C80"/>
    <w:rsid w:val="00BE0D9C"/>
    <w:rsid w:val="00BE13A1"/>
    <w:rsid w:val="00BE2BF1"/>
    <w:rsid w:val="00BE3B17"/>
    <w:rsid w:val="00BE44C5"/>
    <w:rsid w:val="00BE4FFE"/>
    <w:rsid w:val="00BE6C9C"/>
    <w:rsid w:val="00BF042C"/>
    <w:rsid w:val="00BF2816"/>
    <w:rsid w:val="00BF2C42"/>
    <w:rsid w:val="00BF2D4D"/>
    <w:rsid w:val="00BF5B27"/>
    <w:rsid w:val="00BF6BE0"/>
    <w:rsid w:val="00C0002A"/>
    <w:rsid w:val="00C00590"/>
    <w:rsid w:val="00C021F9"/>
    <w:rsid w:val="00C028F9"/>
    <w:rsid w:val="00C055D6"/>
    <w:rsid w:val="00C06C7B"/>
    <w:rsid w:val="00C06DE5"/>
    <w:rsid w:val="00C07601"/>
    <w:rsid w:val="00C1058F"/>
    <w:rsid w:val="00C1221B"/>
    <w:rsid w:val="00C15088"/>
    <w:rsid w:val="00C155A5"/>
    <w:rsid w:val="00C16414"/>
    <w:rsid w:val="00C16B33"/>
    <w:rsid w:val="00C1786B"/>
    <w:rsid w:val="00C17AF6"/>
    <w:rsid w:val="00C2207E"/>
    <w:rsid w:val="00C23307"/>
    <w:rsid w:val="00C23C58"/>
    <w:rsid w:val="00C24553"/>
    <w:rsid w:val="00C249DD"/>
    <w:rsid w:val="00C254C8"/>
    <w:rsid w:val="00C26422"/>
    <w:rsid w:val="00C26B25"/>
    <w:rsid w:val="00C32738"/>
    <w:rsid w:val="00C3328B"/>
    <w:rsid w:val="00C34F32"/>
    <w:rsid w:val="00C364EA"/>
    <w:rsid w:val="00C37225"/>
    <w:rsid w:val="00C3760E"/>
    <w:rsid w:val="00C4018E"/>
    <w:rsid w:val="00C408F0"/>
    <w:rsid w:val="00C40A21"/>
    <w:rsid w:val="00C40A6B"/>
    <w:rsid w:val="00C40FAF"/>
    <w:rsid w:val="00C41057"/>
    <w:rsid w:val="00C46A8F"/>
    <w:rsid w:val="00C47D2D"/>
    <w:rsid w:val="00C51CBD"/>
    <w:rsid w:val="00C5272F"/>
    <w:rsid w:val="00C54549"/>
    <w:rsid w:val="00C57AEF"/>
    <w:rsid w:val="00C57D5A"/>
    <w:rsid w:val="00C60323"/>
    <w:rsid w:val="00C60C18"/>
    <w:rsid w:val="00C619BA"/>
    <w:rsid w:val="00C631A8"/>
    <w:rsid w:val="00C63846"/>
    <w:rsid w:val="00C646CB"/>
    <w:rsid w:val="00C64D2F"/>
    <w:rsid w:val="00C6540F"/>
    <w:rsid w:val="00C65A5A"/>
    <w:rsid w:val="00C660C3"/>
    <w:rsid w:val="00C72709"/>
    <w:rsid w:val="00C73BB1"/>
    <w:rsid w:val="00C7441C"/>
    <w:rsid w:val="00C74CB1"/>
    <w:rsid w:val="00C7527D"/>
    <w:rsid w:val="00C76610"/>
    <w:rsid w:val="00C770FE"/>
    <w:rsid w:val="00C779E4"/>
    <w:rsid w:val="00C810AA"/>
    <w:rsid w:val="00C81E28"/>
    <w:rsid w:val="00C8222C"/>
    <w:rsid w:val="00C824DD"/>
    <w:rsid w:val="00C83727"/>
    <w:rsid w:val="00C83C4C"/>
    <w:rsid w:val="00C83E54"/>
    <w:rsid w:val="00C84D51"/>
    <w:rsid w:val="00C8555F"/>
    <w:rsid w:val="00C85FA1"/>
    <w:rsid w:val="00C86565"/>
    <w:rsid w:val="00C86F26"/>
    <w:rsid w:val="00C876D1"/>
    <w:rsid w:val="00C9004D"/>
    <w:rsid w:val="00C918D6"/>
    <w:rsid w:val="00C92A33"/>
    <w:rsid w:val="00C9341A"/>
    <w:rsid w:val="00C93A11"/>
    <w:rsid w:val="00C94E4C"/>
    <w:rsid w:val="00C95BBC"/>
    <w:rsid w:val="00C9667A"/>
    <w:rsid w:val="00C96AA8"/>
    <w:rsid w:val="00C96EEA"/>
    <w:rsid w:val="00CA09CD"/>
    <w:rsid w:val="00CA187D"/>
    <w:rsid w:val="00CA38F1"/>
    <w:rsid w:val="00CA411E"/>
    <w:rsid w:val="00CA4534"/>
    <w:rsid w:val="00CA518D"/>
    <w:rsid w:val="00CA6363"/>
    <w:rsid w:val="00CA65BC"/>
    <w:rsid w:val="00CA6934"/>
    <w:rsid w:val="00CB1197"/>
    <w:rsid w:val="00CB2D46"/>
    <w:rsid w:val="00CB3E24"/>
    <w:rsid w:val="00CB6CB3"/>
    <w:rsid w:val="00CC0DCC"/>
    <w:rsid w:val="00CC1D7E"/>
    <w:rsid w:val="00CC1DBC"/>
    <w:rsid w:val="00CC78D9"/>
    <w:rsid w:val="00CC7B4B"/>
    <w:rsid w:val="00CD005D"/>
    <w:rsid w:val="00CD060A"/>
    <w:rsid w:val="00CD1A29"/>
    <w:rsid w:val="00CD2557"/>
    <w:rsid w:val="00CD30FC"/>
    <w:rsid w:val="00CD3E92"/>
    <w:rsid w:val="00CD4AC4"/>
    <w:rsid w:val="00CD4CED"/>
    <w:rsid w:val="00CD5433"/>
    <w:rsid w:val="00CD5585"/>
    <w:rsid w:val="00CD6638"/>
    <w:rsid w:val="00CD73EA"/>
    <w:rsid w:val="00CE11BC"/>
    <w:rsid w:val="00CE2C77"/>
    <w:rsid w:val="00CE3721"/>
    <w:rsid w:val="00CE51C2"/>
    <w:rsid w:val="00CE553C"/>
    <w:rsid w:val="00CE5B30"/>
    <w:rsid w:val="00CE5C07"/>
    <w:rsid w:val="00CE6B72"/>
    <w:rsid w:val="00CE7400"/>
    <w:rsid w:val="00CE7926"/>
    <w:rsid w:val="00CF1924"/>
    <w:rsid w:val="00CF29D3"/>
    <w:rsid w:val="00CF37D5"/>
    <w:rsid w:val="00CF46C8"/>
    <w:rsid w:val="00CF6374"/>
    <w:rsid w:val="00CF7C47"/>
    <w:rsid w:val="00D00965"/>
    <w:rsid w:val="00D030D0"/>
    <w:rsid w:val="00D06076"/>
    <w:rsid w:val="00D07367"/>
    <w:rsid w:val="00D10CA9"/>
    <w:rsid w:val="00D12673"/>
    <w:rsid w:val="00D12A53"/>
    <w:rsid w:val="00D14533"/>
    <w:rsid w:val="00D14A71"/>
    <w:rsid w:val="00D15567"/>
    <w:rsid w:val="00D239DB"/>
    <w:rsid w:val="00D24ED6"/>
    <w:rsid w:val="00D24EFA"/>
    <w:rsid w:val="00D267A7"/>
    <w:rsid w:val="00D277B0"/>
    <w:rsid w:val="00D30E85"/>
    <w:rsid w:val="00D320AD"/>
    <w:rsid w:val="00D32B76"/>
    <w:rsid w:val="00D3550A"/>
    <w:rsid w:val="00D36153"/>
    <w:rsid w:val="00D460F3"/>
    <w:rsid w:val="00D5062F"/>
    <w:rsid w:val="00D507E2"/>
    <w:rsid w:val="00D50AA1"/>
    <w:rsid w:val="00D51BB5"/>
    <w:rsid w:val="00D526E8"/>
    <w:rsid w:val="00D53CE4"/>
    <w:rsid w:val="00D55B20"/>
    <w:rsid w:val="00D566B6"/>
    <w:rsid w:val="00D56BCD"/>
    <w:rsid w:val="00D56FE0"/>
    <w:rsid w:val="00D606CC"/>
    <w:rsid w:val="00D60B85"/>
    <w:rsid w:val="00D61614"/>
    <w:rsid w:val="00D61D1B"/>
    <w:rsid w:val="00D61E37"/>
    <w:rsid w:val="00D625F3"/>
    <w:rsid w:val="00D6530E"/>
    <w:rsid w:val="00D67E50"/>
    <w:rsid w:val="00D70199"/>
    <w:rsid w:val="00D72459"/>
    <w:rsid w:val="00D735AB"/>
    <w:rsid w:val="00D74F41"/>
    <w:rsid w:val="00D7572A"/>
    <w:rsid w:val="00D76A38"/>
    <w:rsid w:val="00D76BF6"/>
    <w:rsid w:val="00D77000"/>
    <w:rsid w:val="00D81898"/>
    <w:rsid w:val="00D820A5"/>
    <w:rsid w:val="00D8657B"/>
    <w:rsid w:val="00D877D9"/>
    <w:rsid w:val="00D90B29"/>
    <w:rsid w:val="00D92F8C"/>
    <w:rsid w:val="00DA04D1"/>
    <w:rsid w:val="00DA11EB"/>
    <w:rsid w:val="00DA1B87"/>
    <w:rsid w:val="00DA60F5"/>
    <w:rsid w:val="00DA6919"/>
    <w:rsid w:val="00DA7958"/>
    <w:rsid w:val="00DA7E2E"/>
    <w:rsid w:val="00DB0683"/>
    <w:rsid w:val="00DB20D1"/>
    <w:rsid w:val="00DB3DFE"/>
    <w:rsid w:val="00DB3E7B"/>
    <w:rsid w:val="00DB3E9C"/>
    <w:rsid w:val="00DB54C2"/>
    <w:rsid w:val="00DB6522"/>
    <w:rsid w:val="00DB6E24"/>
    <w:rsid w:val="00DC1120"/>
    <w:rsid w:val="00DC11B6"/>
    <w:rsid w:val="00DC2EE6"/>
    <w:rsid w:val="00DC3B06"/>
    <w:rsid w:val="00DC4FB5"/>
    <w:rsid w:val="00DC52DD"/>
    <w:rsid w:val="00DC69D7"/>
    <w:rsid w:val="00DC724F"/>
    <w:rsid w:val="00DC7725"/>
    <w:rsid w:val="00DC7B16"/>
    <w:rsid w:val="00DD2E7A"/>
    <w:rsid w:val="00DD344C"/>
    <w:rsid w:val="00DD5B20"/>
    <w:rsid w:val="00DD620C"/>
    <w:rsid w:val="00DD62E3"/>
    <w:rsid w:val="00DD7129"/>
    <w:rsid w:val="00DD71EC"/>
    <w:rsid w:val="00DE0235"/>
    <w:rsid w:val="00DE0497"/>
    <w:rsid w:val="00DE0F8B"/>
    <w:rsid w:val="00DE15F4"/>
    <w:rsid w:val="00DE2BB4"/>
    <w:rsid w:val="00DF0902"/>
    <w:rsid w:val="00DF0CD4"/>
    <w:rsid w:val="00DF105C"/>
    <w:rsid w:val="00DF123A"/>
    <w:rsid w:val="00DF2378"/>
    <w:rsid w:val="00DF27A8"/>
    <w:rsid w:val="00DF2D99"/>
    <w:rsid w:val="00DF364A"/>
    <w:rsid w:val="00DF4D17"/>
    <w:rsid w:val="00DF669B"/>
    <w:rsid w:val="00DF676B"/>
    <w:rsid w:val="00DF6E57"/>
    <w:rsid w:val="00DF702B"/>
    <w:rsid w:val="00DF7C00"/>
    <w:rsid w:val="00DF7F30"/>
    <w:rsid w:val="00E0131F"/>
    <w:rsid w:val="00E016C7"/>
    <w:rsid w:val="00E04CC0"/>
    <w:rsid w:val="00E0557C"/>
    <w:rsid w:val="00E05995"/>
    <w:rsid w:val="00E06169"/>
    <w:rsid w:val="00E066D0"/>
    <w:rsid w:val="00E06B08"/>
    <w:rsid w:val="00E07BEE"/>
    <w:rsid w:val="00E11662"/>
    <w:rsid w:val="00E11857"/>
    <w:rsid w:val="00E12A21"/>
    <w:rsid w:val="00E12A22"/>
    <w:rsid w:val="00E143DE"/>
    <w:rsid w:val="00E165DD"/>
    <w:rsid w:val="00E21229"/>
    <w:rsid w:val="00E214F2"/>
    <w:rsid w:val="00E21A34"/>
    <w:rsid w:val="00E230E0"/>
    <w:rsid w:val="00E2372C"/>
    <w:rsid w:val="00E23D99"/>
    <w:rsid w:val="00E24CAB"/>
    <w:rsid w:val="00E25903"/>
    <w:rsid w:val="00E25C1C"/>
    <w:rsid w:val="00E277F6"/>
    <w:rsid w:val="00E33A4A"/>
    <w:rsid w:val="00E36F27"/>
    <w:rsid w:val="00E36F80"/>
    <w:rsid w:val="00E3734A"/>
    <w:rsid w:val="00E37D17"/>
    <w:rsid w:val="00E37FFD"/>
    <w:rsid w:val="00E411DC"/>
    <w:rsid w:val="00E42721"/>
    <w:rsid w:val="00E430D5"/>
    <w:rsid w:val="00E4498F"/>
    <w:rsid w:val="00E46A85"/>
    <w:rsid w:val="00E478F3"/>
    <w:rsid w:val="00E50335"/>
    <w:rsid w:val="00E50767"/>
    <w:rsid w:val="00E51939"/>
    <w:rsid w:val="00E52040"/>
    <w:rsid w:val="00E53514"/>
    <w:rsid w:val="00E537D3"/>
    <w:rsid w:val="00E53924"/>
    <w:rsid w:val="00E549A4"/>
    <w:rsid w:val="00E54E98"/>
    <w:rsid w:val="00E55B49"/>
    <w:rsid w:val="00E55B8A"/>
    <w:rsid w:val="00E56D5A"/>
    <w:rsid w:val="00E60135"/>
    <w:rsid w:val="00E6013A"/>
    <w:rsid w:val="00E606C8"/>
    <w:rsid w:val="00E608AB"/>
    <w:rsid w:val="00E61E8D"/>
    <w:rsid w:val="00E63124"/>
    <w:rsid w:val="00E635BB"/>
    <w:rsid w:val="00E653C4"/>
    <w:rsid w:val="00E65529"/>
    <w:rsid w:val="00E66FF2"/>
    <w:rsid w:val="00E673C0"/>
    <w:rsid w:val="00E67DBB"/>
    <w:rsid w:val="00E73B3D"/>
    <w:rsid w:val="00E73D4F"/>
    <w:rsid w:val="00E76691"/>
    <w:rsid w:val="00E76E9D"/>
    <w:rsid w:val="00E77806"/>
    <w:rsid w:val="00E80894"/>
    <w:rsid w:val="00E8188F"/>
    <w:rsid w:val="00E81ACB"/>
    <w:rsid w:val="00E8310B"/>
    <w:rsid w:val="00E83AD4"/>
    <w:rsid w:val="00E85CC9"/>
    <w:rsid w:val="00E870C2"/>
    <w:rsid w:val="00E87BCB"/>
    <w:rsid w:val="00E9233B"/>
    <w:rsid w:val="00E929AE"/>
    <w:rsid w:val="00E946BA"/>
    <w:rsid w:val="00E94AAB"/>
    <w:rsid w:val="00E962CA"/>
    <w:rsid w:val="00E97566"/>
    <w:rsid w:val="00EA19BC"/>
    <w:rsid w:val="00EA1A5C"/>
    <w:rsid w:val="00EA2BAC"/>
    <w:rsid w:val="00EA370B"/>
    <w:rsid w:val="00EA3C10"/>
    <w:rsid w:val="00EA4016"/>
    <w:rsid w:val="00EA43AB"/>
    <w:rsid w:val="00EA481C"/>
    <w:rsid w:val="00EA4B9A"/>
    <w:rsid w:val="00EA4FBF"/>
    <w:rsid w:val="00EA7B2C"/>
    <w:rsid w:val="00EB2307"/>
    <w:rsid w:val="00EB26FE"/>
    <w:rsid w:val="00EB2A14"/>
    <w:rsid w:val="00EB41BB"/>
    <w:rsid w:val="00EC1E11"/>
    <w:rsid w:val="00EC1E6D"/>
    <w:rsid w:val="00EC366F"/>
    <w:rsid w:val="00EC39FB"/>
    <w:rsid w:val="00EC47C2"/>
    <w:rsid w:val="00EC4875"/>
    <w:rsid w:val="00EC4DE6"/>
    <w:rsid w:val="00EC7143"/>
    <w:rsid w:val="00ED2101"/>
    <w:rsid w:val="00ED217C"/>
    <w:rsid w:val="00ED2406"/>
    <w:rsid w:val="00ED2899"/>
    <w:rsid w:val="00ED42F5"/>
    <w:rsid w:val="00ED43DD"/>
    <w:rsid w:val="00EE01F1"/>
    <w:rsid w:val="00EE084B"/>
    <w:rsid w:val="00EE18BD"/>
    <w:rsid w:val="00EE2F91"/>
    <w:rsid w:val="00EE4AB5"/>
    <w:rsid w:val="00EE4D6D"/>
    <w:rsid w:val="00EE555F"/>
    <w:rsid w:val="00EE7AEF"/>
    <w:rsid w:val="00EF07AE"/>
    <w:rsid w:val="00EF0D18"/>
    <w:rsid w:val="00EF143D"/>
    <w:rsid w:val="00EF36BA"/>
    <w:rsid w:val="00EF4373"/>
    <w:rsid w:val="00EF6696"/>
    <w:rsid w:val="00EF66E0"/>
    <w:rsid w:val="00EF6C46"/>
    <w:rsid w:val="00EF7723"/>
    <w:rsid w:val="00EF7A17"/>
    <w:rsid w:val="00F00156"/>
    <w:rsid w:val="00F016E5"/>
    <w:rsid w:val="00F01CD0"/>
    <w:rsid w:val="00F03744"/>
    <w:rsid w:val="00F03A85"/>
    <w:rsid w:val="00F04208"/>
    <w:rsid w:val="00F043CF"/>
    <w:rsid w:val="00F0496F"/>
    <w:rsid w:val="00F07A98"/>
    <w:rsid w:val="00F07E34"/>
    <w:rsid w:val="00F11078"/>
    <w:rsid w:val="00F117D9"/>
    <w:rsid w:val="00F12E7B"/>
    <w:rsid w:val="00F135B5"/>
    <w:rsid w:val="00F14AC5"/>
    <w:rsid w:val="00F14EF4"/>
    <w:rsid w:val="00F15004"/>
    <w:rsid w:val="00F17832"/>
    <w:rsid w:val="00F20E8A"/>
    <w:rsid w:val="00F228B1"/>
    <w:rsid w:val="00F22910"/>
    <w:rsid w:val="00F22E4C"/>
    <w:rsid w:val="00F239F0"/>
    <w:rsid w:val="00F25032"/>
    <w:rsid w:val="00F25AC1"/>
    <w:rsid w:val="00F26003"/>
    <w:rsid w:val="00F278CA"/>
    <w:rsid w:val="00F27BF6"/>
    <w:rsid w:val="00F30057"/>
    <w:rsid w:val="00F300F1"/>
    <w:rsid w:val="00F30184"/>
    <w:rsid w:val="00F30CE1"/>
    <w:rsid w:val="00F31F0A"/>
    <w:rsid w:val="00F32920"/>
    <w:rsid w:val="00F32D57"/>
    <w:rsid w:val="00F333FD"/>
    <w:rsid w:val="00F337CD"/>
    <w:rsid w:val="00F339B5"/>
    <w:rsid w:val="00F33B89"/>
    <w:rsid w:val="00F34018"/>
    <w:rsid w:val="00F34268"/>
    <w:rsid w:val="00F34DA1"/>
    <w:rsid w:val="00F365C3"/>
    <w:rsid w:val="00F3686A"/>
    <w:rsid w:val="00F37033"/>
    <w:rsid w:val="00F37AFC"/>
    <w:rsid w:val="00F408BD"/>
    <w:rsid w:val="00F4188C"/>
    <w:rsid w:val="00F43B23"/>
    <w:rsid w:val="00F44D8C"/>
    <w:rsid w:val="00F46E49"/>
    <w:rsid w:val="00F52DEB"/>
    <w:rsid w:val="00F538BC"/>
    <w:rsid w:val="00F5593E"/>
    <w:rsid w:val="00F57058"/>
    <w:rsid w:val="00F57F2B"/>
    <w:rsid w:val="00F604CB"/>
    <w:rsid w:val="00F64818"/>
    <w:rsid w:val="00F70182"/>
    <w:rsid w:val="00F70CF7"/>
    <w:rsid w:val="00F70D26"/>
    <w:rsid w:val="00F72CF2"/>
    <w:rsid w:val="00F7531A"/>
    <w:rsid w:val="00F75EC9"/>
    <w:rsid w:val="00F766C0"/>
    <w:rsid w:val="00F76B0C"/>
    <w:rsid w:val="00F77006"/>
    <w:rsid w:val="00F7743A"/>
    <w:rsid w:val="00F806DD"/>
    <w:rsid w:val="00F810F3"/>
    <w:rsid w:val="00F82761"/>
    <w:rsid w:val="00F83190"/>
    <w:rsid w:val="00F83464"/>
    <w:rsid w:val="00F854CC"/>
    <w:rsid w:val="00F8600E"/>
    <w:rsid w:val="00F86106"/>
    <w:rsid w:val="00F8645C"/>
    <w:rsid w:val="00F87202"/>
    <w:rsid w:val="00F87329"/>
    <w:rsid w:val="00F877C1"/>
    <w:rsid w:val="00F90709"/>
    <w:rsid w:val="00F92ABA"/>
    <w:rsid w:val="00F92CFD"/>
    <w:rsid w:val="00F94194"/>
    <w:rsid w:val="00F943DD"/>
    <w:rsid w:val="00F94BC6"/>
    <w:rsid w:val="00F953D6"/>
    <w:rsid w:val="00FA15DF"/>
    <w:rsid w:val="00FA1E71"/>
    <w:rsid w:val="00FA2128"/>
    <w:rsid w:val="00FA3885"/>
    <w:rsid w:val="00FA39F5"/>
    <w:rsid w:val="00FA3A75"/>
    <w:rsid w:val="00FA49C8"/>
    <w:rsid w:val="00FA6255"/>
    <w:rsid w:val="00FA766F"/>
    <w:rsid w:val="00FB06D6"/>
    <w:rsid w:val="00FB156B"/>
    <w:rsid w:val="00FB1BF2"/>
    <w:rsid w:val="00FB283F"/>
    <w:rsid w:val="00FB2CF2"/>
    <w:rsid w:val="00FB2E36"/>
    <w:rsid w:val="00FB2F49"/>
    <w:rsid w:val="00FB4998"/>
    <w:rsid w:val="00FB58BC"/>
    <w:rsid w:val="00FB5C0C"/>
    <w:rsid w:val="00FB61C8"/>
    <w:rsid w:val="00FB63A6"/>
    <w:rsid w:val="00FC062E"/>
    <w:rsid w:val="00FC3C80"/>
    <w:rsid w:val="00FC40FF"/>
    <w:rsid w:val="00FC41F4"/>
    <w:rsid w:val="00FC44CA"/>
    <w:rsid w:val="00FC49F5"/>
    <w:rsid w:val="00FC4BD2"/>
    <w:rsid w:val="00FC51AA"/>
    <w:rsid w:val="00FC5905"/>
    <w:rsid w:val="00FC5A80"/>
    <w:rsid w:val="00FC670F"/>
    <w:rsid w:val="00FC7109"/>
    <w:rsid w:val="00FC7200"/>
    <w:rsid w:val="00FC79C5"/>
    <w:rsid w:val="00FD0FF3"/>
    <w:rsid w:val="00FD1A15"/>
    <w:rsid w:val="00FD2C6B"/>
    <w:rsid w:val="00FD4225"/>
    <w:rsid w:val="00FE1CAE"/>
    <w:rsid w:val="00FE2147"/>
    <w:rsid w:val="00FE3599"/>
    <w:rsid w:val="00FE35FD"/>
    <w:rsid w:val="00FE3C40"/>
    <w:rsid w:val="00FE4DFA"/>
    <w:rsid w:val="00FE679A"/>
    <w:rsid w:val="00FE6BDD"/>
    <w:rsid w:val="00FE7A45"/>
    <w:rsid w:val="00FF1157"/>
    <w:rsid w:val="00FF2076"/>
    <w:rsid w:val="00FF45F9"/>
    <w:rsid w:val="00FF52A5"/>
    <w:rsid w:val="00FF52B2"/>
    <w:rsid w:val="00FF60C8"/>
    <w:rsid w:val="00FF66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6C0DAB4"/>
  <w15:chartTrackingRefBased/>
  <w15:docId w15:val="{8C62120B-070C-41C4-84B2-37DAB0E0D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169"/>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semiHidden/>
    <w:rsid w:val="00FC49F5"/>
    <w:rPr>
      <w:rFonts w:ascii="Cambria" w:eastAsia="Times New Roman" w:hAnsi="Cambria" w:cs="Times New Roman"/>
      <w:i/>
      <w:iCs/>
      <w:spacing w:val="5"/>
      <w:w w:val="103"/>
      <w:sz w:val="20"/>
      <w:szCs w:val="20"/>
      <w:lang w:val="es-ES" w:eastAsia="en-US"/>
    </w:rPr>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E061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SingleTxt">
    <w:name w:val="__Single Txt"/>
    <w:basedOn w:val="Normal"/>
    <w:link w:val="SingleTxtChar"/>
    <w:qFormat/>
    <w:rsid w:val="00E0616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qFormat/>
    <w:rsid w:val="00727DD2"/>
    <w:rPr>
      <w:rFonts w:ascii="Times New Roman" w:eastAsiaTheme="minorHAnsi" w:hAnsi="Times New Roman" w:cs="Times New Roman"/>
      <w:spacing w:val="4"/>
      <w:w w:val="103"/>
      <w:kern w:val="14"/>
      <w:sz w:val="20"/>
      <w:szCs w:val="20"/>
      <w:lang w:eastAsia="en-US"/>
    </w:rPr>
  </w:style>
  <w:style w:type="paragraph" w:customStyle="1" w:styleId="HCh">
    <w:name w:val="_ H _Ch"/>
    <w:basedOn w:val="H1"/>
    <w:next w:val="SingleTxt"/>
    <w:rsid w:val="00E06169"/>
    <w:pPr>
      <w:spacing w:line="300" w:lineRule="exact"/>
      <w:ind w:left="0" w:right="0" w:firstLine="0"/>
    </w:pPr>
    <w:rPr>
      <w:spacing w:val="-2"/>
      <w:sz w:val="28"/>
    </w:rPr>
  </w:style>
  <w:style w:type="paragraph" w:customStyle="1" w:styleId="HM">
    <w:name w:val="_ H __M"/>
    <w:basedOn w:val="HCh"/>
    <w:next w:val="Normal"/>
    <w:rsid w:val="00E06169"/>
    <w:pPr>
      <w:spacing w:line="360" w:lineRule="exact"/>
    </w:pPr>
    <w:rPr>
      <w:spacing w:val="-3"/>
      <w:w w:val="99"/>
      <w:sz w:val="34"/>
    </w:rPr>
  </w:style>
  <w:style w:type="paragraph" w:customStyle="1" w:styleId="H23">
    <w:name w:val="_ H_2/3"/>
    <w:basedOn w:val="H1"/>
    <w:next w:val="SingleTxt"/>
    <w:rsid w:val="00E06169"/>
    <w:pPr>
      <w:spacing w:line="240" w:lineRule="exact"/>
      <w:outlineLvl w:val="1"/>
    </w:pPr>
    <w:rPr>
      <w:spacing w:val="2"/>
      <w:sz w:val="20"/>
    </w:rPr>
  </w:style>
  <w:style w:type="paragraph" w:customStyle="1" w:styleId="H4">
    <w:name w:val="_ H_4"/>
    <w:basedOn w:val="Normal"/>
    <w:next w:val="SingleTxt"/>
    <w:rsid w:val="00E061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H56">
    <w:name w:val="_ H_5/6"/>
    <w:basedOn w:val="Normal"/>
    <w:next w:val="Normal"/>
    <w:rsid w:val="00E061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4"/>
    </w:pPr>
  </w:style>
  <w:style w:type="paragraph" w:customStyle="1" w:styleId="DualTxt">
    <w:name w:val="__Dual Txt"/>
    <w:basedOn w:val="Normal"/>
    <w:rsid w:val="00E06169"/>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E06169"/>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E06169"/>
    <w:pPr>
      <w:spacing w:line="540" w:lineRule="exact"/>
    </w:pPr>
    <w:rPr>
      <w:spacing w:val="-8"/>
      <w:w w:val="96"/>
      <w:sz w:val="57"/>
    </w:rPr>
  </w:style>
  <w:style w:type="paragraph" w:customStyle="1" w:styleId="SS">
    <w:name w:val="__S_S"/>
    <w:basedOn w:val="HCh"/>
    <w:next w:val="Normal"/>
    <w:rsid w:val="00E06169"/>
    <w:pPr>
      <w:ind w:left="1267" w:right="1267"/>
    </w:pPr>
  </w:style>
  <w:style w:type="paragraph" w:customStyle="1" w:styleId="AgendaItemNormal">
    <w:name w:val="Agenda_Item_Normal"/>
    <w:next w:val="Normal"/>
    <w:qFormat/>
    <w:rsid w:val="00E0616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E06169"/>
    <w:pPr>
      <w:keepNext w:val="0"/>
      <w:keepLines w:val="0"/>
    </w:pPr>
  </w:style>
  <w:style w:type="paragraph" w:customStyle="1" w:styleId="AgendaTitleH2">
    <w:name w:val="Agenda_Title_H2"/>
    <w:basedOn w:val="TitleH1"/>
    <w:next w:val="Normal"/>
    <w:qFormat/>
    <w:rsid w:val="00E06169"/>
    <w:pPr>
      <w:keepNext/>
      <w:keepLines/>
      <w:spacing w:line="240" w:lineRule="exact"/>
      <w:ind w:left="0" w:firstLine="0"/>
      <w:outlineLvl w:val="1"/>
    </w:pPr>
    <w:rPr>
      <w:sz w:val="20"/>
    </w:rPr>
  </w:style>
  <w:style w:type="paragraph" w:styleId="BalloonText">
    <w:name w:val="Balloon Text"/>
    <w:basedOn w:val="Normal"/>
    <w:link w:val="BalloonTextChar"/>
    <w:semiHidden/>
    <w:rsid w:val="00E06169"/>
    <w:rPr>
      <w:rFonts w:ascii="Tahoma" w:hAnsi="Tahoma" w:cs="Tahoma"/>
      <w:sz w:val="16"/>
      <w:szCs w:val="16"/>
    </w:rPr>
  </w:style>
  <w:style w:type="character" w:customStyle="1" w:styleId="BalloonTextChar">
    <w:name w:val="Balloon Text Char"/>
    <w:basedOn w:val="DefaultParagraphFont"/>
    <w:link w:val="BalloonText"/>
    <w:semiHidden/>
    <w:rsid w:val="00E06169"/>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E06169"/>
    <w:pPr>
      <w:numPr>
        <w:numId w:val="3"/>
      </w:numPr>
      <w:spacing w:after="120"/>
      <w:ind w:right="1267"/>
      <w:jc w:val="both"/>
    </w:pPr>
  </w:style>
  <w:style w:type="paragraph" w:customStyle="1" w:styleId="Bullet2">
    <w:name w:val="Bullet 2"/>
    <w:basedOn w:val="Normal"/>
    <w:qFormat/>
    <w:rsid w:val="00FC49F5"/>
    <w:pPr>
      <w:numPr>
        <w:numId w:val="1"/>
      </w:numPr>
      <w:spacing w:after="120"/>
      <w:ind w:right="1264"/>
      <w:jc w:val="both"/>
    </w:pPr>
  </w:style>
  <w:style w:type="paragraph" w:customStyle="1" w:styleId="Bullet3">
    <w:name w:val="Bullet 3"/>
    <w:basedOn w:val="SingleTxt"/>
    <w:qFormat/>
    <w:rsid w:val="00E06169"/>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uiPriority w:val="99"/>
    <w:semiHidden/>
    <w:rsid w:val="00E06169"/>
    <w:rPr>
      <w:sz w:val="6"/>
    </w:rPr>
  </w:style>
  <w:style w:type="paragraph" w:customStyle="1" w:styleId="Distribution">
    <w:name w:val="Distribution"/>
    <w:next w:val="Normal"/>
    <w:rsid w:val="00E06169"/>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E06169"/>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S,Fo,Footnote Text Char Char,Footnote Text Char Char1 Char Char,Footnote Text Char Char1 Char Char Char Char,Footnote Text Char1 Char Char,Footnote Text Char1 Char Char Char Char,fn,Footnote Text Char1"/>
    <w:basedOn w:val="Normal"/>
    <w:link w:val="FootnoteTextChar"/>
    <w:uiPriority w:val="99"/>
    <w:qFormat/>
    <w:rsid w:val="00E06169"/>
    <w:pPr>
      <w:widowControl w:val="0"/>
      <w:tabs>
        <w:tab w:val="right" w:pos="418"/>
      </w:tabs>
      <w:spacing w:line="210" w:lineRule="exact"/>
      <w:ind w:left="475" w:hanging="475"/>
    </w:pPr>
    <w:rPr>
      <w:spacing w:val="5"/>
      <w:sz w:val="17"/>
    </w:rPr>
  </w:style>
  <w:style w:type="character" w:customStyle="1" w:styleId="FootnoteTextChar">
    <w:name w:val="Footnote Text Char"/>
    <w:aliases w:val="FOOTNOTES Char,Fo Char,Footnote Text Char Char Char,Footnote Text Char Char1 Char Char Char,Footnote Text Char Char1 Char Char Char Char Char,Footnote Text Char1 Char Char Char,Footnote Text Char1 Char Char Char Char Char,fn Char"/>
    <w:basedOn w:val="DefaultParagraphFont"/>
    <w:link w:val="FootnoteText"/>
    <w:uiPriority w:val="99"/>
    <w:rsid w:val="00E06169"/>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E06169"/>
  </w:style>
  <w:style w:type="character" w:customStyle="1" w:styleId="EndnoteTextChar">
    <w:name w:val="Endnote Text Char"/>
    <w:basedOn w:val="DefaultParagraphFont"/>
    <w:link w:val="EndnoteText"/>
    <w:semiHidden/>
    <w:rsid w:val="00E06169"/>
    <w:rPr>
      <w:rFonts w:ascii="Times New Roman" w:eastAsiaTheme="minorHAnsi" w:hAnsi="Times New Roman" w:cs="Times New Roman"/>
      <w:spacing w:val="5"/>
      <w:w w:val="103"/>
      <w:kern w:val="14"/>
      <w:sz w:val="17"/>
      <w:szCs w:val="20"/>
      <w:lang w:eastAsia="en-US"/>
    </w:rPr>
  </w:style>
  <w:style w:type="paragraph" w:styleId="Footer">
    <w:name w:val="footer"/>
    <w:link w:val="FooterChar"/>
    <w:uiPriority w:val="99"/>
    <w:rsid w:val="00E06169"/>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uiPriority w:val="99"/>
    <w:rsid w:val="00E06169"/>
    <w:rPr>
      <w:rFonts w:ascii="Times New Roman" w:eastAsiaTheme="minorHAnsi" w:hAnsi="Times New Roman" w:cs="Times New Roman"/>
      <w:b/>
      <w:noProof/>
      <w:sz w:val="17"/>
      <w:szCs w:val="20"/>
      <w:lang w:val="en-US" w:eastAsia="en-US"/>
    </w:rPr>
  </w:style>
  <w:style w:type="character" w:styleId="FootnoteReference">
    <w:name w:val="footnote reference"/>
    <w:aliases w:val="de nota al pie,BVI fnr,Footnote,Footnote number,Ref,Ref. de nota al pie,Referencia nota al pie,ftref,Знак сноски 1, de nota al pie"/>
    <w:uiPriority w:val="99"/>
    <w:qFormat/>
    <w:rsid w:val="00E06169"/>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E06169"/>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E06169"/>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E06169"/>
    <w:rPr>
      <w:sz w:val="14"/>
    </w:rPr>
  </w:style>
  <w:style w:type="paragraph" w:styleId="NoSpacing">
    <w:name w:val="No Spacing"/>
    <w:basedOn w:val="Normal"/>
    <w:uiPriority w:val="1"/>
    <w:qFormat/>
    <w:rsid w:val="00FC49F5"/>
    <w:pPr>
      <w:spacing w:line="240" w:lineRule="auto"/>
    </w:pPr>
  </w:style>
  <w:style w:type="paragraph" w:customStyle="1" w:styleId="NormalBullet">
    <w:name w:val="Normal Bullet"/>
    <w:basedOn w:val="Normal"/>
    <w:next w:val="Normal"/>
    <w:qFormat/>
    <w:rsid w:val="00FC49F5"/>
    <w:pPr>
      <w:keepLines/>
      <w:numPr>
        <w:numId w:val="2"/>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E0616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E0616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E06169"/>
    <w:pPr>
      <w:tabs>
        <w:tab w:val="right" w:pos="9965"/>
      </w:tabs>
      <w:spacing w:line="210" w:lineRule="exact"/>
    </w:pPr>
    <w:rPr>
      <w:spacing w:val="5"/>
      <w:w w:val="104"/>
      <w:sz w:val="17"/>
    </w:rPr>
  </w:style>
  <w:style w:type="paragraph" w:customStyle="1" w:styleId="SmallX">
    <w:name w:val="SmallX"/>
    <w:basedOn w:val="Small"/>
    <w:next w:val="Normal"/>
    <w:rsid w:val="00E06169"/>
    <w:pPr>
      <w:spacing w:line="180" w:lineRule="exact"/>
      <w:jc w:val="right"/>
    </w:pPr>
    <w:rPr>
      <w:spacing w:val="6"/>
      <w:w w:val="106"/>
      <w:sz w:val="14"/>
    </w:rPr>
  </w:style>
  <w:style w:type="paragraph" w:customStyle="1" w:styleId="TitleHCH">
    <w:name w:val="Title_H_CH"/>
    <w:basedOn w:val="Normal"/>
    <w:next w:val="SingleTxt"/>
    <w:qFormat/>
    <w:rsid w:val="00E06169"/>
  </w:style>
  <w:style w:type="paragraph" w:customStyle="1" w:styleId="TitleH2">
    <w:name w:val="Title_H2"/>
    <w:basedOn w:val="H23"/>
    <w:qFormat/>
    <w:rsid w:val="00E06169"/>
  </w:style>
  <w:style w:type="paragraph" w:styleId="TOCHeading">
    <w:name w:val="TOC Heading"/>
    <w:basedOn w:val="Heading1"/>
    <w:next w:val="Normal"/>
    <w:uiPriority w:val="39"/>
    <w:unhideWhenUsed/>
    <w:qFormat/>
    <w:rsid w:val="00FC49F5"/>
    <w:pPr>
      <w:outlineLvl w:val="9"/>
    </w:pPr>
    <w:rPr>
      <w:rFonts w:eastAsiaTheme="majorEastAsia" w:cstheme="majorBidi"/>
      <w:lang w:bidi="en-US"/>
    </w:rPr>
  </w:style>
  <w:style w:type="paragraph" w:customStyle="1" w:styleId="XLarge">
    <w:name w:val="XLarge"/>
    <w:basedOn w:val="HM"/>
    <w:rsid w:val="00E06169"/>
    <w:pPr>
      <w:spacing w:line="390" w:lineRule="exact"/>
    </w:pPr>
    <w:rPr>
      <w:spacing w:val="-4"/>
      <w:w w:val="98"/>
      <w:sz w:val="40"/>
    </w:rPr>
  </w:style>
  <w:style w:type="character" w:styleId="Hyperlink">
    <w:name w:val="Hyperlink"/>
    <w:basedOn w:val="DefaultParagraphFont"/>
    <w:uiPriority w:val="99"/>
    <w:rsid w:val="00E06169"/>
    <w:rPr>
      <w:color w:val="0000FF" w:themeColor="hyperlink"/>
      <w:u w:val="none"/>
    </w:rPr>
  </w:style>
  <w:style w:type="paragraph" w:styleId="PlainText">
    <w:name w:val="Plain Text"/>
    <w:basedOn w:val="Normal"/>
    <w:link w:val="PlainTextChar"/>
    <w:rsid w:val="00E06169"/>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E06169"/>
    <w:rPr>
      <w:rFonts w:ascii="Courier New" w:eastAsia="Times New Roman" w:hAnsi="Courier New" w:cs="Times New Roman"/>
      <w:sz w:val="20"/>
      <w:szCs w:val="20"/>
      <w:lang w:val="en-US" w:eastAsia="en-GB"/>
    </w:rPr>
  </w:style>
  <w:style w:type="paragraph" w:customStyle="1" w:styleId="ReleaseDate0">
    <w:name w:val="Release Date"/>
    <w:next w:val="Footer"/>
    <w:rsid w:val="00E06169"/>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E06169"/>
    <w:pPr>
      <w:ind w:left="0" w:firstLine="0"/>
    </w:pPr>
    <w:rPr>
      <w:spacing w:val="4"/>
    </w:rPr>
  </w:style>
  <w:style w:type="table" w:styleId="TableGrid">
    <w:name w:val="Table Grid"/>
    <w:basedOn w:val="TableNormal"/>
    <w:rsid w:val="00E06169"/>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721987"/>
    <w:pPr>
      <w:spacing w:line="240" w:lineRule="auto"/>
    </w:pPr>
  </w:style>
  <w:style w:type="character" w:customStyle="1" w:styleId="CommentTextChar">
    <w:name w:val="Comment Text Char"/>
    <w:basedOn w:val="DefaultParagraphFont"/>
    <w:link w:val="CommentText"/>
    <w:uiPriority w:val="99"/>
    <w:rsid w:val="00721987"/>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21987"/>
    <w:rPr>
      <w:b/>
      <w:bCs/>
    </w:rPr>
  </w:style>
  <w:style w:type="character" w:customStyle="1" w:styleId="CommentSubjectChar">
    <w:name w:val="Comment Subject Char"/>
    <w:basedOn w:val="CommentTextChar"/>
    <w:link w:val="CommentSubject"/>
    <w:uiPriority w:val="99"/>
    <w:semiHidden/>
    <w:rsid w:val="00721987"/>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727DD2"/>
    <w:pPr>
      <w:ind w:left="720"/>
      <w:contextualSpacing/>
    </w:pPr>
  </w:style>
  <w:style w:type="character" w:customStyle="1" w:styleId="m-6399863064961039584gmail-msofootnotereference">
    <w:name w:val="m_-6399863064961039584gmail-msofootnotereference"/>
    <w:basedOn w:val="DefaultParagraphFont"/>
    <w:rsid w:val="00727DD2"/>
  </w:style>
  <w:style w:type="paragraph" w:customStyle="1" w:styleId="Bodytextjsd">
    <w:name w:val="Body text jsd"/>
    <w:basedOn w:val="BodyText"/>
    <w:autoRedefine/>
    <w:rsid w:val="00727DD2"/>
    <w:pPr>
      <w:suppressAutoHyphens w:val="0"/>
      <w:spacing w:before="100" w:beforeAutospacing="1" w:after="100" w:afterAutospacing="1" w:line="240" w:lineRule="auto"/>
      <w:jc w:val="both"/>
    </w:pPr>
    <w:rPr>
      <w:rFonts w:ascii="Arial" w:eastAsia="Times New Roman" w:hAnsi="Arial" w:cs="Arial"/>
      <w:bCs/>
      <w:i/>
      <w:iCs/>
      <w:color w:val="0E0E0E"/>
      <w:spacing w:val="0"/>
      <w:w w:val="100"/>
      <w:kern w:val="0"/>
      <w:sz w:val="22"/>
      <w:szCs w:val="22"/>
      <w:lang w:val="en-US"/>
    </w:rPr>
  </w:style>
  <w:style w:type="paragraph" w:styleId="BodyText">
    <w:name w:val="Body Text"/>
    <w:basedOn w:val="Normal"/>
    <w:link w:val="BodyTextChar"/>
    <w:uiPriority w:val="99"/>
    <w:semiHidden/>
    <w:unhideWhenUsed/>
    <w:rsid w:val="00727DD2"/>
    <w:pPr>
      <w:spacing w:after="120"/>
    </w:pPr>
  </w:style>
  <w:style w:type="character" w:customStyle="1" w:styleId="BodyTextChar">
    <w:name w:val="Body Text Char"/>
    <w:basedOn w:val="DefaultParagraphFont"/>
    <w:link w:val="BodyText"/>
    <w:uiPriority w:val="99"/>
    <w:semiHidden/>
    <w:rsid w:val="00727DD2"/>
    <w:rPr>
      <w:rFonts w:ascii="Times New Roman" w:eastAsiaTheme="minorHAnsi" w:hAnsi="Times New Roman" w:cs="Times New Roman"/>
      <w:spacing w:val="4"/>
      <w:w w:val="103"/>
      <w:kern w:val="14"/>
      <w:sz w:val="20"/>
      <w:szCs w:val="20"/>
      <w:lang w:eastAsia="en-US"/>
    </w:rPr>
  </w:style>
  <w:style w:type="paragraph" w:styleId="NormalWeb">
    <w:name w:val="Normal (Web)"/>
    <w:basedOn w:val="Normal"/>
    <w:uiPriority w:val="99"/>
    <w:unhideWhenUsed/>
    <w:rsid w:val="00727DD2"/>
    <w:pPr>
      <w:suppressAutoHyphens w:val="0"/>
      <w:spacing w:before="100" w:beforeAutospacing="1" w:after="100" w:afterAutospacing="1" w:line="240" w:lineRule="auto"/>
    </w:pPr>
    <w:rPr>
      <w:rFonts w:eastAsia="Times New Roman"/>
      <w:spacing w:val="0"/>
      <w:w w:val="100"/>
      <w:kern w:val="0"/>
      <w:sz w:val="24"/>
      <w:szCs w:val="24"/>
      <w:lang w:eastAsia="zh-CN"/>
    </w:rPr>
  </w:style>
  <w:style w:type="paragraph" w:customStyle="1" w:styleId="Default">
    <w:name w:val="Default"/>
    <w:rsid w:val="00727DD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UnresolvedMention">
    <w:name w:val="Unresolved Mention"/>
    <w:basedOn w:val="DefaultParagraphFont"/>
    <w:uiPriority w:val="99"/>
    <w:semiHidden/>
    <w:unhideWhenUsed/>
    <w:rsid w:val="00FC062E"/>
    <w:rPr>
      <w:color w:val="605E5C"/>
      <w:shd w:val="clear" w:color="auto" w:fill="E1DFDD"/>
    </w:rPr>
  </w:style>
  <w:style w:type="character" w:styleId="FollowedHyperlink">
    <w:name w:val="FollowedHyperlink"/>
    <w:basedOn w:val="DefaultParagraphFont"/>
    <w:uiPriority w:val="99"/>
    <w:semiHidden/>
    <w:unhideWhenUsed/>
    <w:rsid w:val="00B61FA0"/>
    <w:rPr>
      <w:color w:val="0000FF"/>
      <w:u w:val="none"/>
    </w:rPr>
  </w:style>
  <w:style w:type="paragraph" w:styleId="Revision">
    <w:name w:val="Revision"/>
    <w:hidden/>
    <w:uiPriority w:val="99"/>
    <w:semiHidden/>
    <w:rsid w:val="006E4FFB"/>
    <w:pPr>
      <w:spacing w:after="0" w:line="240" w:lineRule="auto"/>
    </w:pPr>
    <w:rPr>
      <w:rFonts w:ascii="Times New Roman" w:eastAsiaTheme="minorHAnsi" w:hAnsi="Times New Roman" w:cs="Times New Roman"/>
      <w:spacing w:val="4"/>
      <w:w w:val="103"/>
      <w:kern w:val="14"/>
      <w:sz w:val="20"/>
      <w:szCs w:val="20"/>
      <w:lang w:eastAsia="en-US"/>
    </w:rPr>
  </w:style>
  <w:style w:type="paragraph" w:styleId="BodyText2">
    <w:name w:val="Body Text 2"/>
    <w:basedOn w:val="Normal"/>
    <w:link w:val="BodyText2Char"/>
    <w:uiPriority w:val="99"/>
    <w:semiHidden/>
    <w:unhideWhenUsed/>
    <w:rsid w:val="00BB3B3A"/>
    <w:pPr>
      <w:spacing w:after="120" w:line="480" w:lineRule="auto"/>
    </w:pPr>
  </w:style>
  <w:style w:type="character" w:customStyle="1" w:styleId="BodyText2Char">
    <w:name w:val="Body Text 2 Char"/>
    <w:basedOn w:val="DefaultParagraphFont"/>
    <w:link w:val="BodyText2"/>
    <w:uiPriority w:val="99"/>
    <w:semiHidden/>
    <w:rsid w:val="00BB3B3A"/>
    <w:rPr>
      <w:rFonts w:ascii="Times New Roman" w:eastAsiaTheme="minorHAnsi" w:hAnsi="Times New Roman" w:cs="Times New Roman"/>
      <w:spacing w:val="4"/>
      <w:w w:val="103"/>
      <w:kern w:val="14"/>
      <w:sz w:val="20"/>
      <w:szCs w:val="20"/>
      <w:lang w:eastAsia="en-US"/>
    </w:rPr>
  </w:style>
  <w:style w:type="table" w:styleId="GridTable1Light">
    <w:name w:val="Grid Table 1 Light"/>
    <w:basedOn w:val="TableNormal"/>
    <w:uiPriority w:val="46"/>
    <w:rsid w:val="009B3AD7"/>
    <w:pPr>
      <w:spacing w:after="0" w:line="240" w:lineRule="auto"/>
    </w:pPr>
    <w:rPr>
      <w:sz w:val="24"/>
      <w:szCs w:val="24"/>
      <w:lang w:val="en-MY"/>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405102"/>
    <w:pPr>
      <w:spacing w:after="0" w:line="240" w:lineRule="auto"/>
    </w:pPr>
    <w:rPr>
      <w:sz w:val="24"/>
      <w:szCs w:val="24"/>
      <w:lang w:val="en-MY"/>
    </w:rPr>
    <w:tblPr>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Pr>
    <w:tcPr>
      <w:shd w:val="clear" w:color="auto" w:fill="auto"/>
    </w:tcPr>
  </w:style>
  <w:style w:type="paragraph" w:styleId="TOC1">
    <w:name w:val="toc 1"/>
    <w:basedOn w:val="Normal"/>
    <w:next w:val="Normal"/>
    <w:autoRedefine/>
    <w:uiPriority w:val="39"/>
    <w:unhideWhenUsed/>
    <w:rsid w:val="00AE0F71"/>
    <w:pPr>
      <w:spacing w:after="100"/>
    </w:pPr>
  </w:style>
  <w:style w:type="paragraph" w:styleId="TOC2">
    <w:name w:val="toc 2"/>
    <w:basedOn w:val="Normal"/>
    <w:next w:val="Normal"/>
    <w:autoRedefine/>
    <w:uiPriority w:val="39"/>
    <w:unhideWhenUsed/>
    <w:rsid w:val="00AE0F71"/>
    <w:pPr>
      <w:spacing w:after="100"/>
      <w:ind w:left="200"/>
    </w:pPr>
  </w:style>
  <w:style w:type="paragraph" w:styleId="TOC3">
    <w:name w:val="toc 3"/>
    <w:basedOn w:val="Normal"/>
    <w:next w:val="Normal"/>
    <w:autoRedefine/>
    <w:uiPriority w:val="39"/>
    <w:unhideWhenUsed/>
    <w:rsid w:val="00AE0F7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446000">
      <w:bodyDiv w:val="1"/>
      <w:marLeft w:val="0"/>
      <w:marRight w:val="0"/>
      <w:marTop w:val="0"/>
      <w:marBottom w:val="0"/>
      <w:divBdr>
        <w:top w:val="none" w:sz="0" w:space="0" w:color="auto"/>
        <w:left w:val="none" w:sz="0" w:space="0" w:color="auto"/>
        <w:bottom w:val="none" w:sz="0" w:space="0" w:color="auto"/>
        <w:right w:val="none" w:sz="0" w:space="0" w:color="auto"/>
      </w:divBdr>
    </w:div>
    <w:div w:id="665134875">
      <w:bodyDiv w:val="1"/>
      <w:marLeft w:val="0"/>
      <w:marRight w:val="0"/>
      <w:marTop w:val="0"/>
      <w:marBottom w:val="0"/>
      <w:divBdr>
        <w:top w:val="none" w:sz="0" w:space="0" w:color="auto"/>
        <w:left w:val="none" w:sz="0" w:space="0" w:color="auto"/>
        <w:bottom w:val="none" w:sz="0" w:space="0" w:color="auto"/>
        <w:right w:val="none" w:sz="0" w:space="0" w:color="auto"/>
      </w:divBdr>
    </w:div>
    <w:div w:id="827406254">
      <w:bodyDiv w:val="1"/>
      <w:marLeft w:val="0"/>
      <w:marRight w:val="0"/>
      <w:marTop w:val="0"/>
      <w:marBottom w:val="0"/>
      <w:divBdr>
        <w:top w:val="none" w:sz="0" w:space="0" w:color="auto"/>
        <w:left w:val="none" w:sz="0" w:space="0" w:color="auto"/>
        <w:bottom w:val="none" w:sz="0" w:space="0" w:color="auto"/>
        <w:right w:val="none" w:sz="0" w:space="0" w:color="auto"/>
      </w:divBdr>
    </w:div>
    <w:div w:id="930509010">
      <w:bodyDiv w:val="1"/>
      <w:marLeft w:val="0"/>
      <w:marRight w:val="0"/>
      <w:marTop w:val="0"/>
      <w:marBottom w:val="0"/>
      <w:divBdr>
        <w:top w:val="none" w:sz="0" w:space="0" w:color="auto"/>
        <w:left w:val="none" w:sz="0" w:space="0" w:color="auto"/>
        <w:bottom w:val="none" w:sz="0" w:space="0" w:color="auto"/>
        <w:right w:val="none" w:sz="0" w:space="0" w:color="auto"/>
      </w:divBdr>
    </w:div>
    <w:div w:id="961308159">
      <w:bodyDiv w:val="1"/>
      <w:marLeft w:val="0"/>
      <w:marRight w:val="0"/>
      <w:marTop w:val="0"/>
      <w:marBottom w:val="0"/>
      <w:divBdr>
        <w:top w:val="none" w:sz="0" w:space="0" w:color="auto"/>
        <w:left w:val="none" w:sz="0" w:space="0" w:color="auto"/>
        <w:bottom w:val="none" w:sz="0" w:space="0" w:color="auto"/>
        <w:right w:val="none" w:sz="0" w:space="0" w:color="auto"/>
      </w:divBdr>
      <w:divsChild>
        <w:div w:id="1830515111">
          <w:marLeft w:val="0"/>
          <w:marRight w:val="0"/>
          <w:marTop w:val="0"/>
          <w:marBottom w:val="0"/>
          <w:divBdr>
            <w:top w:val="none" w:sz="0" w:space="0" w:color="auto"/>
            <w:left w:val="none" w:sz="0" w:space="0" w:color="auto"/>
            <w:bottom w:val="none" w:sz="0" w:space="0" w:color="auto"/>
            <w:right w:val="none" w:sz="0" w:space="0" w:color="auto"/>
          </w:divBdr>
          <w:divsChild>
            <w:div w:id="15540763">
              <w:marLeft w:val="0"/>
              <w:marRight w:val="0"/>
              <w:marTop w:val="0"/>
              <w:marBottom w:val="0"/>
              <w:divBdr>
                <w:top w:val="none" w:sz="0" w:space="0" w:color="auto"/>
                <w:left w:val="none" w:sz="0" w:space="0" w:color="auto"/>
                <w:bottom w:val="none" w:sz="0" w:space="0" w:color="auto"/>
                <w:right w:val="none" w:sz="0" w:space="0" w:color="auto"/>
              </w:divBdr>
              <w:divsChild>
                <w:div w:id="166921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881360">
      <w:bodyDiv w:val="1"/>
      <w:marLeft w:val="0"/>
      <w:marRight w:val="0"/>
      <w:marTop w:val="0"/>
      <w:marBottom w:val="0"/>
      <w:divBdr>
        <w:top w:val="none" w:sz="0" w:space="0" w:color="auto"/>
        <w:left w:val="none" w:sz="0" w:space="0" w:color="auto"/>
        <w:bottom w:val="none" w:sz="0" w:space="0" w:color="auto"/>
        <w:right w:val="none" w:sz="0" w:space="0" w:color="auto"/>
      </w:divBdr>
    </w:div>
    <w:div w:id="1066881493">
      <w:bodyDiv w:val="1"/>
      <w:marLeft w:val="0"/>
      <w:marRight w:val="0"/>
      <w:marTop w:val="0"/>
      <w:marBottom w:val="0"/>
      <w:divBdr>
        <w:top w:val="none" w:sz="0" w:space="0" w:color="auto"/>
        <w:left w:val="none" w:sz="0" w:space="0" w:color="auto"/>
        <w:bottom w:val="none" w:sz="0" w:space="0" w:color="auto"/>
        <w:right w:val="none" w:sz="0" w:space="0" w:color="auto"/>
      </w:divBdr>
    </w:div>
    <w:div w:id="1080755862">
      <w:bodyDiv w:val="1"/>
      <w:marLeft w:val="0"/>
      <w:marRight w:val="0"/>
      <w:marTop w:val="0"/>
      <w:marBottom w:val="0"/>
      <w:divBdr>
        <w:top w:val="none" w:sz="0" w:space="0" w:color="auto"/>
        <w:left w:val="none" w:sz="0" w:space="0" w:color="auto"/>
        <w:bottom w:val="none" w:sz="0" w:space="0" w:color="auto"/>
        <w:right w:val="none" w:sz="0" w:space="0" w:color="auto"/>
      </w:divBdr>
    </w:div>
    <w:div w:id="1426027320">
      <w:bodyDiv w:val="1"/>
      <w:marLeft w:val="0"/>
      <w:marRight w:val="0"/>
      <w:marTop w:val="0"/>
      <w:marBottom w:val="0"/>
      <w:divBdr>
        <w:top w:val="none" w:sz="0" w:space="0" w:color="auto"/>
        <w:left w:val="none" w:sz="0" w:space="0" w:color="auto"/>
        <w:bottom w:val="none" w:sz="0" w:space="0" w:color="auto"/>
        <w:right w:val="none" w:sz="0" w:space="0" w:color="auto"/>
      </w:divBdr>
    </w:div>
    <w:div w:id="1468401260">
      <w:bodyDiv w:val="1"/>
      <w:marLeft w:val="0"/>
      <w:marRight w:val="0"/>
      <w:marTop w:val="0"/>
      <w:marBottom w:val="0"/>
      <w:divBdr>
        <w:top w:val="none" w:sz="0" w:space="0" w:color="auto"/>
        <w:left w:val="none" w:sz="0" w:space="0" w:color="auto"/>
        <w:bottom w:val="none" w:sz="0" w:space="0" w:color="auto"/>
        <w:right w:val="none" w:sz="0" w:space="0" w:color="auto"/>
      </w:divBdr>
    </w:div>
    <w:div w:id="1511409047">
      <w:bodyDiv w:val="1"/>
      <w:marLeft w:val="0"/>
      <w:marRight w:val="0"/>
      <w:marTop w:val="0"/>
      <w:marBottom w:val="0"/>
      <w:divBdr>
        <w:top w:val="none" w:sz="0" w:space="0" w:color="auto"/>
        <w:left w:val="none" w:sz="0" w:space="0" w:color="auto"/>
        <w:bottom w:val="none" w:sz="0" w:space="0" w:color="auto"/>
        <w:right w:val="none" w:sz="0" w:space="0" w:color="auto"/>
      </w:divBdr>
    </w:div>
    <w:div w:id="1831368171">
      <w:bodyDiv w:val="1"/>
      <w:marLeft w:val="0"/>
      <w:marRight w:val="0"/>
      <w:marTop w:val="0"/>
      <w:marBottom w:val="0"/>
      <w:divBdr>
        <w:top w:val="none" w:sz="0" w:space="0" w:color="auto"/>
        <w:left w:val="none" w:sz="0" w:space="0" w:color="auto"/>
        <w:bottom w:val="none" w:sz="0" w:space="0" w:color="auto"/>
        <w:right w:val="none" w:sz="0" w:space="0" w:color="auto"/>
      </w:divBdr>
    </w:div>
    <w:div w:id="1856991127">
      <w:bodyDiv w:val="1"/>
      <w:marLeft w:val="0"/>
      <w:marRight w:val="0"/>
      <w:marTop w:val="0"/>
      <w:marBottom w:val="0"/>
      <w:divBdr>
        <w:top w:val="none" w:sz="0" w:space="0" w:color="auto"/>
        <w:left w:val="none" w:sz="0" w:space="0" w:color="auto"/>
        <w:bottom w:val="none" w:sz="0" w:space="0" w:color="auto"/>
        <w:right w:val="none" w:sz="0" w:space="0" w:color="auto"/>
      </w:divBdr>
    </w:div>
    <w:div w:id="193084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about:blank"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hyperlink" Target="about:blank" TargetMode="External"/><Relationship Id="rId21" Type="http://schemas.openxmlformats.org/officeDocument/2006/relationships/hyperlink" Target="about:blank" TargetMode="Externa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hyperlink" Target="about:blank" TargetMode="Externa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hyperlink" Target="about:blank" TargetMode="Externa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713ACA63DD394791487D01BCF16E1F" ma:contentTypeVersion="13" ma:contentTypeDescription="Create a new document." ma:contentTypeScope="" ma:versionID="97f8b0315832d636f49ef05f2a9b26a6">
  <xsd:schema xmlns:xsd="http://www.w3.org/2001/XMLSchema" xmlns:xs="http://www.w3.org/2001/XMLSchema" xmlns:p="http://schemas.microsoft.com/office/2006/metadata/properties" xmlns:ns3="56d85174-256f-4ff6-9e21-be41d6799e41" xmlns:ns4="8582785e-94d6-4696-a7e0-411cacf17906" targetNamespace="http://schemas.microsoft.com/office/2006/metadata/properties" ma:root="true" ma:fieldsID="6b3da00c5b3e93747928a903aa9c4dde" ns3:_="" ns4:_="">
    <xsd:import namespace="56d85174-256f-4ff6-9e21-be41d6799e41"/>
    <xsd:import namespace="8582785e-94d6-4696-a7e0-411cacf179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d85174-256f-4ff6-9e21-be41d6799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82785e-94d6-4696-a7e0-411cacf179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B90A2-35A6-4696-999B-985CC3FFFEBD}">
  <ds:schemaRefs>
    <ds:schemaRef ds:uri="http://schemas.microsoft.com/sharepoint/v3/contenttype/forms"/>
  </ds:schemaRefs>
</ds:datastoreItem>
</file>

<file path=customXml/itemProps2.xml><?xml version="1.0" encoding="utf-8"?>
<ds:datastoreItem xmlns:ds="http://schemas.openxmlformats.org/officeDocument/2006/customXml" ds:itemID="{6E644ADF-9F96-4D5B-B470-5DEE038CC2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E2D7F6-ECEC-4C8E-834F-66A6DF4DF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d85174-256f-4ff6-9e21-be41d6799e41"/>
    <ds:schemaRef ds:uri="8582785e-94d6-4696-a7e0-411cacf17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A61EB7-5DE5-4896-BD44-CC180DF73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7752</Words>
  <Characters>44190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51839</CharactersWithSpaces>
  <SharedDoc>false</SharedDoc>
  <HLinks>
    <vt:vector size="408" baseType="variant">
      <vt:variant>
        <vt:i4>5767196</vt:i4>
      </vt:variant>
      <vt:variant>
        <vt:i4>90</vt:i4>
      </vt:variant>
      <vt:variant>
        <vt:i4>0</vt:i4>
      </vt:variant>
      <vt:variant>
        <vt:i4>5</vt:i4>
      </vt:variant>
      <vt:variant>
        <vt:lpwstr>https://undocs.org/en/A/CN.9/1004</vt:lpwstr>
      </vt:variant>
      <vt:variant>
        <vt:lpwstr/>
      </vt:variant>
      <vt:variant>
        <vt:i4>5767196</vt:i4>
      </vt:variant>
      <vt:variant>
        <vt:i4>87</vt:i4>
      </vt:variant>
      <vt:variant>
        <vt:i4>0</vt:i4>
      </vt:variant>
      <vt:variant>
        <vt:i4>5</vt:i4>
      </vt:variant>
      <vt:variant>
        <vt:lpwstr>https://undocs.org/en/A/CN.9/1004</vt:lpwstr>
      </vt:variant>
      <vt:variant>
        <vt:lpwstr/>
      </vt:variant>
      <vt:variant>
        <vt:i4>5767196</vt:i4>
      </vt:variant>
      <vt:variant>
        <vt:i4>84</vt:i4>
      </vt:variant>
      <vt:variant>
        <vt:i4>0</vt:i4>
      </vt:variant>
      <vt:variant>
        <vt:i4>5</vt:i4>
      </vt:variant>
      <vt:variant>
        <vt:lpwstr>https://undocs.org/en/A/CN.9/1004</vt:lpwstr>
      </vt:variant>
      <vt:variant>
        <vt:lpwstr/>
      </vt:variant>
      <vt:variant>
        <vt:i4>5767196</vt:i4>
      </vt:variant>
      <vt:variant>
        <vt:i4>81</vt:i4>
      </vt:variant>
      <vt:variant>
        <vt:i4>0</vt:i4>
      </vt:variant>
      <vt:variant>
        <vt:i4>5</vt:i4>
      </vt:variant>
      <vt:variant>
        <vt:lpwstr>https://undocs.org/en/A/CN.9/1004</vt:lpwstr>
      </vt:variant>
      <vt:variant>
        <vt:lpwstr/>
      </vt:variant>
      <vt:variant>
        <vt:i4>5767196</vt:i4>
      </vt:variant>
      <vt:variant>
        <vt:i4>78</vt:i4>
      </vt:variant>
      <vt:variant>
        <vt:i4>0</vt:i4>
      </vt:variant>
      <vt:variant>
        <vt:i4>5</vt:i4>
      </vt:variant>
      <vt:variant>
        <vt:lpwstr>https://undocs.org/en/A/CN.9/1004</vt:lpwstr>
      </vt:variant>
      <vt:variant>
        <vt:lpwstr/>
      </vt:variant>
      <vt:variant>
        <vt:i4>5767196</vt:i4>
      </vt:variant>
      <vt:variant>
        <vt:i4>75</vt:i4>
      </vt:variant>
      <vt:variant>
        <vt:i4>0</vt:i4>
      </vt:variant>
      <vt:variant>
        <vt:i4>5</vt:i4>
      </vt:variant>
      <vt:variant>
        <vt:lpwstr>https://undocs.org/en/A/CN.9/1004</vt:lpwstr>
      </vt:variant>
      <vt:variant>
        <vt:lpwstr/>
      </vt:variant>
      <vt:variant>
        <vt:i4>5767196</vt:i4>
      </vt:variant>
      <vt:variant>
        <vt:i4>72</vt:i4>
      </vt:variant>
      <vt:variant>
        <vt:i4>0</vt:i4>
      </vt:variant>
      <vt:variant>
        <vt:i4>5</vt:i4>
      </vt:variant>
      <vt:variant>
        <vt:lpwstr>https://undocs.org/en/A/CN.9/1004</vt:lpwstr>
      </vt:variant>
      <vt:variant>
        <vt:lpwstr/>
      </vt:variant>
      <vt:variant>
        <vt:i4>5767196</vt:i4>
      </vt:variant>
      <vt:variant>
        <vt:i4>69</vt:i4>
      </vt:variant>
      <vt:variant>
        <vt:i4>0</vt:i4>
      </vt:variant>
      <vt:variant>
        <vt:i4>5</vt:i4>
      </vt:variant>
      <vt:variant>
        <vt:lpwstr>https://undocs.org/en/A/CN.9/1004</vt:lpwstr>
      </vt:variant>
      <vt:variant>
        <vt:lpwstr/>
      </vt:variant>
      <vt:variant>
        <vt:i4>5767196</vt:i4>
      </vt:variant>
      <vt:variant>
        <vt:i4>66</vt:i4>
      </vt:variant>
      <vt:variant>
        <vt:i4>0</vt:i4>
      </vt:variant>
      <vt:variant>
        <vt:i4>5</vt:i4>
      </vt:variant>
      <vt:variant>
        <vt:lpwstr>https://undocs.org/en/A/CN.9/1004</vt:lpwstr>
      </vt:variant>
      <vt:variant>
        <vt:lpwstr/>
      </vt:variant>
      <vt:variant>
        <vt:i4>5767196</vt:i4>
      </vt:variant>
      <vt:variant>
        <vt:i4>63</vt:i4>
      </vt:variant>
      <vt:variant>
        <vt:i4>0</vt:i4>
      </vt:variant>
      <vt:variant>
        <vt:i4>5</vt:i4>
      </vt:variant>
      <vt:variant>
        <vt:lpwstr>https://undocs.org/en/A/CN.9/1004</vt:lpwstr>
      </vt:variant>
      <vt:variant>
        <vt:lpwstr/>
      </vt:variant>
      <vt:variant>
        <vt:i4>5767196</vt:i4>
      </vt:variant>
      <vt:variant>
        <vt:i4>60</vt:i4>
      </vt:variant>
      <vt:variant>
        <vt:i4>0</vt:i4>
      </vt:variant>
      <vt:variant>
        <vt:i4>5</vt:i4>
      </vt:variant>
      <vt:variant>
        <vt:lpwstr>https://undocs.org/en/A/CN.9/1004</vt:lpwstr>
      </vt:variant>
      <vt:variant>
        <vt:lpwstr/>
      </vt:variant>
      <vt:variant>
        <vt:i4>5767196</vt:i4>
      </vt:variant>
      <vt:variant>
        <vt:i4>57</vt:i4>
      </vt:variant>
      <vt:variant>
        <vt:i4>0</vt:i4>
      </vt:variant>
      <vt:variant>
        <vt:i4>5</vt:i4>
      </vt:variant>
      <vt:variant>
        <vt:lpwstr>https://undocs.org/en/A/CN.9/1004</vt:lpwstr>
      </vt:variant>
      <vt:variant>
        <vt:lpwstr/>
      </vt:variant>
      <vt:variant>
        <vt:i4>5767196</vt:i4>
      </vt:variant>
      <vt:variant>
        <vt:i4>54</vt:i4>
      </vt:variant>
      <vt:variant>
        <vt:i4>0</vt:i4>
      </vt:variant>
      <vt:variant>
        <vt:i4>5</vt:i4>
      </vt:variant>
      <vt:variant>
        <vt:lpwstr>https://undocs.org/en/A/CN.9/1004</vt:lpwstr>
      </vt:variant>
      <vt:variant>
        <vt:lpwstr/>
      </vt:variant>
      <vt:variant>
        <vt:i4>4128804</vt:i4>
      </vt:variant>
      <vt:variant>
        <vt:i4>51</vt:i4>
      </vt:variant>
      <vt:variant>
        <vt:i4>0</vt:i4>
      </vt:variant>
      <vt:variant>
        <vt:i4>5</vt:i4>
      </vt:variant>
      <vt:variant>
        <vt:lpwstr>https://undocs.org/en/A/CN.9/WG.III/WP.168</vt:lpwstr>
      </vt:variant>
      <vt:variant>
        <vt:lpwstr/>
      </vt:variant>
      <vt:variant>
        <vt:i4>5767196</vt:i4>
      </vt:variant>
      <vt:variant>
        <vt:i4>48</vt:i4>
      </vt:variant>
      <vt:variant>
        <vt:i4>0</vt:i4>
      </vt:variant>
      <vt:variant>
        <vt:i4>5</vt:i4>
      </vt:variant>
      <vt:variant>
        <vt:lpwstr>https://undocs.org/en/A/CN.9/1004</vt:lpwstr>
      </vt:variant>
      <vt:variant>
        <vt:lpwstr/>
      </vt:variant>
      <vt:variant>
        <vt:i4>5767196</vt:i4>
      </vt:variant>
      <vt:variant>
        <vt:i4>45</vt:i4>
      </vt:variant>
      <vt:variant>
        <vt:i4>0</vt:i4>
      </vt:variant>
      <vt:variant>
        <vt:i4>5</vt:i4>
      </vt:variant>
      <vt:variant>
        <vt:lpwstr>https://undocs.org/en/A/CN.9/1004</vt:lpwstr>
      </vt:variant>
      <vt:variant>
        <vt:lpwstr/>
      </vt:variant>
      <vt:variant>
        <vt:i4>5767196</vt:i4>
      </vt:variant>
      <vt:variant>
        <vt:i4>42</vt:i4>
      </vt:variant>
      <vt:variant>
        <vt:i4>0</vt:i4>
      </vt:variant>
      <vt:variant>
        <vt:i4>5</vt:i4>
      </vt:variant>
      <vt:variant>
        <vt:lpwstr>https://undocs.org/en/A/CN.9/1004</vt:lpwstr>
      </vt:variant>
      <vt:variant>
        <vt:lpwstr/>
      </vt:variant>
      <vt:variant>
        <vt:i4>4128804</vt:i4>
      </vt:variant>
      <vt:variant>
        <vt:i4>39</vt:i4>
      </vt:variant>
      <vt:variant>
        <vt:i4>0</vt:i4>
      </vt:variant>
      <vt:variant>
        <vt:i4>5</vt:i4>
      </vt:variant>
      <vt:variant>
        <vt:lpwstr>https://undocs.org/en/A/CN.9/WG.III/WP.168</vt:lpwstr>
      </vt:variant>
      <vt:variant>
        <vt:lpwstr/>
      </vt:variant>
      <vt:variant>
        <vt:i4>5767196</vt:i4>
      </vt:variant>
      <vt:variant>
        <vt:i4>36</vt:i4>
      </vt:variant>
      <vt:variant>
        <vt:i4>0</vt:i4>
      </vt:variant>
      <vt:variant>
        <vt:i4>5</vt:i4>
      </vt:variant>
      <vt:variant>
        <vt:lpwstr>https://undocs.org/en/A/CN.9/1004</vt:lpwstr>
      </vt:variant>
      <vt:variant>
        <vt:lpwstr/>
      </vt:variant>
      <vt:variant>
        <vt:i4>5767196</vt:i4>
      </vt:variant>
      <vt:variant>
        <vt:i4>33</vt:i4>
      </vt:variant>
      <vt:variant>
        <vt:i4>0</vt:i4>
      </vt:variant>
      <vt:variant>
        <vt:i4>5</vt:i4>
      </vt:variant>
      <vt:variant>
        <vt:lpwstr>https://undocs.org/en/A/CN.9/1004</vt:lpwstr>
      </vt:variant>
      <vt:variant>
        <vt:lpwstr/>
      </vt:variant>
      <vt:variant>
        <vt:i4>5767196</vt:i4>
      </vt:variant>
      <vt:variant>
        <vt:i4>30</vt:i4>
      </vt:variant>
      <vt:variant>
        <vt:i4>0</vt:i4>
      </vt:variant>
      <vt:variant>
        <vt:i4>5</vt:i4>
      </vt:variant>
      <vt:variant>
        <vt:lpwstr>https://undocs.org/en/A/CN.9/1004</vt:lpwstr>
      </vt:variant>
      <vt:variant>
        <vt:lpwstr/>
      </vt:variant>
      <vt:variant>
        <vt:i4>5767196</vt:i4>
      </vt:variant>
      <vt:variant>
        <vt:i4>27</vt:i4>
      </vt:variant>
      <vt:variant>
        <vt:i4>0</vt:i4>
      </vt:variant>
      <vt:variant>
        <vt:i4>5</vt:i4>
      </vt:variant>
      <vt:variant>
        <vt:lpwstr>https://undocs.org/en/A/CN.9/1004</vt:lpwstr>
      </vt:variant>
      <vt:variant>
        <vt:lpwstr/>
      </vt:variant>
      <vt:variant>
        <vt:i4>5767196</vt:i4>
      </vt:variant>
      <vt:variant>
        <vt:i4>24</vt:i4>
      </vt:variant>
      <vt:variant>
        <vt:i4>0</vt:i4>
      </vt:variant>
      <vt:variant>
        <vt:i4>5</vt:i4>
      </vt:variant>
      <vt:variant>
        <vt:lpwstr>https://undocs.org/en/A/CN.9/1004</vt:lpwstr>
      </vt:variant>
      <vt:variant>
        <vt:lpwstr/>
      </vt:variant>
      <vt:variant>
        <vt:i4>4128804</vt:i4>
      </vt:variant>
      <vt:variant>
        <vt:i4>21</vt:i4>
      </vt:variant>
      <vt:variant>
        <vt:i4>0</vt:i4>
      </vt:variant>
      <vt:variant>
        <vt:i4>5</vt:i4>
      </vt:variant>
      <vt:variant>
        <vt:lpwstr>https://undocs.org/en/A/CN.9/WG.III/WP.168</vt:lpwstr>
      </vt:variant>
      <vt:variant>
        <vt:lpwstr/>
      </vt:variant>
      <vt:variant>
        <vt:i4>5767196</vt:i4>
      </vt:variant>
      <vt:variant>
        <vt:i4>18</vt:i4>
      </vt:variant>
      <vt:variant>
        <vt:i4>0</vt:i4>
      </vt:variant>
      <vt:variant>
        <vt:i4>5</vt:i4>
      </vt:variant>
      <vt:variant>
        <vt:lpwstr>https://undocs.org/en/A/CN.9/1004</vt:lpwstr>
      </vt:variant>
      <vt:variant>
        <vt:lpwstr/>
      </vt:variant>
      <vt:variant>
        <vt:i4>5767196</vt:i4>
      </vt:variant>
      <vt:variant>
        <vt:i4>15</vt:i4>
      </vt:variant>
      <vt:variant>
        <vt:i4>0</vt:i4>
      </vt:variant>
      <vt:variant>
        <vt:i4>5</vt:i4>
      </vt:variant>
      <vt:variant>
        <vt:lpwstr>https://undocs.org/en/A/CN.9/1004</vt:lpwstr>
      </vt:variant>
      <vt:variant>
        <vt:lpwstr/>
      </vt:variant>
      <vt:variant>
        <vt:i4>5963847</vt:i4>
      </vt:variant>
      <vt:variant>
        <vt:i4>12</vt:i4>
      </vt:variant>
      <vt:variant>
        <vt:i4>0</vt:i4>
      </vt:variant>
      <vt:variant>
        <vt:i4>5</vt:i4>
      </vt:variant>
      <vt:variant>
        <vt:lpwstr>http://undocs.org/A/CN.9/970</vt:lpwstr>
      </vt:variant>
      <vt:variant>
        <vt:lpwstr/>
      </vt:variant>
      <vt:variant>
        <vt:i4>5963847</vt:i4>
      </vt:variant>
      <vt:variant>
        <vt:i4>9</vt:i4>
      </vt:variant>
      <vt:variant>
        <vt:i4>0</vt:i4>
      </vt:variant>
      <vt:variant>
        <vt:i4>5</vt:i4>
      </vt:variant>
      <vt:variant>
        <vt:lpwstr>http://undocs.org/A/CN.9/970</vt:lpwstr>
      </vt:variant>
      <vt:variant>
        <vt:lpwstr/>
      </vt:variant>
      <vt:variant>
        <vt:i4>6225990</vt:i4>
      </vt:variant>
      <vt:variant>
        <vt:i4>6</vt:i4>
      </vt:variant>
      <vt:variant>
        <vt:i4>0</vt:i4>
      </vt:variant>
      <vt:variant>
        <vt:i4>5</vt:i4>
      </vt:variant>
      <vt:variant>
        <vt:lpwstr>http://undocs.org/A/CN.9/964</vt:lpwstr>
      </vt:variant>
      <vt:variant>
        <vt:lpwstr/>
      </vt:variant>
      <vt:variant>
        <vt:i4>6160451</vt:i4>
      </vt:variant>
      <vt:variant>
        <vt:i4>3</vt:i4>
      </vt:variant>
      <vt:variant>
        <vt:i4>0</vt:i4>
      </vt:variant>
      <vt:variant>
        <vt:i4>5</vt:i4>
      </vt:variant>
      <vt:variant>
        <vt:lpwstr>http://undocs.org/A/CN.9/935</vt:lpwstr>
      </vt:variant>
      <vt:variant>
        <vt:lpwstr/>
      </vt:variant>
      <vt:variant>
        <vt:i4>7208999</vt:i4>
      </vt:variant>
      <vt:variant>
        <vt:i4>0</vt:i4>
      </vt:variant>
      <vt:variant>
        <vt:i4>0</vt:i4>
      </vt:variant>
      <vt:variant>
        <vt:i4>5</vt:i4>
      </vt:variant>
      <vt:variant>
        <vt:lpwstr>http://undocs.org/A/CN.9/930/Rev.1</vt:lpwstr>
      </vt:variant>
      <vt:variant>
        <vt:lpwstr/>
      </vt:variant>
      <vt:variant>
        <vt:i4>5242955</vt:i4>
      </vt:variant>
      <vt:variant>
        <vt:i4>108</vt:i4>
      </vt:variant>
      <vt:variant>
        <vt:i4>0</vt:i4>
      </vt:variant>
      <vt:variant>
        <vt:i4>5</vt:i4>
      </vt:variant>
      <vt:variant>
        <vt:lpwstr>https://www.acwl.ch/download/basic_documents/agreement_establishing_the_ACWL/Agreement_estab_ACWL.pdf</vt:lpwstr>
      </vt:variant>
      <vt:variant>
        <vt:lpwstr/>
      </vt:variant>
      <vt:variant>
        <vt:i4>4718595</vt:i4>
      </vt:variant>
      <vt:variant>
        <vt:i4>105</vt:i4>
      </vt:variant>
      <vt:variant>
        <vt:i4>0</vt:i4>
      </vt:variant>
      <vt:variant>
        <vt:i4>5</vt:i4>
      </vt:variant>
      <vt:variant>
        <vt:lpwstr>https://unstats.un.org/unsd/methodology/m49/</vt:lpwstr>
      </vt:variant>
      <vt:variant>
        <vt:lpwstr/>
      </vt:variant>
      <vt:variant>
        <vt:i4>589915</vt:i4>
      </vt:variant>
      <vt:variant>
        <vt:i4>102</vt:i4>
      </vt:variant>
      <vt:variant>
        <vt:i4>0</vt:i4>
      </vt:variant>
      <vt:variant>
        <vt:i4>5</vt:i4>
      </vt:variant>
      <vt:variant>
        <vt:lpwstr>https://www.un.org/development/desa/dpad/wp-content/uploads/sites/45/CDP-2020-Criteria-review-outcome.pdf</vt:lpwstr>
      </vt:variant>
      <vt:variant>
        <vt:lpwstr/>
      </vt:variant>
      <vt:variant>
        <vt:i4>4128810</vt:i4>
      </vt:variant>
      <vt:variant>
        <vt:i4>99</vt:i4>
      </vt:variant>
      <vt:variant>
        <vt:i4>0</vt:i4>
      </vt:variant>
      <vt:variant>
        <vt:i4>5</vt:i4>
      </vt:variant>
      <vt:variant>
        <vt:lpwstr>https://undocs.org/en/A/CN.9/WG.III/WP.188</vt:lpwstr>
      </vt:variant>
      <vt:variant>
        <vt:lpwstr/>
      </vt:variant>
      <vt:variant>
        <vt:i4>3866745</vt:i4>
      </vt:variant>
      <vt:variant>
        <vt:i4>96</vt:i4>
      </vt:variant>
      <vt:variant>
        <vt:i4>0</vt:i4>
      </vt:variant>
      <vt:variant>
        <vt:i4>5</vt:i4>
      </vt:variant>
      <vt:variant>
        <vt:lpwstr>http://undocs.org/A/CN.9/WG.III/WP.177</vt:lpwstr>
      </vt:variant>
      <vt:variant>
        <vt:lpwstr/>
      </vt:variant>
      <vt:variant>
        <vt:i4>3407993</vt:i4>
      </vt:variant>
      <vt:variant>
        <vt:i4>93</vt:i4>
      </vt:variant>
      <vt:variant>
        <vt:i4>0</vt:i4>
      </vt:variant>
      <vt:variant>
        <vt:i4>5</vt:i4>
      </vt:variant>
      <vt:variant>
        <vt:lpwstr>http://undocs.org/A/CN.9/WG.III/WP.178</vt:lpwstr>
      </vt:variant>
      <vt:variant>
        <vt:lpwstr/>
      </vt:variant>
      <vt:variant>
        <vt:i4>3670136</vt:i4>
      </vt:variant>
      <vt:variant>
        <vt:i4>90</vt:i4>
      </vt:variant>
      <vt:variant>
        <vt:i4>0</vt:i4>
      </vt:variant>
      <vt:variant>
        <vt:i4>5</vt:i4>
      </vt:variant>
      <vt:variant>
        <vt:lpwstr>http://undocs.org/A/CN.9/WG.III/WP.164</vt:lpwstr>
      </vt:variant>
      <vt:variant>
        <vt:lpwstr/>
      </vt:variant>
      <vt:variant>
        <vt:i4>4063352</vt:i4>
      </vt:variant>
      <vt:variant>
        <vt:i4>87</vt:i4>
      </vt:variant>
      <vt:variant>
        <vt:i4>0</vt:i4>
      </vt:variant>
      <vt:variant>
        <vt:i4>5</vt:i4>
      </vt:variant>
      <vt:variant>
        <vt:lpwstr>http://undocs.org/A/CN.9/WG.III/WP.162</vt:lpwstr>
      </vt:variant>
      <vt:variant>
        <vt:lpwstr/>
      </vt:variant>
      <vt:variant>
        <vt:i4>3866745</vt:i4>
      </vt:variant>
      <vt:variant>
        <vt:i4>84</vt:i4>
      </vt:variant>
      <vt:variant>
        <vt:i4>0</vt:i4>
      </vt:variant>
      <vt:variant>
        <vt:i4>5</vt:i4>
      </vt:variant>
      <vt:variant>
        <vt:lpwstr>http://undocs.org/A/CN.9/WG.III/WP.177</vt:lpwstr>
      </vt:variant>
      <vt:variant>
        <vt:lpwstr/>
      </vt:variant>
      <vt:variant>
        <vt:i4>720925</vt:i4>
      </vt:variant>
      <vt:variant>
        <vt:i4>81</vt:i4>
      </vt:variant>
      <vt:variant>
        <vt:i4>0</vt:i4>
      </vt:variant>
      <vt:variant>
        <vt:i4>5</vt:i4>
      </vt:variant>
      <vt:variant>
        <vt:lpwstr>https://uncitral.un.org/en/library/online_resources/investor-state_dispute</vt:lpwstr>
      </vt:variant>
      <vt:variant>
        <vt:lpwstr/>
      </vt:variant>
      <vt:variant>
        <vt:i4>3407914</vt:i4>
      </vt:variant>
      <vt:variant>
        <vt:i4>78</vt:i4>
      </vt:variant>
      <vt:variant>
        <vt:i4>0</vt:i4>
      </vt:variant>
      <vt:variant>
        <vt:i4>5</vt:i4>
      </vt:variant>
      <vt:variant>
        <vt:lpwstr>https://undocs.org/en/A/CN.9/WG.III/WP.183</vt:lpwstr>
      </vt:variant>
      <vt:variant>
        <vt:lpwstr/>
      </vt:variant>
      <vt:variant>
        <vt:i4>4128810</vt:i4>
      </vt:variant>
      <vt:variant>
        <vt:i4>75</vt:i4>
      </vt:variant>
      <vt:variant>
        <vt:i4>0</vt:i4>
      </vt:variant>
      <vt:variant>
        <vt:i4>5</vt:i4>
      </vt:variant>
      <vt:variant>
        <vt:lpwstr>https://undocs.org/en/A/CN.9/WG.III/WP.188</vt:lpwstr>
      </vt:variant>
      <vt:variant>
        <vt:lpwstr/>
      </vt:variant>
      <vt:variant>
        <vt:i4>3407993</vt:i4>
      </vt:variant>
      <vt:variant>
        <vt:i4>72</vt:i4>
      </vt:variant>
      <vt:variant>
        <vt:i4>0</vt:i4>
      </vt:variant>
      <vt:variant>
        <vt:i4>5</vt:i4>
      </vt:variant>
      <vt:variant>
        <vt:lpwstr>http://undocs.org/A/CN.9/WG.III/WP.178</vt:lpwstr>
      </vt:variant>
      <vt:variant>
        <vt:lpwstr/>
      </vt:variant>
      <vt:variant>
        <vt:i4>3670136</vt:i4>
      </vt:variant>
      <vt:variant>
        <vt:i4>69</vt:i4>
      </vt:variant>
      <vt:variant>
        <vt:i4>0</vt:i4>
      </vt:variant>
      <vt:variant>
        <vt:i4>5</vt:i4>
      </vt:variant>
      <vt:variant>
        <vt:lpwstr>http://undocs.org/A/CN.9/WG.III/WP.164</vt:lpwstr>
      </vt:variant>
      <vt:variant>
        <vt:lpwstr/>
      </vt:variant>
      <vt:variant>
        <vt:i4>3407914</vt:i4>
      </vt:variant>
      <vt:variant>
        <vt:i4>66</vt:i4>
      </vt:variant>
      <vt:variant>
        <vt:i4>0</vt:i4>
      </vt:variant>
      <vt:variant>
        <vt:i4>5</vt:i4>
      </vt:variant>
      <vt:variant>
        <vt:lpwstr>https://undocs.org/en/A/CN.9/WG.III/WP.183</vt:lpwstr>
      </vt:variant>
      <vt:variant>
        <vt:lpwstr/>
      </vt:variant>
      <vt:variant>
        <vt:i4>4128810</vt:i4>
      </vt:variant>
      <vt:variant>
        <vt:i4>63</vt:i4>
      </vt:variant>
      <vt:variant>
        <vt:i4>0</vt:i4>
      </vt:variant>
      <vt:variant>
        <vt:i4>5</vt:i4>
      </vt:variant>
      <vt:variant>
        <vt:lpwstr>https://undocs.org/en/A/CN.9/WG.III/WP.188</vt:lpwstr>
      </vt:variant>
      <vt:variant>
        <vt:lpwstr/>
      </vt:variant>
      <vt:variant>
        <vt:i4>3866745</vt:i4>
      </vt:variant>
      <vt:variant>
        <vt:i4>60</vt:i4>
      </vt:variant>
      <vt:variant>
        <vt:i4>0</vt:i4>
      </vt:variant>
      <vt:variant>
        <vt:i4>5</vt:i4>
      </vt:variant>
      <vt:variant>
        <vt:lpwstr>http://undocs.org/A/CN.9/WG.III/WP.177</vt:lpwstr>
      </vt:variant>
      <vt:variant>
        <vt:lpwstr/>
      </vt:variant>
      <vt:variant>
        <vt:i4>3407993</vt:i4>
      </vt:variant>
      <vt:variant>
        <vt:i4>57</vt:i4>
      </vt:variant>
      <vt:variant>
        <vt:i4>0</vt:i4>
      </vt:variant>
      <vt:variant>
        <vt:i4>5</vt:i4>
      </vt:variant>
      <vt:variant>
        <vt:lpwstr>http://undocs.org/A/CN.9/WG.III/WP.178</vt:lpwstr>
      </vt:variant>
      <vt:variant>
        <vt:lpwstr/>
      </vt:variant>
      <vt:variant>
        <vt:i4>3670136</vt:i4>
      </vt:variant>
      <vt:variant>
        <vt:i4>54</vt:i4>
      </vt:variant>
      <vt:variant>
        <vt:i4>0</vt:i4>
      </vt:variant>
      <vt:variant>
        <vt:i4>5</vt:i4>
      </vt:variant>
      <vt:variant>
        <vt:lpwstr>http://undocs.org/A/CN.9/WG.III/WP.164</vt:lpwstr>
      </vt:variant>
      <vt:variant>
        <vt:lpwstr/>
      </vt:variant>
      <vt:variant>
        <vt:i4>4063352</vt:i4>
      </vt:variant>
      <vt:variant>
        <vt:i4>51</vt:i4>
      </vt:variant>
      <vt:variant>
        <vt:i4>0</vt:i4>
      </vt:variant>
      <vt:variant>
        <vt:i4>5</vt:i4>
      </vt:variant>
      <vt:variant>
        <vt:lpwstr>http://undocs.org/A/CN.9/WG.III/WP.162</vt:lpwstr>
      </vt:variant>
      <vt:variant>
        <vt:lpwstr/>
      </vt:variant>
      <vt:variant>
        <vt:i4>3538980</vt:i4>
      </vt:variant>
      <vt:variant>
        <vt:i4>48</vt:i4>
      </vt:variant>
      <vt:variant>
        <vt:i4>0</vt:i4>
      </vt:variant>
      <vt:variant>
        <vt:i4>5</vt:i4>
      </vt:variant>
      <vt:variant>
        <vt:lpwstr>https://undocs.org/en/A/CN.9/WG.III/WP.161</vt:lpwstr>
      </vt:variant>
      <vt:variant>
        <vt:lpwstr/>
      </vt:variant>
      <vt:variant>
        <vt:i4>5767196</vt:i4>
      </vt:variant>
      <vt:variant>
        <vt:i4>45</vt:i4>
      </vt:variant>
      <vt:variant>
        <vt:i4>0</vt:i4>
      </vt:variant>
      <vt:variant>
        <vt:i4>5</vt:i4>
      </vt:variant>
      <vt:variant>
        <vt:lpwstr>https://undocs.org/en/A/CN.9/1004</vt:lpwstr>
      </vt:variant>
      <vt:variant>
        <vt:lpwstr/>
      </vt:variant>
      <vt:variant>
        <vt:i4>7405664</vt:i4>
      </vt:variant>
      <vt:variant>
        <vt:i4>42</vt:i4>
      </vt:variant>
      <vt:variant>
        <vt:i4>0</vt:i4>
      </vt:variant>
      <vt:variant>
        <vt:i4>5</vt:i4>
      </vt:variant>
      <vt:variant>
        <vt:lpwstr>https://uncitral.un.org/sites/uncitral.un.org/files/media-documents/uncitral/en/securingadequatedefense.pdf</vt:lpwstr>
      </vt:variant>
      <vt:variant>
        <vt:lpwstr/>
      </vt:variant>
      <vt:variant>
        <vt:i4>5767196</vt:i4>
      </vt:variant>
      <vt:variant>
        <vt:i4>39</vt:i4>
      </vt:variant>
      <vt:variant>
        <vt:i4>0</vt:i4>
      </vt:variant>
      <vt:variant>
        <vt:i4>5</vt:i4>
      </vt:variant>
      <vt:variant>
        <vt:lpwstr>https://undocs.org/en/A/CN.9/1004</vt:lpwstr>
      </vt:variant>
      <vt:variant>
        <vt:lpwstr/>
      </vt:variant>
      <vt:variant>
        <vt:i4>7405664</vt:i4>
      </vt:variant>
      <vt:variant>
        <vt:i4>36</vt:i4>
      </vt:variant>
      <vt:variant>
        <vt:i4>0</vt:i4>
      </vt:variant>
      <vt:variant>
        <vt:i4>5</vt:i4>
      </vt:variant>
      <vt:variant>
        <vt:lpwstr>https://uncitral.un.org/sites/uncitral.un.org/files/media-documents/uncitral/en/securingadequatedefense.pdf</vt:lpwstr>
      </vt:variant>
      <vt:variant>
        <vt:lpwstr/>
      </vt:variant>
      <vt:variant>
        <vt:i4>7405664</vt:i4>
      </vt:variant>
      <vt:variant>
        <vt:i4>33</vt:i4>
      </vt:variant>
      <vt:variant>
        <vt:i4>0</vt:i4>
      </vt:variant>
      <vt:variant>
        <vt:i4>5</vt:i4>
      </vt:variant>
      <vt:variant>
        <vt:lpwstr>https://uncitral.un.org/sites/uncitral.un.org/files/media-documents/uncitral/en/securingadequatedefense.pdf</vt:lpwstr>
      </vt:variant>
      <vt:variant>
        <vt:lpwstr/>
      </vt:variant>
      <vt:variant>
        <vt:i4>3407914</vt:i4>
      </vt:variant>
      <vt:variant>
        <vt:i4>30</vt:i4>
      </vt:variant>
      <vt:variant>
        <vt:i4>0</vt:i4>
      </vt:variant>
      <vt:variant>
        <vt:i4>5</vt:i4>
      </vt:variant>
      <vt:variant>
        <vt:lpwstr>https://undocs.org/en/A/CN.9/WG.III/WP.183</vt:lpwstr>
      </vt:variant>
      <vt:variant>
        <vt:lpwstr/>
      </vt:variant>
      <vt:variant>
        <vt:i4>4128810</vt:i4>
      </vt:variant>
      <vt:variant>
        <vt:i4>27</vt:i4>
      </vt:variant>
      <vt:variant>
        <vt:i4>0</vt:i4>
      </vt:variant>
      <vt:variant>
        <vt:i4>5</vt:i4>
      </vt:variant>
      <vt:variant>
        <vt:lpwstr>https://undocs.org/en/A/CN.9/WG.III/WP.188</vt:lpwstr>
      </vt:variant>
      <vt:variant>
        <vt:lpwstr/>
      </vt:variant>
      <vt:variant>
        <vt:i4>3866745</vt:i4>
      </vt:variant>
      <vt:variant>
        <vt:i4>24</vt:i4>
      </vt:variant>
      <vt:variant>
        <vt:i4>0</vt:i4>
      </vt:variant>
      <vt:variant>
        <vt:i4>5</vt:i4>
      </vt:variant>
      <vt:variant>
        <vt:lpwstr>http://undocs.org/A/CN.9/WG.III/WP.177</vt:lpwstr>
      </vt:variant>
      <vt:variant>
        <vt:lpwstr/>
      </vt:variant>
      <vt:variant>
        <vt:i4>3407993</vt:i4>
      </vt:variant>
      <vt:variant>
        <vt:i4>21</vt:i4>
      </vt:variant>
      <vt:variant>
        <vt:i4>0</vt:i4>
      </vt:variant>
      <vt:variant>
        <vt:i4>5</vt:i4>
      </vt:variant>
      <vt:variant>
        <vt:lpwstr>http://undocs.org/A/CN.9/WG.III/WP.178</vt:lpwstr>
      </vt:variant>
      <vt:variant>
        <vt:lpwstr/>
      </vt:variant>
      <vt:variant>
        <vt:i4>3670136</vt:i4>
      </vt:variant>
      <vt:variant>
        <vt:i4>18</vt:i4>
      </vt:variant>
      <vt:variant>
        <vt:i4>0</vt:i4>
      </vt:variant>
      <vt:variant>
        <vt:i4>5</vt:i4>
      </vt:variant>
      <vt:variant>
        <vt:lpwstr>http://undocs.org/A/CN.9/WG.III/WP.164</vt:lpwstr>
      </vt:variant>
      <vt:variant>
        <vt:lpwstr/>
      </vt:variant>
      <vt:variant>
        <vt:i4>4063352</vt:i4>
      </vt:variant>
      <vt:variant>
        <vt:i4>15</vt:i4>
      </vt:variant>
      <vt:variant>
        <vt:i4>0</vt:i4>
      </vt:variant>
      <vt:variant>
        <vt:i4>5</vt:i4>
      </vt:variant>
      <vt:variant>
        <vt:lpwstr>http://undocs.org/A/CN.9/WG.III/WP.162</vt:lpwstr>
      </vt:variant>
      <vt:variant>
        <vt:lpwstr/>
      </vt:variant>
      <vt:variant>
        <vt:i4>3538980</vt:i4>
      </vt:variant>
      <vt:variant>
        <vt:i4>12</vt:i4>
      </vt:variant>
      <vt:variant>
        <vt:i4>0</vt:i4>
      </vt:variant>
      <vt:variant>
        <vt:i4>5</vt:i4>
      </vt:variant>
      <vt:variant>
        <vt:lpwstr>https://undocs.org/en/A/CN.9/WG.III/WP.161</vt:lpwstr>
      </vt:variant>
      <vt:variant>
        <vt:lpwstr/>
      </vt:variant>
      <vt:variant>
        <vt:i4>720925</vt:i4>
      </vt:variant>
      <vt:variant>
        <vt:i4>9</vt:i4>
      </vt:variant>
      <vt:variant>
        <vt:i4>0</vt:i4>
      </vt:variant>
      <vt:variant>
        <vt:i4>5</vt:i4>
      </vt:variant>
      <vt:variant>
        <vt:lpwstr>https://uncitral.un.org/en/library/online_resources/investor-state_dispute</vt:lpwstr>
      </vt:variant>
      <vt:variant>
        <vt:lpwstr/>
      </vt:variant>
      <vt:variant>
        <vt:i4>7405664</vt:i4>
      </vt:variant>
      <vt:variant>
        <vt:i4>6</vt:i4>
      </vt:variant>
      <vt:variant>
        <vt:i4>0</vt:i4>
      </vt:variant>
      <vt:variant>
        <vt:i4>5</vt:i4>
      </vt:variant>
      <vt:variant>
        <vt:lpwstr>https://uncitral.un.org/sites/uncitral.un.org/files/media-documents/uncitral/en/securingadequatedefense.pdf</vt:lpwstr>
      </vt:variant>
      <vt:variant>
        <vt:lpwstr/>
      </vt:variant>
      <vt:variant>
        <vt:i4>3211300</vt:i4>
      </vt:variant>
      <vt:variant>
        <vt:i4>3</vt:i4>
      </vt:variant>
      <vt:variant>
        <vt:i4>0</vt:i4>
      </vt:variant>
      <vt:variant>
        <vt:i4>5</vt:i4>
      </vt:variant>
      <vt:variant>
        <vt:lpwstr>https://undocs.org/en/A/CN.9/WG.III/WP.166</vt:lpwstr>
      </vt:variant>
      <vt:variant>
        <vt:lpwstr/>
      </vt:variant>
      <vt:variant>
        <vt:i4>393226</vt:i4>
      </vt:variant>
      <vt:variant>
        <vt:i4>0</vt:i4>
      </vt:variant>
      <vt:variant>
        <vt:i4>0</vt:i4>
      </vt:variant>
      <vt:variant>
        <vt:i4>5</vt:i4>
      </vt:variant>
      <vt:variant>
        <vt:lpwstr>http://undocs.org/A/72/17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Tova-Anne Marr</dc:creator>
  <cp:keywords>UNCITRAL</cp:keywords>
  <dc:description/>
  <cp:lastModifiedBy>Anne Cathrine Mostad-Jensen</cp:lastModifiedBy>
  <cp:revision>3</cp:revision>
  <cp:lastPrinted>2020-10-20T11:18:00Z</cp:lastPrinted>
  <dcterms:created xsi:type="dcterms:W3CDTF">2021-03-03T10:10:00Z</dcterms:created>
  <dcterms:modified xsi:type="dcterms:W3CDTF">2021-03-03T10:14:00Z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1907888</vt:lpwstr>
  </property>
  <property fmtid="{D5CDD505-2E9C-101B-9397-08002B2CF9AE}" pid="3" name="ODSRefJobNo">
    <vt:lpwstr>1907888E</vt:lpwstr>
  </property>
  <property fmtid="{D5CDD505-2E9C-101B-9397-08002B2CF9AE}" pid="4" name="Symbol1">
    <vt:lpwstr>A/CN.9/WG.III/WP.168</vt:lpwstr>
  </property>
  <property fmtid="{D5CDD505-2E9C-101B-9397-08002B2CF9AE}" pid="5" name="Symbol2">
    <vt:lpwstr/>
  </property>
  <property fmtid="{D5CDD505-2E9C-101B-9397-08002B2CF9AE}" pid="6" name="Translator">
    <vt:lpwstr/>
  </property>
  <property fmtid="{D5CDD505-2E9C-101B-9397-08002B2CF9AE}" pid="7" name="Operator">
    <vt:lpwstr>TM</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25 July 2019</vt:lpwstr>
  </property>
  <property fmtid="{D5CDD505-2E9C-101B-9397-08002B2CF9AE}" pid="12" name="Original">
    <vt:lpwstr>English</vt:lpwstr>
  </property>
  <property fmtid="{D5CDD505-2E9C-101B-9397-08002B2CF9AE}" pid="13" name="Release Date">
    <vt:lpwstr>260719</vt:lpwstr>
  </property>
  <property fmtid="{D5CDD505-2E9C-101B-9397-08002B2CF9AE}" pid="14" name="ContentTypeId">
    <vt:lpwstr>0x010100AA713ACA63DD394791487D01BCF16E1F</vt:lpwstr>
  </property>
</Properties>
</file>