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EBE89" w14:textId="77777777" w:rsidR="00D713A4" w:rsidRPr="00972A05" w:rsidRDefault="00D713A4" w:rsidP="00D713A4">
      <w:pPr>
        <w:spacing w:line="240" w:lineRule="auto"/>
        <w:rPr>
          <w:sz w:val="2"/>
        </w:rPr>
        <w:sectPr w:rsidR="00D713A4" w:rsidRPr="00972A05" w:rsidSect="00EA095C">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pgMar w:top="1440" w:right="1032" w:bottom="1757" w:left="1032" w:header="432" w:footer="504" w:gutter="0"/>
          <w:cols w:space="720"/>
          <w:titlePg/>
          <w:docGrid w:linePitch="360"/>
        </w:sectPr>
      </w:pPr>
    </w:p>
    <w:tbl>
      <w:tblPr>
        <w:tblW w:w="9841" w:type="dxa"/>
        <w:tblLayout w:type="fixed"/>
        <w:tblLook w:val="0000" w:firstRow="0" w:lastRow="0" w:firstColumn="0" w:lastColumn="0" w:noHBand="0" w:noVBand="0"/>
      </w:tblPr>
      <w:tblGrid>
        <w:gridCol w:w="4893"/>
        <w:gridCol w:w="288"/>
        <w:gridCol w:w="4660"/>
      </w:tblGrid>
      <w:tr w:rsidR="00D713A4" w:rsidRPr="00972A05" w14:paraId="202B1448" w14:textId="77777777" w:rsidTr="00D713A4">
        <w:tc>
          <w:tcPr>
            <w:tcW w:w="4893" w:type="dxa"/>
            <w:shd w:val="clear" w:color="auto" w:fill="auto"/>
          </w:tcPr>
          <w:p w14:paraId="562B4BA7" w14:textId="5CB2A71C" w:rsidR="00EA095C" w:rsidRPr="00EA095C" w:rsidRDefault="00EA095C" w:rsidP="00EA095C">
            <w:pPr>
              <w:pStyle w:val="H1"/>
              <w:ind w:left="0" w:right="0" w:firstLine="0"/>
            </w:pPr>
            <w:r w:rsidRPr="00EA095C">
              <w:t>United Nations Commission on</w:t>
            </w:r>
            <w:r>
              <w:br/>
            </w:r>
            <w:r w:rsidRPr="00EA095C">
              <w:t>International Trade Law</w:t>
            </w:r>
          </w:p>
          <w:p w14:paraId="56023024" w14:textId="77777777" w:rsidR="00EA095C" w:rsidRPr="00EA095C" w:rsidRDefault="00EA095C" w:rsidP="00EA095C">
            <w:pPr>
              <w:pStyle w:val="H23"/>
              <w:ind w:left="0" w:right="0" w:firstLine="0"/>
            </w:pPr>
            <w:r w:rsidRPr="00EA095C">
              <w:t>Working Group III (Investor-State Dispute Settlement Reform)</w:t>
            </w:r>
          </w:p>
          <w:p w14:paraId="2CFDB331" w14:textId="1A020BE3" w:rsidR="00EA095C" w:rsidRPr="00EA095C" w:rsidRDefault="00165BF9" w:rsidP="00EA095C">
            <w:pPr>
              <w:pStyle w:val="H23"/>
              <w:ind w:left="0" w:right="0" w:firstLine="0"/>
            </w:pPr>
            <w:r>
              <w:t>-----</w:t>
            </w:r>
            <w:r w:rsidR="00B9030E">
              <w:t>----</w:t>
            </w:r>
            <w:r w:rsidR="00EA095C" w:rsidRPr="00EA095C">
              <w:t xml:space="preserve"> session </w:t>
            </w:r>
          </w:p>
          <w:p w14:paraId="78F54D94" w14:textId="487C46E1" w:rsidR="00D713A4" w:rsidRPr="00EA095C" w:rsidRDefault="00165BF9" w:rsidP="00EA095C">
            <w:pPr>
              <w:pStyle w:val="H23"/>
              <w:ind w:left="0" w:right="0" w:firstLine="0"/>
              <w:rPr>
                <w:b w:val="0"/>
              </w:rPr>
            </w:pPr>
            <w:r>
              <w:rPr>
                <w:b w:val="0"/>
              </w:rPr>
              <w:t>-------</w:t>
            </w:r>
            <w:r w:rsidR="00EA095C" w:rsidRPr="00EA095C">
              <w:rPr>
                <w:b w:val="0"/>
              </w:rPr>
              <w:t xml:space="preserve">, </w:t>
            </w:r>
            <w:r>
              <w:rPr>
                <w:b w:val="0"/>
              </w:rPr>
              <w:t>----------------------</w:t>
            </w:r>
          </w:p>
        </w:tc>
        <w:tc>
          <w:tcPr>
            <w:tcW w:w="288" w:type="dxa"/>
            <w:shd w:val="clear" w:color="auto" w:fill="auto"/>
          </w:tcPr>
          <w:p w14:paraId="75AE1761" w14:textId="77777777" w:rsidR="00D713A4" w:rsidRPr="00972A05" w:rsidRDefault="00D713A4" w:rsidP="00D713A4">
            <w:pPr>
              <w:pStyle w:val="H1"/>
              <w:ind w:left="0" w:firstLine="0"/>
            </w:pPr>
          </w:p>
        </w:tc>
        <w:tc>
          <w:tcPr>
            <w:tcW w:w="4660" w:type="dxa"/>
            <w:shd w:val="clear" w:color="auto" w:fill="auto"/>
          </w:tcPr>
          <w:p w14:paraId="32C3E4BE" w14:textId="77777777" w:rsidR="00D713A4" w:rsidRPr="00972A05" w:rsidRDefault="00D713A4" w:rsidP="00D713A4">
            <w:pPr>
              <w:pStyle w:val="H1"/>
              <w:ind w:left="0" w:firstLine="0"/>
            </w:pPr>
          </w:p>
        </w:tc>
      </w:tr>
      <w:tr w:rsidR="00D713A4" w:rsidRPr="00972A05" w14:paraId="5681509D" w14:textId="77777777" w:rsidTr="00D713A4">
        <w:tc>
          <w:tcPr>
            <w:tcW w:w="4893" w:type="dxa"/>
            <w:shd w:val="clear" w:color="auto" w:fill="auto"/>
          </w:tcPr>
          <w:p w14:paraId="2FB5DE08" w14:textId="77777777" w:rsidR="00D713A4" w:rsidRPr="004A09BE" w:rsidRDefault="00D713A4" w:rsidP="00D713A4">
            <w:pPr>
              <w:pStyle w:val="H1"/>
              <w:ind w:left="0" w:firstLine="0"/>
              <w:rPr>
                <w:b w:val="0"/>
                <w:bCs/>
              </w:rPr>
            </w:pPr>
          </w:p>
        </w:tc>
        <w:tc>
          <w:tcPr>
            <w:tcW w:w="288" w:type="dxa"/>
            <w:shd w:val="clear" w:color="auto" w:fill="auto"/>
          </w:tcPr>
          <w:p w14:paraId="6F13A482" w14:textId="77777777" w:rsidR="00D713A4" w:rsidRPr="00972A05" w:rsidRDefault="00D713A4" w:rsidP="00D713A4">
            <w:pPr>
              <w:pStyle w:val="H1"/>
              <w:ind w:left="0" w:firstLine="0"/>
            </w:pPr>
          </w:p>
        </w:tc>
        <w:tc>
          <w:tcPr>
            <w:tcW w:w="4660" w:type="dxa"/>
            <w:shd w:val="clear" w:color="auto" w:fill="auto"/>
          </w:tcPr>
          <w:p w14:paraId="5F9AF3A1" w14:textId="77777777" w:rsidR="00D713A4" w:rsidRPr="00972A05" w:rsidRDefault="00D713A4" w:rsidP="00D713A4">
            <w:pPr>
              <w:pStyle w:val="H1"/>
              <w:ind w:left="0" w:firstLine="0"/>
            </w:pPr>
          </w:p>
        </w:tc>
      </w:tr>
    </w:tbl>
    <w:p w14:paraId="39FE6ACE" w14:textId="7995C032" w:rsidR="00EA095C" w:rsidRPr="00EA095C" w:rsidRDefault="00EA095C" w:rsidP="00EA095C">
      <w:pPr>
        <w:pStyle w:val="SingleTxt"/>
        <w:spacing w:after="0" w:line="120" w:lineRule="atLeast"/>
        <w:rPr>
          <w:sz w:val="10"/>
        </w:rPr>
      </w:pPr>
    </w:p>
    <w:p w14:paraId="06903033" w14:textId="77777777" w:rsidR="00EA095C" w:rsidRPr="00EA095C" w:rsidRDefault="00EA095C" w:rsidP="00EA095C">
      <w:pPr>
        <w:pStyle w:val="HCh"/>
      </w:pPr>
      <w:r w:rsidRPr="00EA095C">
        <w:tab/>
      </w:r>
      <w:r w:rsidRPr="00EA095C">
        <w:tab/>
        <w:t xml:space="preserve">Possible reform of investor-State dispute settlement (ISDS) </w:t>
      </w:r>
    </w:p>
    <w:p w14:paraId="6495B5B8" w14:textId="41918E1A" w:rsidR="00EA095C" w:rsidRPr="00EA095C" w:rsidRDefault="00EA095C" w:rsidP="00EA095C">
      <w:pPr>
        <w:pStyle w:val="SingleTxt"/>
        <w:spacing w:after="0" w:line="120" w:lineRule="atLeast"/>
        <w:rPr>
          <w:b/>
          <w:sz w:val="10"/>
        </w:rPr>
      </w:pPr>
    </w:p>
    <w:p w14:paraId="08054089" w14:textId="4C89727A" w:rsidR="00EA095C" w:rsidRPr="00EA095C" w:rsidRDefault="00EA095C" w:rsidP="00EA095C">
      <w:pPr>
        <w:pStyle w:val="SingleTxt"/>
        <w:spacing w:after="0" w:line="120" w:lineRule="atLeast"/>
        <w:rPr>
          <w:b/>
          <w:sz w:val="10"/>
        </w:rPr>
      </w:pPr>
    </w:p>
    <w:p w14:paraId="06B96557" w14:textId="041573AE" w:rsidR="00EA095C" w:rsidRPr="00EA095C" w:rsidRDefault="00EA095C" w:rsidP="002F654A">
      <w:pPr>
        <w:pStyle w:val="HCh"/>
      </w:pPr>
      <w:r w:rsidRPr="00EA095C">
        <w:tab/>
      </w:r>
      <w:r w:rsidRPr="00EA095C">
        <w:tab/>
      </w:r>
      <w:r w:rsidR="00CD4ABE">
        <w:t>Selection and appointment of ISDS tribunal members</w:t>
      </w:r>
    </w:p>
    <w:p w14:paraId="11717A26" w14:textId="36966F22" w:rsidR="00EA095C" w:rsidRPr="00EA095C" w:rsidRDefault="00EA095C" w:rsidP="00EA095C">
      <w:pPr>
        <w:pStyle w:val="SingleTxt"/>
        <w:spacing w:after="0" w:line="120" w:lineRule="atLeast"/>
        <w:rPr>
          <w:b/>
          <w:sz w:val="10"/>
        </w:rPr>
      </w:pPr>
    </w:p>
    <w:p w14:paraId="4432341B" w14:textId="5505D7F5" w:rsidR="00EA095C" w:rsidRPr="00EA095C" w:rsidRDefault="00EA095C" w:rsidP="00EA095C">
      <w:pPr>
        <w:pStyle w:val="SingleTxt"/>
        <w:spacing w:after="0" w:line="120" w:lineRule="atLeast"/>
        <w:rPr>
          <w:b/>
          <w:sz w:val="10"/>
        </w:rPr>
      </w:pPr>
    </w:p>
    <w:p w14:paraId="2B1D14C3" w14:textId="77777777" w:rsidR="00EA095C" w:rsidRPr="00EA095C" w:rsidRDefault="00EA095C" w:rsidP="002F654A">
      <w:pPr>
        <w:pStyle w:val="H1"/>
      </w:pPr>
      <w:r w:rsidRPr="00EA095C">
        <w:tab/>
      </w:r>
      <w:r w:rsidRPr="00EA095C">
        <w:tab/>
        <w:t>Note by the Secretariat</w:t>
      </w:r>
    </w:p>
    <w:p w14:paraId="15B23AA9" w14:textId="41EEFC8F" w:rsidR="00EA095C" w:rsidRPr="004A09BE" w:rsidRDefault="00EA095C" w:rsidP="004A09BE">
      <w:pPr>
        <w:pStyle w:val="SingleTxt"/>
        <w:spacing w:after="0" w:line="120" w:lineRule="atLeast"/>
        <w:rPr>
          <w:sz w:val="10"/>
        </w:rPr>
      </w:pPr>
    </w:p>
    <w:p w14:paraId="085BC388" w14:textId="4368FA1E" w:rsidR="004A09BE" w:rsidRPr="004A09BE" w:rsidRDefault="004A09BE" w:rsidP="004A09BE">
      <w:pPr>
        <w:pStyle w:val="SingleTxt"/>
        <w:spacing w:after="0" w:line="120" w:lineRule="atLeast"/>
        <w:rPr>
          <w:sz w:val="10"/>
        </w:rPr>
      </w:pPr>
    </w:p>
    <w:p w14:paraId="67F068B3" w14:textId="77777777" w:rsidR="00EA095C" w:rsidRPr="00EA095C" w:rsidRDefault="00EA095C" w:rsidP="00EA095C">
      <w:pPr>
        <w:pStyle w:val="HCh"/>
        <w:spacing w:after="120"/>
        <w:rPr>
          <w:b w:val="0"/>
        </w:rPr>
      </w:pPr>
      <w:r>
        <w:rPr>
          <w:b w:val="0"/>
        </w:rPr>
        <w:t>Contents</w:t>
      </w:r>
    </w:p>
    <w:tbl>
      <w:tblPr>
        <w:tblW w:w="9841" w:type="dxa"/>
        <w:tblLayout w:type="fixed"/>
        <w:tblCellMar>
          <w:left w:w="0" w:type="dxa"/>
          <w:right w:w="0" w:type="dxa"/>
        </w:tblCellMar>
        <w:tblLook w:val="0000" w:firstRow="0" w:lastRow="0" w:firstColumn="0" w:lastColumn="0" w:noHBand="0" w:noVBand="0"/>
      </w:tblPr>
      <w:tblGrid>
        <w:gridCol w:w="1060"/>
        <w:gridCol w:w="7160"/>
        <w:gridCol w:w="1136"/>
        <w:gridCol w:w="485"/>
      </w:tblGrid>
      <w:tr w:rsidR="00D634C0" w:rsidRPr="00EA095C" w14:paraId="737019E0" w14:textId="77777777" w:rsidTr="009460C5">
        <w:tc>
          <w:tcPr>
            <w:tcW w:w="1060" w:type="dxa"/>
            <w:shd w:val="clear" w:color="auto" w:fill="auto"/>
          </w:tcPr>
          <w:p w14:paraId="5130B9E9" w14:textId="77777777" w:rsidR="00D634C0" w:rsidRPr="00EA095C" w:rsidRDefault="00D634C0" w:rsidP="009460C5">
            <w:pPr>
              <w:spacing w:after="120" w:line="240" w:lineRule="auto"/>
              <w:jc w:val="right"/>
              <w:rPr>
                <w:i/>
                <w:sz w:val="14"/>
              </w:rPr>
            </w:pPr>
          </w:p>
        </w:tc>
        <w:tc>
          <w:tcPr>
            <w:tcW w:w="7160" w:type="dxa"/>
            <w:shd w:val="clear" w:color="auto" w:fill="auto"/>
          </w:tcPr>
          <w:p w14:paraId="555910B6" w14:textId="77777777" w:rsidR="00D634C0" w:rsidRPr="00EA095C" w:rsidRDefault="00D634C0" w:rsidP="009460C5">
            <w:pPr>
              <w:spacing w:after="120" w:line="240" w:lineRule="auto"/>
              <w:rPr>
                <w:i/>
                <w:sz w:val="14"/>
              </w:rPr>
            </w:pPr>
          </w:p>
        </w:tc>
        <w:tc>
          <w:tcPr>
            <w:tcW w:w="1136" w:type="dxa"/>
            <w:shd w:val="clear" w:color="auto" w:fill="auto"/>
          </w:tcPr>
          <w:p w14:paraId="54E2F3A0" w14:textId="77777777" w:rsidR="00D634C0" w:rsidRPr="00EA095C" w:rsidRDefault="00D634C0" w:rsidP="009460C5">
            <w:pPr>
              <w:spacing w:after="120" w:line="240" w:lineRule="auto"/>
              <w:jc w:val="right"/>
              <w:rPr>
                <w:i/>
                <w:sz w:val="14"/>
              </w:rPr>
            </w:pPr>
          </w:p>
        </w:tc>
        <w:tc>
          <w:tcPr>
            <w:tcW w:w="485" w:type="dxa"/>
            <w:shd w:val="clear" w:color="auto" w:fill="auto"/>
          </w:tcPr>
          <w:p w14:paraId="21A93557" w14:textId="77777777" w:rsidR="00D634C0" w:rsidRPr="00EA095C" w:rsidRDefault="00D634C0" w:rsidP="009460C5">
            <w:pPr>
              <w:spacing w:after="120" w:line="240" w:lineRule="auto"/>
              <w:jc w:val="right"/>
              <w:rPr>
                <w:i/>
                <w:sz w:val="14"/>
              </w:rPr>
            </w:pPr>
            <w:r>
              <w:rPr>
                <w:i/>
                <w:sz w:val="14"/>
              </w:rPr>
              <w:t>Page</w:t>
            </w:r>
          </w:p>
        </w:tc>
      </w:tr>
      <w:tr w:rsidR="00D634C0" w:rsidRPr="00EA095C" w14:paraId="44C7B51B" w14:textId="77777777" w:rsidTr="009460C5">
        <w:tc>
          <w:tcPr>
            <w:tcW w:w="9356" w:type="dxa"/>
            <w:gridSpan w:val="3"/>
            <w:shd w:val="clear" w:color="auto" w:fill="auto"/>
          </w:tcPr>
          <w:p w14:paraId="2E9DAD52" w14:textId="77777777" w:rsidR="00D634C0" w:rsidRPr="00EA095C" w:rsidRDefault="00D634C0" w:rsidP="0020548E">
            <w:pPr>
              <w:pStyle w:val="ListParagraph"/>
              <w:numPr>
                <w:ilvl w:val="0"/>
                <w:numId w:val="5"/>
              </w:numPr>
              <w:tabs>
                <w:tab w:val="right" w:pos="1080"/>
                <w:tab w:val="left" w:pos="1296"/>
                <w:tab w:val="left" w:pos="1728"/>
                <w:tab w:val="left" w:pos="2160"/>
                <w:tab w:val="right" w:leader="dot" w:pos="9360"/>
              </w:tabs>
              <w:spacing w:after="120"/>
            </w:pPr>
            <w:r>
              <w:tab/>
              <w:t>Introduction</w:t>
            </w:r>
            <w:r>
              <w:rPr>
                <w:spacing w:val="60"/>
                <w:sz w:val="17"/>
              </w:rPr>
              <w:tab/>
            </w:r>
          </w:p>
        </w:tc>
        <w:tc>
          <w:tcPr>
            <w:tcW w:w="485" w:type="dxa"/>
            <w:shd w:val="clear" w:color="auto" w:fill="auto"/>
            <w:vAlign w:val="bottom"/>
          </w:tcPr>
          <w:p w14:paraId="720F01DF" w14:textId="77777777" w:rsidR="00D634C0" w:rsidRPr="00EA095C" w:rsidRDefault="00D634C0" w:rsidP="009460C5">
            <w:pPr>
              <w:spacing w:after="120"/>
              <w:jc w:val="right"/>
            </w:pPr>
            <w:r>
              <w:t>2</w:t>
            </w:r>
          </w:p>
        </w:tc>
      </w:tr>
      <w:tr w:rsidR="00D634C0" w:rsidRPr="00EA095C" w14:paraId="12D038F9" w14:textId="77777777" w:rsidTr="009460C5">
        <w:tc>
          <w:tcPr>
            <w:tcW w:w="9356" w:type="dxa"/>
            <w:gridSpan w:val="3"/>
            <w:shd w:val="clear" w:color="auto" w:fill="auto"/>
          </w:tcPr>
          <w:p w14:paraId="3C7BB8A2" w14:textId="361F1E4E" w:rsidR="00D634C0" w:rsidRDefault="00D634C0" w:rsidP="0020548E">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tab/>
            </w:r>
            <w:r w:rsidR="00CD4ABE">
              <w:t>Selection and appointment of ISDS tribunal members</w:t>
            </w:r>
          </w:p>
        </w:tc>
        <w:tc>
          <w:tcPr>
            <w:tcW w:w="485" w:type="dxa"/>
            <w:shd w:val="clear" w:color="auto" w:fill="auto"/>
            <w:vAlign w:val="bottom"/>
          </w:tcPr>
          <w:p w14:paraId="7166E0F0" w14:textId="77777777" w:rsidR="00D634C0" w:rsidRDefault="00D634C0" w:rsidP="009460C5">
            <w:pPr>
              <w:spacing w:after="120"/>
              <w:jc w:val="right"/>
            </w:pPr>
            <w:r>
              <w:t>2</w:t>
            </w:r>
          </w:p>
        </w:tc>
      </w:tr>
      <w:tr w:rsidR="00D634C0" w:rsidRPr="00EA095C" w14:paraId="6330481E" w14:textId="77777777" w:rsidTr="009460C5">
        <w:tc>
          <w:tcPr>
            <w:tcW w:w="9356" w:type="dxa"/>
            <w:gridSpan w:val="3"/>
            <w:shd w:val="clear" w:color="auto" w:fill="auto"/>
          </w:tcPr>
          <w:p w14:paraId="59265D94" w14:textId="32A036CC" w:rsidR="00D634C0" w:rsidRDefault="00CD4ABE" w:rsidP="0020548E">
            <w:pPr>
              <w:pStyle w:val="ListParagraph"/>
              <w:numPr>
                <w:ilvl w:val="1"/>
                <w:numId w:val="5"/>
              </w:numPr>
              <w:tabs>
                <w:tab w:val="right" w:pos="1080"/>
                <w:tab w:val="left" w:pos="1296"/>
                <w:tab w:val="left" w:pos="1728"/>
                <w:tab w:val="left" w:pos="2160"/>
                <w:tab w:val="left" w:pos="2592"/>
                <w:tab w:val="left" w:pos="3024"/>
                <w:tab w:val="left" w:pos="3456"/>
                <w:tab w:val="right" w:leader="dot" w:pos="9360"/>
              </w:tabs>
              <w:spacing w:after="120"/>
            </w:pPr>
            <w:r>
              <w:t>Qualifications and other requirements</w:t>
            </w:r>
            <w:r w:rsidR="005E4D29">
              <w:rPr>
                <w:spacing w:val="60"/>
                <w:sz w:val="17"/>
              </w:rPr>
              <w:tab/>
            </w:r>
          </w:p>
        </w:tc>
        <w:tc>
          <w:tcPr>
            <w:tcW w:w="485" w:type="dxa"/>
            <w:shd w:val="clear" w:color="auto" w:fill="auto"/>
            <w:vAlign w:val="bottom"/>
          </w:tcPr>
          <w:p w14:paraId="2FE0EEA7" w14:textId="10E00019" w:rsidR="00D634C0" w:rsidRDefault="00D634C0" w:rsidP="009460C5">
            <w:pPr>
              <w:spacing w:after="120"/>
              <w:jc w:val="right"/>
            </w:pPr>
          </w:p>
        </w:tc>
      </w:tr>
      <w:tr w:rsidR="00D634C0" w:rsidRPr="00EA095C" w14:paraId="5BD1DD28" w14:textId="77777777" w:rsidTr="009460C5">
        <w:tc>
          <w:tcPr>
            <w:tcW w:w="9356" w:type="dxa"/>
            <w:gridSpan w:val="3"/>
            <w:shd w:val="clear" w:color="auto" w:fill="auto"/>
          </w:tcPr>
          <w:p w14:paraId="5637B5FC" w14:textId="0F29FD50" w:rsidR="00D634C0" w:rsidRDefault="001F3B30" w:rsidP="0020548E">
            <w:pPr>
              <w:pStyle w:val="ListParagraph"/>
              <w:numPr>
                <w:ilvl w:val="2"/>
                <w:numId w:val="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Draft code of conduct</w:t>
            </w:r>
            <w:r w:rsidR="00CA4CB8">
              <w:t xml:space="preserve"> (see also A/CN.9/WG.III/WP.---)</w:t>
            </w:r>
          </w:p>
        </w:tc>
        <w:tc>
          <w:tcPr>
            <w:tcW w:w="485" w:type="dxa"/>
            <w:shd w:val="clear" w:color="auto" w:fill="auto"/>
            <w:vAlign w:val="bottom"/>
          </w:tcPr>
          <w:p w14:paraId="324D5565" w14:textId="7C70861C" w:rsidR="00D634C0" w:rsidRDefault="00D634C0" w:rsidP="009460C5">
            <w:pPr>
              <w:spacing w:after="120"/>
              <w:jc w:val="right"/>
            </w:pPr>
          </w:p>
        </w:tc>
      </w:tr>
      <w:tr w:rsidR="00CA4CB8" w:rsidRPr="00EA095C" w14:paraId="269C9AA1" w14:textId="77777777" w:rsidTr="009460C5">
        <w:tc>
          <w:tcPr>
            <w:tcW w:w="9356" w:type="dxa"/>
            <w:gridSpan w:val="3"/>
            <w:shd w:val="clear" w:color="auto" w:fill="auto"/>
          </w:tcPr>
          <w:p w14:paraId="7B3B630F" w14:textId="786FC72E" w:rsidR="00CA4CB8" w:rsidRDefault="00CA4CB8" w:rsidP="0020548E">
            <w:pPr>
              <w:pStyle w:val="ListParagraph"/>
              <w:numPr>
                <w:ilvl w:val="2"/>
                <w:numId w:val="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Independence, impartiality and accountability</w:t>
            </w:r>
          </w:p>
        </w:tc>
        <w:tc>
          <w:tcPr>
            <w:tcW w:w="485" w:type="dxa"/>
            <w:shd w:val="clear" w:color="auto" w:fill="auto"/>
            <w:vAlign w:val="bottom"/>
          </w:tcPr>
          <w:p w14:paraId="305421AC" w14:textId="77777777" w:rsidR="00CA4CB8" w:rsidRDefault="00CA4CB8" w:rsidP="009460C5">
            <w:pPr>
              <w:spacing w:after="120"/>
              <w:jc w:val="right"/>
            </w:pPr>
          </w:p>
        </w:tc>
      </w:tr>
      <w:tr w:rsidR="00D634C0" w:rsidRPr="00EA095C" w14:paraId="7CF33E3D" w14:textId="77777777" w:rsidTr="009460C5">
        <w:tc>
          <w:tcPr>
            <w:tcW w:w="9356" w:type="dxa"/>
            <w:gridSpan w:val="3"/>
            <w:shd w:val="clear" w:color="auto" w:fill="auto"/>
          </w:tcPr>
          <w:p w14:paraId="1D1E1CBA" w14:textId="678B4184" w:rsidR="00D634C0" w:rsidRPr="005E4D29" w:rsidRDefault="001F3B30" w:rsidP="0020548E">
            <w:pPr>
              <w:pStyle w:val="ListParagraph"/>
              <w:numPr>
                <w:ilvl w:val="2"/>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t>Diversity and balanced representation</w:t>
            </w:r>
            <w:r w:rsidR="0035365B">
              <w:t xml:space="preserve"> (inclusiveness)</w:t>
            </w:r>
          </w:p>
        </w:tc>
        <w:tc>
          <w:tcPr>
            <w:tcW w:w="485" w:type="dxa"/>
            <w:shd w:val="clear" w:color="auto" w:fill="auto"/>
            <w:vAlign w:val="bottom"/>
          </w:tcPr>
          <w:p w14:paraId="2740D334" w14:textId="03D5E7DF" w:rsidR="00D634C0" w:rsidRDefault="00D634C0" w:rsidP="009460C5">
            <w:pPr>
              <w:spacing w:after="120"/>
              <w:jc w:val="right"/>
            </w:pPr>
          </w:p>
        </w:tc>
      </w:tr>
      <w:tr w:rsidR="00A8324B" w:rsidRPr="00EA095C" w14:paraId="5A3592B2" w14:textId="77777777" w:rsidTr="009460C5">
        <w:tc>
          <w:tcPr>
            <w:tcW w:w="9356" w:type="dxa"/>
            <w:gridSpan w:val="3"/>
            <w:shd w:val="clear" w:color="auto" w:fill="auto"/>
          </w:tcPr>
          <w:p w14:paraId="1D53CEF2" w14:textId="3EEDD771" w:rsidR="00A8324B" w:rsidRDefault="00A8324B" w:rsidP="0020548E">
            <w:pPr>
              <w:pStyle w:val="ListParagraph"/>
              <w:numPr>
                <w:ilvl w:val="2"/>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t>Implementation</w:t>
            </w:r>
          </w:p>
        </w:tc>
        <w:tc>
          <w:tcPr>
            <w:tcW w:w="485" w:type="dxa"/>
            <w:shd w:val="clear" w:color="auto" w:fill="auto"/>
            <w:vAlign w:val="bottom"/>
          </w:tcPr>
          <w:p w14:paraId="3336D928" w14:textId="77777777" w:rsidR="00A8324B" w:rsidRDefault="00A8324B" w:rsidP="009460C5">
            <w:pPr>
              <w:spacing w:after="120"/>
              <w:jc w:val="right"/>
            </w:pPr>
          </w:p>
        </w:tc>
      </w:tr>
      <w:tr w:rsidR="00D634C0" w:rsidRPr="00EA095C" w14:paraId="3796297F" w14:textId="77777777" w:rsidTr="009460C5">
        <w:tc>
          <w:tcPr>
            <w:tcW w:w="9356" w:type="dxa"/>
            <w:gridSpan w:val="3"/>
            <w:shd w:val="clear" w:color="auto" w:fill="auto"/>
          </w:tcPr>
          <w:p w14:paraId="1AA7ADE3" w14:textId="0446910D" w:rsidR="00D634C0" w:rsidRDefault="00CD4ABE" w:rsidP="0020548E">
            <w:pPr>
              <w:pStyle w:val="ListParagraph"/>
              <w:numPr>
                <w:ilvl w:val="1"/>
                <w:numId w:val="5"/>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t>Methods of selection and appointment</w:t>
            </w:r>
          </w:p>
        </w:tc>
        <w:tc>
          <w:tcPr>
            <w:tcW w:w="485" w:type="dxa"/>
            <w:shd w:val="clear" w:color="auto" w:fill="auto"/>
            <w:vAlign w:val="bottom"/>
          </w:tcPr>
          <w:p w14:paraId="2DC69D88" w14:textId="402D07B1" w:rsidR="00D634C0" w:rsidRDefault="00D634C0" w:rsidP="009460C5">
            <w:pPr>
              <w:spacing w:after="120"/>
              <w:jc w:val="right"/>
            </w:pPr>
          </w:p>
        </w:tc>
      </w:tr>
      <w:tr w:rsidR="00D634C0" w:rsidRPr="00EA095C" w14:paraId="6BEEF071" w14:textId="77777777" w:rsidTr="009460C5">
        <w:tc>
          <w:tcPr>
            <w:tcW w:w="9356" w:type="dxa"/>
            <w:gridSpan w:val="3"/>
            <w:shd w:val="clear" w:color="auto" w:fill="auto"/>
          </w:tcPr>
          <w:p w14:paraId="16C2C4BB" w14:textId="10261FED" w:rsidR="00D634C0" w:rsidRDefault="00A8324B" w:rsidP="0020548E">
            <w:pPr>
              <w:pStyle w:val="ListParagraph"/>
              <w:numPr>
                <w:ilvl w:val="2"/>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Ad hoc mechanism</w:t>
            </w:r>
            <w:r w:rsidR="00D634C0">
              <w:rPr>
                <w:spacing w:val="60"/>
                <w:sz w:val="17"/>
              </w:rPr>
              <w:tab/>
            </w:r>
          </w:p>
        </w:tc>
        <w:tc>
          <w:tcPr>
            <w:tcW w:w="485" w:type="dxa"/>
            <w:shd w:val="clear" w:color="auto" w:fill="auto"/>
            <w:vAlign w:val="bottom"/>
          </w:tcPr>
          <w:p w14:paraId="4901FA5F" w14:textId="1A8CD530" w:rsidR="00D634C0" w:rsidRDefault="00D634C0" w:rsidP="009460C5">
            <w:pPr>
              <w:spacing w:after="120"/>
              <w:jc w:val="right"/>
            </w:pPr>
          </w:p>
        </w:tc>
      </w:tr>
      <w:tr w:rsidR="00575C54" w:rsidRPr="00EA095C" w14:paraId="7FAF245C" w14:textId="77777777" w:rsidTr="009460C5">
        <w:tc>
          <w:tcPr>
            <w:tcW w:w="9356" w:type="dxa"/>
            <w:gridSpan w:val="3"/>
            <w:shd w:val="clear" w:color="auto" w:fill="auto"/>
          </w:tcPr>
          <w:p w14:paraId="5F8E7812" w14:textId="21A37BA0" w:rsidR="00575C54" w:rsidRDefault="005F4024" w:rsidP="005F4024">
            <w:pPr>
              <w:pStyle w:val="ListParagraph"/>
              <w:numPr>
                <w:ilvl w:val="2"/>
                <w:numId w:val="5"/>
              </w:numPr>
              <w:tabs>
                <w:tab w:val="right" w:pos="1080"/>
                <w:tab w:val="left" w:pos="2592"/>
                <w:tab w:val="left" w:pos="3024"/>
                <w:tab w:val="left" w:pos="3456"/>
                <w:tab w:val="left" w:pos="3888"/>
                <w:tab w:val="left" w:pos="4320"/>
                <w:tab w:val="left" w:pos="4752"/>
                <w:tab w:val="right" w:leader="dot" w:pos="9360"/>
              </w:tabs>
              <w:spacing w:after="120"/>
            </w:pPr>
            <w:r>
              <w:t>Standing mechanism</w:t>
            </w:r>
          </w:p>
        </w:tc>
        <w:tc>
          <w:tcPr>
            <w:tcW w:w="485" w:type="dxa"/>
            <w:shd w:val="clear" w:color="auto" w:fill="auto"/>
            <w:vAlign w:val="bottom"/>
          </w:tcPr>
          <w:p w14:paraId="77A13D07" w14:textId="77777777" w:rsidR="00575C54" w:rsidRDefault="00575C54" w:rsidP="009460C5">
            <w:pPr>
              <w:spacing w:after="120"/>
              <w:jc w:val="right"/>
            </w:pPr>
          </w:p>
        </w:tc>
      </w:tr>
    </w:tbl>
    <w:p w14:paraId="097D0CBC" w14:textId="77777777" w:rsidR="00D06FA2" w:rsidRDefault="00D06FA2" w:rsidP="0060037D">
      <w:pPr>
        <w:suppressAutoHyphens w:val="0"/>
        <w:spacing w:after="200" w:line="276" w:lineRule="auto"/>
      </w:pPr>
    </w:p>
    <w:p w14:paraId="445B7EC4" w14:textId="77777777" w:rsidR="00D06FA2" w:rsidRDefault="00D06FA2" w:rsidP="0060037D">
      <w:pPr>
        <w:suppressAutoHyphens w:val="0"/>
        <w:spacing w:after="200" w:line="276" w:lineRule="auto"/>
      </w:pPr>
    </w:p>
    <w:p w14:paraId="74CE9C29" w14:textId="77777777" w:rsidR="00D06FA2" w:rsidRDefault="00D06FA2" w:rsidP="0060037D">
      <w:pPr>
        <w:suppressAutoHyphens w:val="0"/>
        <w:spacing w:after="200" w:line="276" w:lineRule="auto"/>
      </w:pPr>
    </w:p>
    <w:p w14:paraId="14151446" w14:textId="051AEBA4" w:rsidR="005549B9" w:rsidRDefault="00A00E9D" w:rsidP="0060037D">
      <w:pPr>
        <w:suppressAutoHyphens w:val="0"/>
        <w:spacing w:after="200" w:line="276" w:lineRule="auto"/>
      </w:pPr>
      <w:r w:rsidRPr="00A00E9D">
        <w:tab/>
      </w:r>
      <w:r w:rsidR="005743B5">
        <w:t xml:space="preserve">  </w:t>
      </w:r>
    </w:p>
    <w:p w14:paraId="1CE4C79A" w14:textId="0FCA29A7" w:rsidR="00CD4ABE" w:rsidRDefault="00CD4ABE" w:rsidP="0060037D">
      <w:pPr>
        <w:suppressAutoHyphens w:val="0"/>
        <w:spacing w:after="200" w:line="276" w:lineRule="auto"/>
      </w:pPr>
    </w:p>
    <w:p w14:paraId="59ACA2D0" w14:textId="31F8CE3C" w:rsidR="00CD4ABE" w:rsidRDefault="00CD4ABE" w:rsidP="0060037D">
      <w:pPr>
        <w:suppressAutoHyphens w:val="0"/>
        <w:spacing w:after="200" w:line="276" w:lineRule="auto"/>
      </w:pPr>
    </w:p>
    <w:p w14:paraId="19505731" w14:textId="3A2DB75C" w:rsidR="00A8324B" w:rsidRDefault="00A8324B" w:rsidP="0060037D">
      <w:pPr>
        <w:suppressAutoHyphens w:val="0"/>
        <w:spacing w:after="200" w:line="276" w:lineRule="auto"/>
      </w:pPr>
    </w:p>
    <w:p w14:paraId="794E772B" w14:textId="07B77C2D" w:rsidR="00A00E9D" w:rsidRPr="0060037D" w:rsidRDefault="00A00E9D" w:rsidP="00EE09CF">
      <w:pPr>
        <w:suppressAutoHyphens w:val="0"/>
        <w:spacing w:after="200" w:line="276" w:lineRule="auto"/>
        <w:ind w:left="475" w:firstLine="475"/>
        <w:rPr>
          <w:b/>
          <w:bCs/>
          <w:sz w:val="28"/>
          <w:szCs w:val="28"/>
        </w:rPr>
      </w:pPr>
      <w:r w:rsidRPr="0060037D">
        <w:rPr>
          <w:b/>
          <w:bCs/>
          <w:sz w:val="28"/>
          <w:szCs w:val="28"/>
        </w:rPr>
        <w:lastRenderedPageBreak/>
        <w:t>I.</w:t>
      </w:r>
      <w:r w:rsidRPr="0060037D">
        <w:rPr>
          <w:b/>
          <w:bCs/>
          <w:sz w:val="28"/>
          <w:szCs w:val="28"/>
        </w:rPr>
        <w:tab/>
        <w:t>Introduction</w:t>
      </w:r>
    </w:p>
    <w:p w14:paraId="79474A60" w14:textId="7BC4A3B9" w:rsidR="00CD4ABE" w:rsidRDefault="00CD4ABE" w:rsidP="00085FAD">
      <w:pPr>
        <w:pStyle w:val="SingleTxt"/>
        <w:numPr>
          <w:ilvl w:val="0"/>
          <w:numId w:val="7"/>
        </w:numPr>
        <w:ind w:left="1267" w:right="1267"/>
      </w:pPr>
      <w:r w:rsidRPr="00A00E9D">
        <w:t xml:space="preserve">At its thirty-eighth session, </w:t>
      </w:r>
      <w:r>
        <w:t xml:space="preserve">in October 2019, </w:t>
      </w:r>
      <w:r w:rsidRPr="00A00E9D">
        <w:t xml:space="preserve">the Working Group agreed on a project schedule </w:t>
      </w:r>
      <w:r>
        <w:t xml:space="preserve">of possible reform options, in accordance with the third phase of its mandate </w:t>
      </w:r>
      <w:r w:rsidRPr="00A00E9D">
        <w:t>(</w:t>
      </w:r>
      <w:hyperlink r:id="rId14" w:history="1">
        <w:r w:rsidRPr="002E0CC3">
          <w:rPr>
            <w:rStyle w:val="Hyperlink"/>
          </w:rPr>
          <w:t>A/CN.9/1004</w:t>
        </w:r>
      </w:hyperlink>
      <w:r w:rsidRPr="00A00E9D">
        <w:t>, paras. 16</w:t>
      </w:r>
      <w:r>
        <w:t>–</w:t>
      </w:r>
      <w:r w:rsidRPr="00A00E9D">
        <w:t>27 and 104).</w:t>
      </w:r>
      <w:r w:rsidRPr="00A00E9D">
        <w:rPr>
          <w:vertAlign w:val="superscript"/>
        </w:rPr>
        <w:footnoteReference w:id="1"/>
      </w:r>
      <w:r w:rsidRPr="00A00E9D">
        <w:t xml:space="preserve"> </w:t>
      </w:r>
      <w:r w:rsidRPr="00131870">
        <w:rPr>
          <w:bCs/>
          <w:spacing w:val="0"/>
          <w:w w:val="100"/>
        </w:rPr>
        <w:t xml:space="preserve">At its resumed thirty-eighth session, in January 2020, </w:t>
      </w:r>
      <w:r w:rsidRPr="00A00E9D">
        <w:t>the Working Group</w:t>
      </w:r>
      <w:r>
        <w:t xml:space="preserve"> continued its deliberations on reform options and </w:t>
      </w:r>
      <w:r w:rsidRPr="00D03515">
        <w:t>undert</w:t>
      </w:r>
      <w:r>
        <w:t>ook</w:t>
      </w:r>
      <w:r w:rsidRPr="00D03515">
        <w:t xml:space="preserve"> a preliminary consideration of </w:t>
      </w:r>
      <w:r>
        <w:t xml:space="preserve">the selection and appointment of ISDS tribunal members </w:t>
      </w:r>
      <w:r w:rsidRPr="00A00E9D">
        <w:t>(</w:t>
      </w:r>
      <w:hyperlink r:id="rId15" w:history="1">
        <w:r w:rsidRPr="002E0CC3">
          <w:rPr>
            <w:rStyle w:val="Hyperlink"/>
          </w:rPr>
          <w:t>A/CN.9/1004</w:t>
        </w:r>
      </w:hyperlink>
      <w:r>
        <w:rPr>
          <w:rStyle w:val="Hyperlink"/>
        </w:rPr>
        <w:t>/Add.1</w:t>
      </w:r>
      <w:r w:rsidRPr="00A00E9D">
        <w:t xml:space="preserve">, paras. </w:t>
      </w:r>
      <w:r>
        <w:t>95-133).</w:t>
      </w:r>
      <w:r w:rsidRPr="00D03515">
        <w:t xml:space="preserve"> </w:t>
      </w:r>
      <w:r>
        <w:t xml:space="preserve">It requested the Secretariat to undertake further preparatory work on this matter </w:t>
      </w:r>
      <w:r w:rsidRPr="00A00E9D">
        <w:t>(</w:t>
      </w:r>
      <w:hyperlink r:id="rId16" w:history="1">
        <w:r w:rsidRPr="002E0CC3">
          <w:rPr>
            <w:rStyle w:val="Hyperlink"/>
          </w:rPr>
          <w:t>A/CN.9/1004</w:t>
        </w:r>
      </w:hyperlink>
      <w:r>
        <w:rPr>
          <w:rStyle w:val="Hyperlink"/>
        </w:rPr>
        <w:t>/Add.1</w:t>
      </w:r>
      <w:r w:rsidRPr="00A00E9D">
        <w:t xml:space="preserve">, paras. </w:t>
      </w:r>
      <w:r>
        <w:t>131-133</w:t>
      </w:r>
      <w:r w:rsidRPr="00A00E9D">
        <w:t>).</w:t>
      </w:r>
      <w:r>
        <w:t xml:space="preserve"> </w:t>
      </w:r>
    </w:p>
    <w:p w14:paraId="6A62272F" w14:textId="6EC36C00" w:rsidR="00A00E9D" w:rsidRDefault="00CD4ABE" w:rsidP="00085FAD">
      <w:pPr>
        <w:pStyle w:val="SingleTxt"/>
        <w:numPr>
          <w:ilvl w:val="0"/>
          <w:numId w:val="7"/>
        </w:numPr>
        <w:ind w:left="1267" w:right="1267"/>
      </w:pPr>
      <w:r w:rsidRPr="00A00E9D">
        <w:t xml:space="preserve">Accordingly, this Note </w:t>
      </w:r>
      <w:r>
        <w:t>addresses the selection and appointment of ISDS tribunal members, including their qualifications and other requirements</w:t>
      </w:r>
      <w:r w:rsidRPr="00A00E9D">
        <w:t>. This Note was prepared with reference to a broad range of published information on the topic,</w:t>
      </w:r>
      <w:r w:rsidRPr="00A00E9D">
        <w:rPr>
          <w:vertAlign w:val="superscript"/>
        </w:rPr>
        <w:footnoteReference w:id="2"/>
      </w:r>
      <w:r w:rsidRPr="00A00E9D">
        <w:t xml:space="preserve"> and does not seek to express a view on the possible reform options, which is a matter for the Working Group to consider.</w:t>
      </w:r>
    </w:p>
    <w:p w14:paraId="2D741AB4" w14:textId="77777777" w:rsidR="00F9327D" w:rsidRPr="00F9327D" w:rsidRDefault="00F9327D" w:rsidP="004A4A14">
      <w:pPr>
        <w:pStyle w:val="SingleTxt"/>
        <w:spacing w:after="0" w:line="120" w:lineRule="atLeast"/>
        <w:rPr>
          <w:sz w:val="10"/>
          <w:lang w:val="en-US"/>
        </w:rPr>
      </w:pPr>
    </w:p>
    <w:p w14:paraId="098D00AF" w14:textId="547231AA" w:rsidR="00A00E9D" w:rsidRPr="00A00E9D" w:rsidRDefault="00A00E9D" w:rsidP="00901165">
      <w:pPr>
        <w:pStyle w:val="HCh"/>
        <w:ind w:left="1267" w:right="1260" w:hanging="1267"/>
        <w:rPr>
          <w:iCs/>
        </w:rPr>
      </w:pPr>
      <w:r w:rsidRPr="00F9327D">
        <w:rPr>
          <w:lang w:val="en-US"/>
        </w:rPr>
        <w:tab/>
      </w:r>
      <w:r w:rsidRPr="00A00E9D">
        <w:t>II.</w:t>
      </w:r>
      <w:r w:rsidRPr="00A00E9D">
        <w:tab/>
      </w:r>
      <w:r w:rsidR="00CD4ABE">
        <w:t>Selection and appointment of ISDS tribunal members</w:t>
      </w:r>
    </w:p>
    <w:p w14:paraId="277A19ED" w14:textId="77777777" w:rsidR="004A4A14" w:rsidRPr="004A4A14" w:rsidRDefault="004A4A14" w:rsidP="00901165">
      <w:pPr>
        <w:pStyle w:val="SingleTxt"/>
        <w:keepNext/>
        <w:spacing w:after="0" w:line="120" w:lineRule="atLeast"/>
        <w:rPr>
          <w:b/>
          <w:sz w:val="10"/>
        </w:rPr>
      </w:pPr>
    </w:p>
    <w:p w14:paraId="244A9A4C" w14:textId="19A05661" w:rsidR="00115198" w:rsidRDefault="00F8317C" w:rsidP="00085FAD">
      <w:pPr>
        <w:pStyle w:val="SingleTxt"/>
        <w:numPr>
          <w:ilvl w:val="0"/>
          <w:numId w:val="7"/>
        </w:numPr>
        <w:ind w:left="1267" w:right="1267"/>
      </w:pPr>
      <w:r>
        <w:t xml:space="preserve">By way of background information, at its thirty-sixth session, the Working Group concluded that the development of reforms by UNCITRAL was desirable to address concerns related to the lack or apparent lack of independence and impartiality of decision makers in ISDS (A/CN.9/964, para. 83); the question of </w:t>
      </w:r>
      <w:r w:rsidR="00580859">
        <w:t xml:space="preserve">the </w:t>
      </w:r>
      <w:r>
        <w:t>adequacy, effectiveness and transparency of the disclosure and challenge mechanisms available under many existing treaties and arbitration rules (A/CN.9/964, para. 90); the lack of appropriate diversity among decision makers in ISDS (A/CN.9/964, para. 98); and the mechanisms for constituting ISDS tribunals in existing treaties and arbitration rules (A/CN.9/964, para. 108).</w:t>
      </w:r>
      <w:r w:rsidR="006A0DA6">
        <w:t xml:space="preserve"> </w:t>
      </w:r>
      <w:r w:rsidR="001F3B30">
        <w:t xml:space="preserve"> </w:t>
      </w:r>
    </w:p>
    <w:p w14:paraId="672B7EDC" w14:textId="3511A9C4" w:rsidR="00B26123" w:rsidRDefault="00B26123" w:rsidP="00085FAD">
      <w:pPr>
        <w:pStyle w:val="SingleTxt"/>
        <w:numPr>
          <w:ilvl w:val="0"/>
          <w:numId w:val="7"/>
        </w:numPr>
        <w:ind w:left="1267" w:right="1267"/>
      </w:pPr>
      <w:r>
        <w:t>S</w:t>
      </w:r>
      <w:r w:rsidRPr="00DD76BD">
        <w:t>uggestion</w:t>
      </w:r>
      <w:r>
        <w:t>s</w:t>
      </w:r>
      <w:r w:rsidRPr="00DD76BD">
        <w:t xml:space="preserve"> for </w:t>
      </w:r>
      <w:r w:rsidR="00580859" w:rsidRPr="00DD76BD">
        <w:t>reform</w:t>
      </w:r>
      <w:r w:rsidR="00580859">
        <w:t>ing</w:t>
      </w:r>
      <w:r w:rsidR="00580859" w:rsidRPr="00DD76BD">
        <w:t xml:space="preserve"> the selection and appointment </w:t>
      </w:r>
      <w:r w:rsidR="00580859">
        <w:t xml:space="preserve">processes for </w:t>
      </w:r>
      <w:r w:rsidR="00580859" w:rsidRPr="00DD76BD">
        <w:t xml:space="preserve">ISDS </w:t>
      </w:r>
      <w:r w:rsidRPr="00DD76BD">
        <w:t xml:space="preserve">tribunal members </w:t>
      </w:r>
      <w:r>
        <w:t>are</w:t>
      </w:r>
      <w:r w:rsidRPr="00DD76BD">
        <w:t xml:space="preserve"> contained in various proposals submitted by Governments in </w:t>
      </w:r>
      <w:r w:rsidRPr="00DD76BD">
        <w:lastRenderedPageBreak/>
        <w:t>preparation for the deliberations on reform options (“Submissions”)</w:t>
      </w:r>
      <w:r>
        <w:t>.</w:t>
      </w:r>
      <w:r w:rsidRPr="00DD76BD">
        <w:rPr>
          <w:rStyle w:val="FootnoteReference"/>
        </w:rPr>
        <w:footnoteReference w:id="3"/>
      </w:r>
      <w:r>
        <w:t xml:space="preserve"> </w:t>
      </w:r>
      <w:r w:rsidRPr="00DD76BD">
        <w:t xml:space="preserve">On that basis, and on the basis of document A/CN.9/WG.III/WP.169, </w:t>
      </w:r>
      <w:r>
        <w:t xml:space="preserve">the Working Group </w:t>
      </w:r>
      <w:r w:rsidR="00160FD8">
        <w:t>undertook a preliminary consideration of</w:t>
      </w:r>
      <w:r>
        <w:t xml:space="preserve"> both the common features regarding the </w:t>
      </w:r>
      <w:r w:rsidRPr="00DD76BD">
        <w:t xml:space="preserve">qualifications and requirements of ISDS tribunal members, </w:t>
      </w:r>
      <w:r>
        <w:t xml:space="preserve">and the various selection and appointment models </w:t>
      </w:r>
      <w:r w:rsidR="00F04C14">
        <w:t>in the framework of ad hoc</w:t>
      </w:r>
      <w:r>
        <w:t xml:space="preserve"> and standing mechanism</w:t>
      </w:r>
      <w:r w:rsidR="00F04C14">
        <w:t>s (A/CN.91004/Add.1, paras. 95-133)</w:t>
      </w:r>
      <w:r>
        <w:t>.</w:t>
      </w:r>
    </w:p>
    <w:p w14:paraId="35AD4D52" w14:textId="1635829E" w:rsidR="003B1F7A" w:rsidRDefault="00C8288E" w:rsidP="00085FAD">
      <w:pPr>
        <w:pStyle w:val="SingleTxt"/>
        <w:numPr>
          <w:ilvl w:val="0"/>
          <w:numId w:val="7"/>
        </w:numPr>
        <w:ind w:left="1267" w:right="1267"/>
      </w:pPr>
      <w:r>
        <w:t>R</w:t>
      </w:r>
      <w:r w:rsidR="001F3B30">
        <w:t>egarding the guiding principles, t</w:t>
      </w:r>
      <w:r w:rsidR="00F8317C">
        <w:t>he Working Group considered that the selection and appointment methods of ISDS tribunal members should be such that they contribute to the quality and fairness of the justice rendered as well as the appearance thereof</w:t>
      </w:r>
      <w:r w:rsidR="008B4DAB">
        <w:t>,</w:t>
      </w:r>
      <w:r w:rsidR="001F3B30">
        <w:t xml:space="preserve"> and</w:t>
      </w:r>
      <w:r w:rsidR="00F8317C">
        <w:t xml:space="preserve"> </w:t>
      </w:r>
      <w:r w:rsidR="001F3B30">
        <w:t xml:space="preserve">that they </w:t>
      </w:r>
      <w:r w:rsidR="00F8317C">
        <w:t>guarantee transparency, openness, neutrality</w:t>
      </w:r>
      <w:r w:rsidR="001F3B30">
        <w:t>,</w:t>
      </w:r>
      <w:r w:rsidR="00F8317C">
        <w:t xml:space="preserve"> accountability and reflect high ethical standards, while also ensuring </w:t>
      </w:r>
      <w:r w:rsidR="00580859">
        <w:t xml:space="preserve">appropriate </w:t>
      </w:r>
      <w:r w:rsidR="00F8317C">
        <w:t>diversity (A/CN.9/964, para. 69 and 91–96).</w:t>
      </w:r>
    </w:p>
    <w:p w14:paraId="46B9308B" w14:textId="77777777" w:rsidR="00DD76BD" w:rsidRDefault="00DD76BD" w:rsidP="00901165">
      <w:pPr>
        <w:pStyle w:val="H1"/>
        <w:ind w:left="1267" w:right="1260" w:hanging="1267"/>
      </w:pPr>
    </w:p>
    <w:p w14:paraId="5A85ACD5" w14:textId="49881797" w:rsidR="00A00E9D" w:rsidRDefault="00DD76BD" w:rsidP="00901165">
      <w:pPr>
        <w:pStyle w:val="H1"/>
        <w:ind w:left="1267" w:right="1260" w:hanging="1267"/>
      </w:pPr>
      <w:r>
        <w:tab/>
      </w:r>
      <w:r w:rsidR="004A4A14">
        <w:t>A.</w:t>
      </w:r>
      <w:r w:rsidR="004A4A14">
        <w:tab/>
      </w:r>
      <w:r w:rsidR="00CD4ABE">
        <w:t>Qualifications and other requirements</w:t>
      </w:r>
    </w:p>
    <w:p w14:paraId="53221783" w14:textId="5DECE663" w:rsidR="004A4A14" w:rsidRPr="004A4A14" w:rsidRDefault="004A4A14" w:rsidP="00901165">
      <w:pPr>
        <w:pStyle w:val="SingleTxt"/>
        <w:keepNext/>
        <w:spacing w:after="0" w:line="120" w:lineRule="atLeast"/>
        <w:rPr>
          <w:sz w:val="10"/>
        </w:rPr>
      </w:pPr>
    </w:p>
    <w:p w14:paraId="644F5016" w14:textId="51C039F4" w:rsidR="004A4A14" w:rsidRPr="004A4A14" w:rsidRDefault="004A4A14" w:rsidP="00901165">
      <w:pPr>
        <w:pStyle w:val="SingleTxt"/>
        <w:keepNext/>
        <w:spacing w:after="0" w:line="120" w:lineRule="atLeast"/>
        <w:rPr>
          <w:sz w:val="10"/>
        </w:rPr>
      </w:pPr>
    </w:p>
    <w:p w14:paraId="22D59007" w14:textId="1D98B010" w:rsidR="00B9030E" w:rsidRDefault="00324E4E" w:rsidP="00085FAD">
      <w:pPr>
        <w:pStyle w:val="SingleTxt"/>
        <w:numPr>
          <w:ilvl w:val="0"/>
          <w:numId w:val="7"/>
        </w:numPr>
        <w:ind w:left="1267" w:right="1267"/>
      </w:pPr>
      <w:r>
        <w:t xml:space="preserve">Regarding qualifications and other requirements, </w:t>
      </w:r>
      <w:r w:rsidR="001F3B30">
        <w:t>the Working Group requested the Secretariat</w:t>
      </w:r>
      <w:r w:rsidRPr="00DD76BD">
        <w:t xml:space="preserve"> to prepare options covering the different aspects identified during the deliberations, including the intended or any unintended consequences those qualifications and requirements could have either individually or collectively on the concerns identified by the Working Group, for example, on ensuring diversity</w:t>
      </w:r>
      <w:r w:rsidR="00884AA6">
        <w:t xml:space="preserve"> (A/CN.9/1004/Add.1, para. 132)</w:t>
      </w:r>
      <w:r w:rsidRPr="00DD76BD">
        <w:t xml:space="preserve">. </w:t>
      </w:r>
    </w:p>
    <w:p w14:paraId="6B69CE0D" w14:textId="766B0FC4" w:rsidR="00901165" w:rsidRPr="00E03E40" w:rsidRDefault="00901165" w:rsidP="00372B38">
      <w:pPr>
        <w:pStyle w:val="H23"/>
        <w:ind w:left="1267" w:right="1260" w:hanging="1267"/>
        <w:rPr>
          <w:sz w:val="10"/>
        </w:rPr>
      </w:pPr>
      <w:r>
        <w:tab/>
      </w:r>
    </w:p>
    <w:p w14:paraId="09DFC970" w14:textId="3E3254C8" w:rsidR="00A00E9D" w:rsidRPr="00B47376" w:rsidRDefault="001F3B30" w:rsidP="00085FAD">
      <w:pPr>
        <w:pStyle w:val="H23"/>
        <w:numPr>
          <w:ilvl w:val="0"/>
          <w:numId w:val="6"/>
        </w:numPr>
        <w:ind w:right="1260"/>
        <w:rPr>
          <w:sz w:val="22"/>
          <w:szCs w:val="22"/>
        </w:rPr>
      </w:pPr>
      <w:r>
        <w:rPr>
          <w:sz w:val="22"/>
          <w:szCs w:val="22"/>
        </w:rPr>
        <w:t>D</w:t>
      </w:r>
      <w:r w:rsidR="00884AA6">
        <w:rPr>
          <w:sz w:val="22"/>
          <w:szCs w:val="22"/>
        </w:rPr>
        <w:t>raft code of conduct (see A/CN.9/WG.III/WP.---)</w:t>
      </w:r>
    </w:p>
    <w:p w14:paraId="01886DE6" w14:textId="69ECC261" w:rsidR="00E03E40" w:rsidRPr="00E03E40" w:rsidRDefault="00E03E40" w:rsidP="00E03E40">
      <w:pPr>
        <w:pStyle w:val="SingleTxt"/>
        <w:keepNext/>
        <w:spacing w:after="0" w:line="120" w:lineRule="atLeast"/>
        <w:rPr>
          <w:b/>
          <w:bCs/>
          <w:i/>
          <w:iCs/>
          <w:sz w:val="10"/>
        </w:rPr>
      </w:pPr>
    </w:p>
    <w:p w14:paraId="754F9D6D" w14:textId="0A57682B" w:rsidR="00273B94" w:rsidRPr="00273B94" w:rsidRDefault="00273B94" w:rsidP="00273B94">
      <w:pPr>
        <w:pStyle w:val="SingleTxt"/>
        <w:spacing w:after="0" w:line="120" w:lineRule="atLeast"/>
        <w:rPr>
          <w:sz w:val="10"/>
        </w:rPr>
      </w:pPr>
    </w:p>
    <w:p w14:paraId="71F5E699" w14:textId="108092E1" w:rsidR="00580859" w:rsidRPr="00580859" w:rsidRDefault="00580859" w:rsidP="00580859">
      <w:pPr>
        <w:pStyle w:val="SingleTxt"/>
        <w:ind w:left="1267" w:right="1267"/>
        <w:rPr>
          <w:bCs/>
          <w:i/>
          <w:iCs/>
          <w:spacing w:val="0"/>
          <w:w w:val="100"/>
        </w:rPr>
      </w:pPr>
      <w:r w:rsidRPr="00580859">
        <w:rPr>
          <w:bCs/>
          <w:i/>
          <w:iCs/>
          <w:spacing w:val="0"/>
          <w:w w:val="100"/>
        </w:rPr>
        <w:t>Qualifications and requirements</w:t>
      </w:r>
    </w:p>
    <w:p w14:paraId="3410A7FE" w14:textId="4165A365" w:rsidR="00DF6114" w:rsidRPr="00884AA6" w:rsidRDefault="00580859" w:rsidP="00085FAD">
      <w:pPr>
        <w:pStyle w:val="SingleTxt"/>
        <w:numPr>
          <w:ilvl w:val="0"/>
          <w:numId w:val="7"/>
        </w:numPr>
        <w:ind w:left="1267" w:right="1267"/>
        <w:rPr>
          <w:bCs/>
          <w:spacing w:val="0"/>
          <w:w w:val="100"/>
        </w:rPr>
      </w:pPr>
      <w:r>
        <w:t>Certain q</w:t>
      </w:r>
      <w:r w:rsidR="005F0F13">
        <w:t>ualifications and requirements</w:t>
      </w:r>
      <w:r w:rsidR="000E0F8C">
        <w:t xml:space="preserve"> of ISDS tribunal members</w:t>
      </w:r>
      <w:r w:rsidR="005F0F13">
        <w:t xml:space="preserve"> are</w:t>
      </w:r>
      <w:r w:rsidR="00160FD8">
        <w:t xml:space="preserve"> </w:t>
      </w:r>
      <w:r w:rsidR="005F0F13">
        <w:t xml:space="preserve"> </w:t>
      </w:r>
      <w:r w:rsidR="000E0F8C">
        <w:t>addressed</w:t>
      </w:r>
      <w:r w:rsidR="005F0F13">
        <w:t xml:space="preserve"> in the draft code of conduct</w:t>
      </w:r>
      <w:r w:rsidR="00B26123">
        <w:t xml:space="preserve"> prepared jointly with </w:t>
      </w:r>
      <w:r w:rsidR="008B4DAB">
        <w:t>the International Centre for Settlement of Investment Disputes (</w:t>
      </w:r>
      <w:r w:rsidR="00B26123">
        <w:t>ICSID</w:t>
      </w:r>
      <w:r w:rsidR="008B4DAB">
        <w:t>)</w:t>
      </w:r>
      <w:r w:rsidR="001A052F">
        <w:t xml:space="preserve">, in accordance with the deliberations of the Working Group at its </w:t>
      </w:r>
      <w:r w:rsidR="00884AA6">
        <w:t xml:space="preserve">thirty-eighth (A/CN.9/1004, paras. 51-78) and </w:t>
      </w:r>
      <w:r w:rsidR="001A052F">
        <w:t>resumed thirty-eighth (A/CN.9/100</w:t>
      </w:r>
      <w:r w:rsidR="00884AA6">
        <w:t>4</w:t>
      </w:r>
      <w:r w:rsidR="001A052F">
        <w:t>/Add.1, paras. 96 and 99</w:t>
      </w:r>
      <w:r w:rsidR="00884AA6">
        <w:t>)</w:t>
      </w:r>
      <w:r w:rsidR="00884AA6" w:rsidRPr="00884AA6">
        <w:t xml:space="preserve"> </w:t>
      </w:r>
      <w:r w:rsidR="00884AA6">
        <w:t>sessions</w:t>
      </w:r>
      <w:r w:rsidR="005F0F13">
        <w:t>.</w:t>
      </w:r>
      <w:r w:rsidR="005F0F13">
        <w:rPr>
          <w:rStyle w:val="FootnoteReference"/>
        </w:rPr>
        <w:footnoteReference w:id="4"/>
      </w:r>
      <w:r w:rsidR="005F0F13">
        <w:t xml:space="preserve"> </w:t>
      </w:r>
      <w:r w:rsidR="001A052F">
        <w:t>A</w:t>
      </w:r>
      <w:r w:rsidR="00A05F27">
        <w:t>rticle 3</w:t>
      </w:r>
      <w:r w:rsidR="000E0F8C">
        <w:t xml:space="preserve"> of the</w:t>
      </w:r>
      <w:r w:rsidR="001A052F">
        <w:t xml:space="preserve"> draft</w:t>
      </w:r>
      <w:r w:rsidR="000E0F8C">
        <w:t xml:space="preserve"> code refers to independence and impartiality, avoidance of any direct or indirect conflicts of interest, impropriety, bias and appearance of bias; highest standards of integrity, fairness and competence; availability, diligence, civility and efficiency; as well as compliance with any confidentiality and non-disclosure obligations.</w:t>
      </w:r>
      <w:r w:rsidR="000E0F8C">
        <w:rPr>
          <w:rStyle w:val="FootnoteReference"/>
        </w:rPr>
        <w:footnoteReference w:id="5"/>
      </w:r>
      <w:r w:rsidR="000E0F8C">
        <w:t xml:space="preserve"> </w:t>
      </w:r>
      <w:r w:rsidR="00DF6114">
        <w:rPr>
          <w:bCs/>
          <w:spacing w:val="0"/>
          <w:w w:val="100"/>
        </w:rPr>
        <w:t xml:space="preserve">The </w:t>
      </w:r>
      <w:r w:rsidR="00DF6114">
        <w:rPr>
          <w:bCs/>
          <w:spacing w:val="0"/>
          <w:w w:val="100"/>
        </w:rPr>
        <w:lastRenderedPageBreak/>
        <w:t xml:space="preserve">following </w:t>
      </w:r>
      <w:r w:rsidR="00DF6114">
        <w:t xml:space="preserve">additional issues pertaining to the selection and appointment of ISDS tribunal members are addressed in the draft </w:t>
      </w:r>
      <w:r w:rsidR="001A052F">
        <w:t>c</w:t>
      </w:r>
      <w:r w:rsidR="00DF6114">
        <w:t xml:space="preserve">ode of </w:t>
      </w:r>
      <w:r w:rsidR="001A052F">
        <w:t>c</w:t>
      </w:r>
      <w:r w:rsidR="00DF6114">
        <w:t>onduct: repeat appointments; instances of conflict of interest and/or so-called issue conflicts; and the practice of individuals switching roles as arbitrator, counsel and expert in different ISDS proceedings (A/CN.9/964, para. 70).</w:t>
      </w:r>
      <w:r w:rsidR="00DF6114">
        <w:rPr>
          <w:rStyle w:val="FootnoteReference"/>
        </w:rPr>
        <w:footnoteReference w:id="6"/>
      </w:r>
    </w:p>
    <w:p w14:paraId="04A5BDAB" w14:textId="1F480FD2" w:rsidR="00F108BC" w:rsidRPr="00580859" w:rsidRDefault="00884AA6" w:rsidP="00085FAD">
      <w:pPr>
        <w:pStyle w:val="SingleTxt"/>
        <w:numPr>
          <w:ilvl w:val="0"/>
          <w:numId w:val="7"/>
        </w:numPr>
        <w:ind w:left="1267" w:right="1267"/>
        <w:rPr>
          <w:bCs/>
          <w:spacing w:val="0"/>
          <w:w w:val="100"/>
        </w:rPr>
      </w:pPr>
      <w:r>
        <w:t>The draft code of conduct</w:t>
      </w:r>
      <w:r w:rsidR="00B26123">
        <w:t xml:space="preserve"> </w:t>
      </w:r>
      <w:r>
        <w:t xml:space="preserve">seeks to </w:t>
      </w:r>
      <w:r w:rsidR="00F108BC">
        <w:t>provide both general principles and reasonably detailed means of implementation. It also aim</w:t>
      </w:r>
      <w:r w:rsidR="001F3B30">
        <w:t>s</w:t>
      </w:r>
      <w:r w:rsidR="00F108BC">
        <w:t xml:space="preserve"> at ensuring that the qualifications are not too many or too strict, so as to avoid impacting negatively the pool of qualified individuals, which would run against the aim of achieving diversity (A/CN.9/1004/Add.1, para. 98). </w:t>
      </w:r>
    </w:p>
    <w:p w14:paraId="2A93A656" w14:textId="2450E8A8" w:rsidR="00580859" w:rsidRPr="00580859" w:rsidRDefault="00580859" w:rsidP="00580859">
      <w:pPr>
        <w:pStyle w:val="SingleTxt"/>
        <w:ind w:left="1267" w:right="1267"/>
        <w:rPr>
          <w:bCs/>
          <w:i/>
          <w:iCs/>
          <w:spacing w:val="0"/>
          <w:w w:val="100"/>
        </w:rPr>
      </w:pPr>
      <w:r w:rsidRPr="00580859">
        <w:rPr>
          <w:i/>
          <w:iCs/>
        </w:rPr>
        <w:t>Substantive qualifications</w:t>
      </w:r>
    </w:p>
    <w:p w14:paraId="6579A14A" w14:textId="77777777" w:rsidR="00DD3B55" w:rsidRPr="00DD3B55" w:rsidRDefault="00F108BC" w:rsidP="00085FAD">
      <w:pPr>
        <w:pStyle w:val="SingleTxt"/>
        <w:numPr>
          <w:ilvl w:val="0"/>
          <w:numId w:val="7"/>
        </w:numPr>
        <w:ind w:left="1267" w:right="1267"/>
        <w:rPr>
          <w:bCs/>
          <w:spacing w:val="0"/>
          <w:w w:val="100"/>
        </w:rPr>
      </w:pPr>
      <w:r>
        <w:t xml:space="preserve">In that light, it may be noted that </w:t>
      </w:r>
      <w:r w:rsidR="00580859">
        <w:rPr>
          <w:color w:val="262626"/>
          <w:lang w:eastAsia="zh-CN"/>
        </w:rPr>
        <w:t xml:space="preserve">the Working Group requested that the Secretariat give specific consideration to developing possible options regarding the substantive qualifications for ISDS tribunal members. In particular, it indicated that further consideration should be given to qualifications required including </w:t>
      </w:r>
      <w:r w:rsidR="00580859">
        <w:t>that ISDS tribunal members should (i) be cognizant of public international law, international trade and investment law, as well as private international law; (ii) have an understanding of the different policies underlying investment, of issues of sustainable development, of how to handle ISDS cases and of how governments operate; and (iii) have specific knowledge relevant to the dispute at hand, for example, industry-specific knowledge, knowledge of the relevant domestic legal system and calculation of damages</w:t>
      </w:r>
      <w:r w:rsidR="00580859">
        <w:rPr>
          <w:color w:val="262626"/>
          <w:lang w:eastAsia="zh-CN"/>
        </w:rPr>
        <w:t xml:space="preserve">. Such qualifications are not address in the draft code of conduct specifically. </w:t>
      </w:r>
    </w:p>
    <w:p w14:paraId="18331FBE" w14:textId="77777777" w:rsidR="00DD3B55" w:rsidRPr="00DD3B55" w:rsidRDefault="00F108BC" w:rsidP="00085FAD">
      <w:pPr>
        <w:pStyle w:val="SingleTxt"/>
        <w:numPr>
          <w:ilvl w:val="0"/>
          <w:numId w:val="7"/>
        </w:numPr>
        <w:ind w:left="1267" w:right="1267"/>
        <w:rPr>
          <w:bCs/>
          <w:spacing w:val="0"/>
          <w:w w:val="100"/>
        </w:rPr>
      </w:pPr>
      <w:r>
        <w:t>The Working Group may wish to consider how such requirements should be addressed</w:t>
      </w:r>
      <w:r w:rsidR="00995D7C">
        <w:t>, f</w:t>
      </w:r>
      <w:r>
        <w:t>or instance,</w:t>
      </w:r>
      <w:r w:rsidR="001F3B30">
        <w:t xml:space="preserve"> </w:t>
      </w:r>
      <w:r w:rsidR="00995D7C">
        <w:t>whether</w:t>
      </w:r>
      <w:r>
        <w:t xml:space="preserve"> these could be made part of criteria for</w:t>
      </w:r>
      <w:r w:rsidR="00944421">
        <w:t xml:space="preserve"> the</w:t>
      </w:r>
      <w:r>
        <w:t xml:space="preserve"> selection process in the context of </w:t>
      </w:r>
      <w:r w:rsidR="00EC2AAC">
        <w:t>ad hoc (appointing authorities and rosters) and</w:t>
      </w:r>
      <w:r>
        <w:t xml:space="preserve"> standing mechanism</w:t>
      </w:r>
      <w:r w:rsidR="00EC2AAC">
        <w:t>s</w:t>
      </w:r>
      <w:r>
        <w:t>.</w:t>
      </w:r>
      <w:r w:rsidR="00CA1507">
        <w:t xml:space="preserve"> </w:t>
      </w:r>
    </w:p>
    <w:p w14:paraId="125C85EA" w14:textId="062D7020" w:rsidR="00884AA6" w:rsidRPr="006013ED" w:rsidRDefault="00CA1507" w:rsidP="00085FAD">
      <w:pPr>
        <w:pStyle w:val="SingleTxt"/>
        <w:numPr>
          <w:ilvl w:val="0"/>
          <w:numId w:val="7"/>
        </w:numPr>
        <w:ind w:left="1267" w:right="1267"/>
        <w:rPr>
          <w:bCs/>
          <w:spacing w:val="0"/>
          <w:w w:val="100"/>
        </w:rPr>
      </w:pPr>
      <w:r>
        <w:t xml:space="preserve">An alternative might be to introduce a learning mechanism </w:t>
      </w:r>
      <w:r w:rsidR="00EC2AAC">
        <w:t xml:space="preserve">in the functioning of the tribunals themselves, </w:t>
      </w:r>
      <w:r>
        <w:t xml:space="preserve">to achieve competence and </w:t>
      </w:r>
      <w:r w:rsidR="00944421">
        <w:t>inclusiveness</w:t>
      </w:r>
      <w:r>
        <w:t xml:space="preserve"> over time</w:t>
      </w:r>
      <w:r w:rsidR="00EC2AAC">
        <w:t>,</w:t>
      </w:r>
      <w:r>
        <w:t xml:space="preserve"> by systematically </w:t>
      </w:r>
      <w:r w:rsidR="00EC2AAC">
        <w:t xml:space="preserve">ensuring participation of </w:t>
      </w:r>
      <w:r>
        <w:t xml:space="preserve">a more “junior” </w:t>
      </w:r>
      <w:r w:rsidR="00EC2AAC">
        <w:t xml:space="preserve">person either as part of the ISDS tribunal </w:t>
      </w:r>
      <w:r w:rsidR="000B72E5">
        <w:t>or perhaps as a silent observer (though such a role would have to be specifically created as it is not contemplated in current mechanisms)</w:t>
      </w:r>
      <w:r>
        <w:t>.</w:t>
      </w:r>
    </w:p>
    <w:p w14:paraId="20AE8433" w14:textId="05C00E5A" w:rsidR="006013ED" w:rsidRPr="00A8324B" w:rsidRDefault="006013ED" w:rsidP="00085FAD">
      <w:pPr>
        <w:pStyle w:val="SingleTxt"/>
        <w:numPr>
          <w:ilvl w:val="0"/>
          <w:numId w:val="6"/>
        </w:numPr>
        <w:ind w:right="1267"/>
        <w:rPr>
          <w:b/>
          <w:spacing w:val="0"/>
          <w:w w:val="100"/>
          <w:sz w:val="22"/>
          <w:szCs w:val="22"/>
        </w:rPr>
      </w:pPr>
      <w:r w:rsidRPr="00A8324B">
        <w:rPr>
          <w:b/>
          <w:spacing w:val="0"/>
          <w:w w:val="100"/>
          <w:sz w:val="22"/>
          <w:szCs w:val="22"/>
        </w:rPr>
        <w:t>Independence, impartiality and accountability</w:t>
      </w:r>
    </w:p>
    <w:p w14:paraId="11F8D252" w14:textId="77777777" w:rsidR="003578DD" w:rsidRPr="003578DD" w:rsidRDefault="00115198" w:rsidP="00085FAD">
      <w:pPr>
        <w:pStyle w:val="SingleTxt"/>
        <w:numPr>
          <w:ilvl w:val="0"/>
          <w:numId w:val="7"/>
        </w:numPr>
        <w:ind w:left="1267" w:right="1267"/>
        <w:rPr>
          <w:bCs/>
          <w:spacing w:val="0"/>
          <w:w w:val="100"/>
        </w:rPr>
      </w:pPr>
      <w:r>
        <w:t xml:space="preserve">The draft code addresses matters </w:t>
      </w:r>
      <w:r w:rsidR="003578DD">
        <w:t>relating to</w:t>
      </w:r>
      <w:r>
        <w:t xml:space="preserve"> independence, impartiality and accountability as they are key features of ethical rules. </w:t>
      </w:r>
      <w:r w:rsidR="003578DD">
        <w:t xml:space="preserve">The Working Group may wish to note the need for a balance between independence and accountability, and the role of appointment procedures in this respect. </w:t>
      </w:r>
    </w:p>
    <w:p w14:paraId="6E5CDF44" w14:textId="36D668D9" w:rsidR="006013ED" w:rsidRPr="00F108BC" w:rsidRDefault="00160FD8" w:rsidP="00085FAD">
      <w:pPr>
        <w:pStyle w:val="SingleTxt"/>
        <w:numPr>
          <w:ilvl w:val="0"/>
          <w:numId w:val="7"/>
        </w:numPr>
        <w:ind w:left="1267" w:right="1267"/>
        <w:rPr>
          <w:bCs/>
          <w:spacing w:val="0"/>
          <w:w w:val="100"/>
        </w:rPr>
      </w:pPr>
      <w:r>
        <w:t xml:space="preserve">It may also be noted that other </w:t>
      </w:r>
      <w:r w:rsidR="003578DD">
        <w:t xml:space="preserve">reform options </w:t>
      </w:r>
      <w:r w:rsidR="000B72E5">
        <w:t>c</w:t>
      </w:r>
      <w:r>
        <w:t>ould</w:t>
      </w:r>
      <w:r w:rsidR="003578DD">
        <w:t xml:space="preserve"> assist in achieving the desired balance, </w:t>
      </w:r>
      <w:r w:rsidR="000B72E5">
        <w:t>including, among others,</w:t>
      </w:r>
      <w:r w:rsidR="003578DD">
        <w:t xml:space="preserve"> the use by States of interpret</w:t>
      </w:r>
      <w:r w:rsidR="00C95788">
        <w:t>at</w:t>
      </w:r>
      <w:r w:rsidR="003578DD">
        <w:t xml:space="preserve">ive </w:t>
      </w:r>
      <w:r>
        <w:t>declarations</w:t>
      </w:r>
      <w:r w:rsidR="003578DD">
        <w:t xml:space="preserve"> (see A/CN.9/WG.III/WP.191). This would permit States to ensure that interpretation by ISDS tribunals would remain in line with their intentions when they concluded the treaty, thereby reducing interpre</w:t>
      </w:r>
      <w:r>
        <w:t>ta</w:t>
      </w:r>
      <w:r w:rsidR="003578DD">
        <w:t xml:space="preserve">tive autonomy of </w:t>
      </w:r>
      <w:r w:rsidR="00B26123">
        <w:t>ISDS tribunals</w:t>
      </w:r>
      <w:r w:rsidR="003578DD">
        <w:t xml:space="preserve">. This would also assist ISDS tribunal members to clarify the law independently from the interests of </w:t>
      </w:r>
      <w:r>
        <w:t>disputing parties</w:t>
      </w:r>
      <w:r w:rsidR="003578DD">
        <w:t>.</w:t>
      </w:r>
      <w:r w:rsidR="003578DD">
        <w:rPr>
          <w:rStyle w:val="FootnoteReference"/>
        </w:rPr>
        <w:footnoteReference w:id="7"/>
      </w:r>
      <w:r w:rsidR="003578DD">
        <w:t xml:space="preserve"> </w:t>
      </w:r>
    </w:p>
    <w:p w14:paraId="2AAADECC" w14:textId="067D04F8" w:rsidR="00135AD2" w:rsidRPr="00A8324B" w:rsidRDefault="00135AD2" w:rsidP="00085FAD">
      <w:pPr>
        <w:pStyle w:val="SingleTxt"/>
        <w:numPr>
          <w:ilvl w:val="0"/>
          <w:numId w:val="6"/>
        </w:numPr>
        <w:ind w:right="1267"/>
        <w:rPr>
          <w:b/>
          <w:bCs/>
          <w:sz w:val="22"/>
          <w:szCs w:val="22"/>
        </w:rPr>
      </w:pPr>
      <w:bookmarkStart w:id="1" w:name="_Hlk35963167"/>
      <w:r w:rsidRPr="00A8324B">
        <w:rPr>
          <w:b/>
          <w:bCs/>
          <w:sz w:val="22"/>
          <w:szCs w:val="22"/>
        </w:rPr>
        <w:t xml:space="preserve">Diversity and balanced representation </w:t>
      </w:r>
      <w:r w:rsidR="0077140F" w:rsidRPr="00A8324B">
        <w:rPr>
          <w:b/>
          <w:bCs/>
          <w:sz w:val="22"/>
          <w:szCs w:val="22"/>
        </w:rPr>
        <w:t>(inclusiveness)</w:t>
      </w:r>
    </w:p>
    <w:p w14:paraId="24F846AB" w14:textId="53909DC4" w:rsidR="0035365B" w:rsidRPr="0035365B" w:rsidRDefault="00884AA6" w:rsidP="00085FAD">
      <w:pPr>
        <w:pStyle w:val="SingleTxt"/>
        <w:numPr>
          <w:ilvl w:val="0"/>
          <w:numId w:val="7"/>
        </w:numPr>
        <w:ind w:left="1267" w:right="1267"/>
        <w:rPr>
          <w:bCs/>
          <w:spacing w:val="0"/>
          <w:w w:val="100"/>
        </w:rPr>
      </w:pPr>
      <w:r>
        <w:t xml:space="preserve">In addition to the qualifications and other requirements, the Working Group indicated that </w:t>
      </w:r>
      <w:r w:rsidR="000B72E5">
        <w:t xml:space="preserve">appropriate diversity, such as </w:t>
      </w:r>
      <w:r>
        <w:t xml:space="preserve">geographical, gender and linguistic diversity as well as equitable representation of the different legal systems and cultures </w:t>
      </w:r>
      <w:r>
        <w:lastRenderedPageBreak/>
        <w:t xml:space="preserve">would be of essence in the ISDS system. It was highlighted that achieving diversity would enhance the quality of the ISDS process, as different perspectives, especially from different cultures and different levels of economic development could ensure a more balanced decision-making (A/CN.9/1001/Add.1, para. 101). </w:t>
      </w:r>
      <w:r w:rsidR="0035365B">
        <w:t>L</w:t>
      </w:r>
      <w:r w:rsidR="00687781">
        <w:t xml:space="preserve">ack of diversity </w:t>
      </w:r>
      <w:r w:rsidR="0035365B">
        <w:t>has been said</w:t>
      </w:r>
      <w:r w:rsidR="00520FE3">
        <w:t xml:space="preserve"> to </w:t>
      </w:r>
      <w:r w:rsidR="00687781">
        <w:t>undermin</w:t>
      </w:r>
      <w:r w:rsidR="0035365B">
        <w:t>e</w:t>
      </w:r>
      <w:r w:rsidR="00687781">
        <w:t xml:space="preserve"> the legitimacy of the </w:t>
      </w:r>
      <w:r w:rsidR="00520FE3">
        <w:t>ISDS regime</w:t>
      </w:r>
      <w:r w:rsidR="00687781">
        <w:t>.</w:t>
      </w:r>
      <w:r w:rsidR="00C95788">
        <w:t xml:space="preserve"> </w:t>
      </w:r>
    </w:p>
    <w:p w14:paraId="7A0634C2" w14:textId="627BC6A6" w:rsidR="00C95788" w:rsidRPr="00995D7C" w:rsidRDefault="00C95788" w:rsidP="00085FAD">
      <w:pPr>
        <w:pStyle w:val="SingleTxt"/>
        <w:numPr>
          <w:ilvl w:val="0"/>
          <w:numId w:val="7"/>
        </w:numPr>
        <w:ind w:left="1267" w:right="1267"/>
        <w:rPr>
          <w:bCs/>
          <w:spacing w:val="0"/>
          <w:w w:val="100"/>
        </w:rPr>
      </w:pPr>
      <w:r>
        <w:t xml:space="preserve">The Working Group may wish to note that pursuing the objective of inclusiveness, rather than diversity, may help ensuring that no type of diversity would be viewed as exclusionary; it may also help addressing the tension between defining strict criteria of selection and ensuring </w:t>
      </w:r>
      <w:r w:rsidR="00B47C0D">
        <w:t>participation of persons with different backgrounds</w:t>
      </w:r>
      <w:r>
        <w:t>.</w:t>
      </w:r>
      <w:r>
        <w:rPr>
          <w:rStyle w:val="FootnoteReference"/>
        </w:rPr>
        <w:footnoteReference w:id="8"/>
      </w:r>
      <w:r>
        <w:t xml:space="preserve">  This goal  may be achieved through various means in the different models below.</w:t>
      </w:r>
    </w:p>
    <w:p w14:paraId="11A87A46" w14:textId="138A16B5" w:rsidR="00272D89" w:rsidRPr="00272D89" w:rsidRDefault="00995D7C" w:rsidP="00085FAD">
      <w:pPr>
        <w:pStyle w:val="SingleTxt"/>
        <w:numPr>
          <w:ilvl w:val="0"/>
          <w:numId w:val="7"/>
        </w:numPr>
        <w:ind w:left="1247" w:right="1247"/>
        <w:rPr>
          <w:bCs/>
          <w:spacing w:val="0"/>
          <w:w w:val="100"/>
        </w:rPr>
      </w:pPr>
      <w:r>
        <w:t xml:space="preserve">For instance, </w:t>
      </w:r>
      <w:r w:rsidR="00C95788">
        <w:t>regarding standing mechanisms,</w:t>
      </w:r>
      <w:r w:rsidR="00135AD2">
        <w:t xml:space="preserve"> </w:t>
      </w:r>
      <w:r w:rsidR="00C95788">
        <w:t>s</w:t>
      </w:r>
      <w:r w:rsidR="00135AD2">
        <w:t>everal existing statutes of international courts</w:t>
      </w:r>
      <w:r>
        <w:t xml:space="preserve"> </w:t>
      </w:r>
      <w:r w:rsidR="00135AD2">
        <w:t>refer to “equitable geographical representation” or “distribution” for the selection of adjudicators</w:t>
      </w:r>
      <w:r>
        <w:t>,</w:t>
      </w:r>
      <w:r w:rsidR="00135AD2">
        <w:rPr>
          <w:rStyle w:val="FootnoteReference"/>
        </w:rPr>
        <w:footnoteReference w:id="9"/>
      </w:r>
      <w:r w:rsidR="00135AD2">
        <w:t xml:space="preserve"> balance</w:t>
      </w:r>
      <w:r w:rsidR="00B47C0D">
        <w:t>d</w:t>
      </w:r>
      <w:r w:rsidR="00135AD2">
        <w:t xml:space="preserve"> representation between developed, developing and least developed countries,</w:t>
      </w:r>
      <w:r w:rsidR="00135AD2">
        <w:rPr>
          <w:rStyle w:val="FootnoteReference"/>
        </w:rPr>
        <w:footnoteReference w:id="10"/>
      </w:r>
      <w:r w:rsidR="00135AD2">
        <w:t xml:space="preserve"> as well as between capital exporting and capital-importing countries.</w:t>
      </w:r>
      <w:r w:rsidR="00135AD2">
        <w:rPr>
          <w:rStyle w:val="FootnoteReference"/>
        </w:rPr>
        <w:footnoteReference w:id="11"/>
      </w:r>
      <w:r w:rsidR="00135AD2">
        <w:t xml:space="preserve"> Constitutive instruments of courts and tribunals also commonly provide that the court composition as a whole must reflect a balance of different profiles and a representation of the world’s main legal systems or traditions.</w:t>
      </w:r>
      <w:r w:rsidR="00135AD2">
        <w:rPr>
          <w:rStyle w:val="FootnoteReference"/>
        </w:rPr>
        <w:footnoteReference w:id="12"/>
      </w:r>
      <w:r w:rsidR="00135AD2">
        <w:t xml:space="preserve"> It may be noted that the Protocol on the African Court provides that when putting forward their nominations, States “shall give[]” “[d]ue consideration to adequate gender representation in nomination process</w:t>
      </w:r>
      <w:r w:rsidR="000C5D8E">
        <w:t>.</w:t>
      </w:r>
      <w:r w:rsidR="00135AD2">
        <w:t>”</w:t>
      </w:r>
      <w:r w:rsidR="00135AD2">
        <w:rPr>
          <w:rStyle w:val="FootnoteReference"/>
        </w:rPr>
        <w:footnoteReference w:id="13"/>
      </w:r>
      <w:r>
        <w:t xml:space="preserve"> </w:t>
      </w:r>
    </w:p>
    <w:p w14:paraId="77CDEEB3" w14:textId="77777777" w:rsidR="00DD3B55" w:rsidRPr="00DD3B55" w:rsidRDefault="00B47C0D" w:rsidP="00085FAD">
      <w:pPr>
        <w:pStyle w:val="SingleTxt"/>
        <w:numPr>
          <w:ilvl w:val="0"/>
          <w:numId w:val="7"/>
        </w:numPr>
        <w:ind w:left="1247" w:right="1247"/>
        <w:rPr>
          <w:bCs/>
          <w:spacing w:val="0"/>
          <w:w w:val="100"/>
        </w:rPr>
      </w:pPr>
      <w:r>
        <w:t>The Arbitration Pledge for diversity can also be mentioned as an effort to pursue this goal in the field of international arbitration</w:t>
      </w:r>
      <w:r w:rsidR="00995D7C">
        <w:t>.</w:t>
      </w:r>
      <w:r w:rsidR="00995D7C">
        <w:rPr>
          <w:rStyle w:val="FootnoteReference"/>
        </w:rPr>
        <w:footnoteReference w:id="14"/>
      </w:r>
      <w:r w:rsidR="00272D89">
        <w:t xml:space="preserve"> The Pledge, however, addresses only </w:t>
      </w:r>
      <w:r w:rsidR="00272D89">
        <w:lastRenderedPageBreak/>
        <w:t>gender diversity</w:t>
      </w:r>
      <w:r w:rsidR="00520FE3">
        <w:t>. Therefore,</w:t>
      </w:r>
      <w:r w:rsidR="00272D89">
        <w:t xml:space="preserve"> other proposals or institutional reforms to increase </w:t>
      </w:r>
      <w:r w:rsidR="00C95788">
        <w:t xml:space="preserve">other types of </w:t>
      </w:r>
      <w:r w:rsidR="00272D89">
        <w:t>diversity and facilitate inclusiveness</w:t>
      </w:r>
      <w:r w:rsidR="00520FE3">
        <w:t xml:space="preserve"> might need to be considered</w:t>
      </w:r>
      <w:r w:rsidR="00272D89">
        <w:t>.</w:t>
      </w:r>
      <w:r w:rsidR="00BE287A">
        <w:t xml:space="preserve"> </w:t>
      </w:r>
    </w:p>
    <w:p w14:paraId="4976939D" w14:textId="7C5584A0" w:rsidR="00995D7C" w:rsidRPr="00B47C0D" w:rsidRDefault="003B0F72" w:rsidP="00085FAD">
      <w:pPr>
        <w:pStyle w:val="SingleTxt"/>
        <w:numPr>
          <w:ilvl w:val="0"/>
          <w:numId w:val="7"/>
        </w:numPr>
        <w:ind w:left="1247" w:right="1247"/>
        <w:rPr>
          <w:bCs/>
          <w:spacing w:val="0"/>
          <w:w w:val="100"/>
        </w:rPr>
      </w:pPr>
      <w:r>
        <w:t>The Working Group may wish to consider that ongoing training and continuous learning as a condition to become a possible member of an ISDS tribunal would constitute an effective</w:t>
      </w:r>
      <w:r w:rsidR="00BE287A">
        <w:t xml:space="preserve"> means to ensure both competence and inclusive</w:t>
      </w:r>
      <w:r w:rsidR="00B47C0D">
        <w:t>ness</w:t>
      </w:r>
      <w:r w:rsidR="00BE287A">
        <w:t>.</w:t>
      </w:r>
      <w:r>
        <w:t xml:space="preserve"> It may wish to note that this matter might be addressed in the context of the reform option regarding the establishment of an advisory centre (see A/CN.9/1004, paras. 28-50). </w:t>
      </w:r>
    </w:p>
    <w:p w14:paraId="011DA7C0" w14:textId="69B918C2" w:rsidR="00E03E40" w:rsidRPr="00E03E40" w:rsidRDefault="00E03E40" w:rsidP="00C956B2">
      <w:pPr>
        <w:pStyle w:val="SingleTxt"/>
        <w:spacing w:after="0" w:line="120" w:lineRule="atLeast"/>
        <w:ind w:left="1247" w:right="1267"/>
        <w:rPr>
          <w:sz w:val="10"/>
        </w:rPr>
      </w:pPr>
      <w:bookmarkStart w:id="2" w:name="_Hlk24984067"/>
      <w:bookmarkEnd w:id="1"/>
    </w:p>
    <w:p w14:paraId="376BC052" w14:textId="77777777" w:rsidR="0035365B" w:rsidRDefault="00B80E49" w:rsidP="00085FAD">
      <w:pPr>
        <w:pStyle w:val="H4"/>
        <w:keepNext w:val="0"/>
        <w:numPr>
          <w:ilvl w:val="0"/>
          <w:numId w:val="6"/>
        </w:numPr>
        <w:ind w:left="1607"/>
        <w:rPr>
          <w:b/>
          <w:bCs/>
          <w:i w:val="0"/>
          <w:iCs/>
          <w:sz w:val="22"/>
          <w:szCs w:val="22"/>
        </w:rPr>
      </w:pPr>
      <w:r>
        <w:rPr>
          <w:b/>
          <w:bCs/>
          <w:i w:val="0"/>
          <w:iCs/>
          <w:sz w:val="22"/>
          <w:szCs w:val="22"/>
        </w:rPr>
        <w:t>Implementation</w:t>
      </w:r>
    </w:p>
    <w:p w14:paraId="665199A8" w14:textId="63BBD1C8" w:rsidR="00A00E9D" w:rsidRPr="00B47376" w:rsidRDefault="00135AD2" w:rsidP="0035365B">
      <w:pPr>
        <w:pStyle w:val="H4"/>
        <w:keepNext w:val="0"/>
        <w:ind w:left="1607" w:firstLine="0"/>
        <w:rPr>
          <w:b/>
          <w:bCs/>
          <w:i w:val="0"/>
          <w:iCs/>
          <w:sz w:val="22"/>
          <w:szCs w:val="22"/>
        </w:rPr>
      </w:pPr>
      <w:r>
        <w:rPr>
          <w:b/>
          <w:bCs/>
          <w:i w:val="0"/>
          <w:iCs/>
          <w:sz w:val="22"/>
          <w:szCs w:val="22"/>
        </w:rPr>
        <w:t xml:space="preserve"> </w:t>
      </w:r>
    </w:p>
    <w:p w14:paraId="2557C8E9" w14:textId="53A8BAFB" w:rsidR="00116A26" w:rsidRPr="000421C9" w:rsidRDefault="00116A26" w:rsidP="00085FAD">
      <w:pPr>
        <w:pStyle w:val="SingleTxt"/>
        <w:numPr>
          <w:ilvl w:val="0"/>
          <w:numId w:val="7"/>
        </w:numPr>
        <w:ind w:left="1267" w:right="1267"/>
        <w:rPr>
          <w:bCs/>
          <w:spacing w:val="0"/>
          <w:w w:val="100"/>
        </w:rPr>
      </w:pPr>
      <w:r>
        <w:t xml:space="preserve">Elements in the methods of selection and appointment of ISDS tribunal members (see </w:t>
      </w:r>
      <w:r w:rsidR="0035365B">
        <w:t>below</w:t>
      </w:r>
      <w:r>
        <w:t>)</w:t>
      </w:r>
      <w:r w:rsidR="0035365B">
        <w:t xml:space="preserve"> </w:t>
      </w:r>
      <w:r w:rsidR="00B47C0D">
        <w:t>c</w:t>
      </w:r>
      <w:r w:rsidR="0035365B">
        <w:t xml:space="preserve">ould </w:t>
      </w:r>
      <w:r>
        <w:t xml:space="preserve">contribute to the actual implementation of certain qualifications and requirements. </w:t>
      </w:r>
      <w:bookmarkStart w:id="3" w:name="_Hlk40950942"/>
      <w:r>
        <w:t xml:space="preserve">For instance, in permanent bodies, certain conditions of office are </w:t>
      </w:r>
      <w:r w:rsidR="00B47C0D">
        <w:t>often</w:t>
      </w:r>
      <w:r>
        <w:t xml:space="preserve"> seen as contributing to the independence and integrity of the process, such as long, non-renewable terms of offices, financial security, limitations on other professional activities and immunities</w:t>
      </w:r>
      <w:bookmarkEnd w:id="3"/>
      <w:r>
        <w:t>.</w:t>
      </w:r>
      <w:r>
        <w:rPr>
          <w:rStyle w:val="FootnoteReference"/>
        </w:rPr>
        <w:footnoteReference w:id="15"/>
      </w:r>
      <w:r>
        <w:t xml:space="preserve"> The procedural rules on the management of rosters would also be key in that respect</w:t>
      </w:r>
      <w:r w:rsidR="00B47C0D">
        <w:t xml:space="preserve">, as placement on rosters </w:t>
      </w:r>
      <w:r w:rsidR="00B47C0D">
        <w:rPr>
          <w:color w:val="262626"/>
          <w:lang w:eastAsia="zh-CN"/>
        </w:rPr>
        <w:t>could also be subject to requirements to ensure inclusiveness and adequate qualifications</w:t>
      </w:r>
      <w:r>
        <w:t>.</w:t>
      </w:r>
    </w:p>
    <w:p w14:paraId="667D9862" w14:textId="598DF924" w:rsidR="00C95788" w:rsidRDefault="00116A26" w:rsidP="00085FAD">
      <w:pPr>
        <w:pStyle w:val="ListParagraph"/>
        <w:numPr>
          <w:ilvl w:val="0"/>
          <w:numId w:val="7"/>
        </w:numPr>
        <w:ind w:left="1247" w:right="1304"/>
        <w:jc w:val="both"/>
      </w:pPr>
      <w:r>
        <w:t>C</w:t>
      </w:r>
      <w:r w:rsidR="001847D4">
        <w:t xml:space="preserve">ore qualifications and requirements </w:t>
      </w:r>
      <w:r w:rsidR="00076B29">
        <w:t>c</w:t>
      </w:r>
      <w:r w:rsidR="001847D4">
        <w:t xml:space="preserve">ould </w:t>
      </w:r>
      <w:r>
        <w:t xml:space="preserve">also </w:t>
      </w:r>
      <w:r w:rsidR="001847D4">
        <w:t xml:space="preserve">be implemented </w:t>
      </w:r>
      <w:r w:rsidR="00CC1C3E">
        <w:t xml:space="preserve">mainly </w:t>
      </w:r>
      <w:r w:rsidR="001847D4">
        <w:t>through the adoption of a code of conduct</w:t>
      </w:r>
      <w:r w:rsidR="000D0BC2">
        <w:t xml:space="preserve"> (A/CN.9/1004/Add.1, para. 132)</w:t>
      </w:r>
      <w:r w:rsidR="001847D4">
        <w:t xml:space="preserve">. </w:t>
      </w:r>
      <w:r w:rsidR="000D0BC2">
        <w:t>As indicated in the annotations to the draft code of conduct, s</w:t>
      </w:r>
      <w:r w:rsidR="001847D4" w:rsidRPr="001847D4">
        <w:t xml:space="preserve">everal options might be considered </w:t>
      </w:r>
      <w:r w:rsidR="001A052F">
        <w:t>for its implementation</w:t>
      </w:r>
      <w:r w:rsidR="00D00473">
        <w:t>.</w:t>
      </w:r>
      <w:r w:rsidR="00F108BC">
        <w:t xml:space="preserve"> </w:t>
      </w:r>
      <w:r w:rsidR="001847D4" w:rsidRPr="001847D4">
        <w:t>The most likely options would be</w:t>
      </w:r>
      <w:r w:rsidR="000C5D8E">
        <w:t xml:space="preserve"> to</w:t>
      </w:r>
      <w:r w:rsidR="001847D4" w:rsidRPr="001847D4">
        <w:t>: (i) incorporate the code into investment treaties and other instruments of consent; (ii) have disputing parties agree to its application at the inception of each case; (iii) append it to the disclosure declaration that adjudicators must file upon acceptance of nomination; or (iv) incorporate the code into applicable procedural rules</w:t>
      </w:r>
      <w:r w:rsidR="00BE287A">
        <w:t xml:space="preserve"> or statutes of a permanent body</w:t>
      </w:r>
      <w:r w:rsidR="001847D4" w:rsidRPr="001847D4">
        <w:t>.  The code could also be made part of a multilateral instrument on ISDS reform, if such instrument were to be developed (see A/CN.9/WG.III/WP.194). In this instance, the applicability of the code would be determined by such instrument.</w:t>
      </w:r>
    </w:p>
    <w:p w14:paraId="091E3AF3" w14:textId="5D7B83D6" w:rsidR="001847D4" w:rsidRPr="001847D4" w:rsidRDefault="001847D4" w:rsidP="00C95788">
      <w:pPr>
        <w:pStyle w:val="ListParagraph"/>
        <w:ind w:left="1304" w:right="1304"/>
        <w:jc w:val="both"/>
      </w:pPr>
      <w:r w:rsidRPr="001847D4">
        <w:t xml:space="preserve"> </w:t>
      </w:r>
    </w:p>
    <w:bookmarkEnd w:id="2"/>
    <w:p w14:paraId="2504DEDC" w14:textId="20A62EBF" w:rsidR="0060037D" w:rsidRDefault="002C0599" w:rsidP="0065469E">
      <w:pPr>
        <w:pStyle w:val="H23"/>
        <w:ind w:left="1267" w:right="1260" w:hanging="1267"/>
      </w:pPr>
      <w:r>
        <w:tab/>
      </w:r>
    </w:p>
    <w:p w14:paraId="0E9F32C7" w14:textId="0343D252" w:rsidR="0060037D" w:rsidRDefault="00EE09CF" w:rsidP="0060037D">
      <w:pPr>
        <w:pStyle w:val="SingleTxt"/>
        <w:ind w:left="737" w:right="1267"/>
        <w:rPr>
          <w:b/>
          <w:bCs/>
          <w:sz w:val="24"/>
          <w:szCs w:val="24"/>
        </w:rPr>
      </w:pPr>
      <w:r>
        <w:rPr>
          <w:b/>
          <w:bCs/>
          <w:sz w:val="24"/>
          <w:szCs w:val="24"/>
        </w:rPr>
        <w:t>B</w:t>
      </w:r>
      <w:r w:rsidR="0060037D" w:rsidRPr="0065469E">
        <w:rPr>
          <w:b/>
          <w:bCs/>
          <w:sz w:val="24"/>
          <w:szCs w:val="24"/>
        </w:rPr>
        <w:t xml:space="preserve">. </w:t>
      </w:r>
      <w:r w:rsidR="0094628D">
        <w:rPr>
          <w:b/>
          <w:bCs/>
          <w:sz w:val="24"/>
          <w:szCs w:val="24"/>
        </w:rPr>
        <w:t>Methods of s</w:t>
      </w:r>
      <w:r w:rsidR="00B80E49">
        <w:rPr>
          <w:b/>
          <w:bCs/>
          <w:sz w:val="24"/>
          <w:szCs w:val="24"/>
        </w:rPr>
        <w:t>election and appointment</w:t>
      </w:r>
      <w:r w:rsidR="0094628D">
        <w:rPr>
          <w:b/>
          <w:bCs/>
          <w:sz w:val="24"/>
          <w:szCs w:val="24"/>
        </w:rPr>
        <w:t xml:space="preserve"> </w:t>
      </w:r>
    </w:p>
    <w:p w14:paraId="466A6F15" w14:textId="77777777" w:rsidR="00AB4143" w:rsidRDefault="00AB4143" w:rsidP="00AB4143">
      <w:pPr>
        <w:pStyle w:val="SingleTxt"/>
        <w:spacing w:after="0" w:line="120" w:lineRule="atLeast"/>
        <w:ind w:left="1304" w:right="1267"/>
      </w:pPr>
    </w:p>
    <w:p w14:paraId="6153F440" w14:textId="31B804E2" w:rsidR="00C95DBE" w:rsidRPr="00353547" w:rsidRDefault="00AD4494" w:rsidP="00085FAD">
      <w:pPr>
        <w:pStyle w:val="SingleTxt"/>
        <w:numPr>
          <w:ilvl w:val="0"/>
          <w:numId w:val="7"/>
        </w:numPr>
        <w:spacing w:after="0" w:line="120" w:lineRule="atLeast"/>
        <w:ind w:left="1304" w:right="1267"/>
        <w:rPr>
          <w:iCs/>
        </w:rPr>
      </w:pPr>
      <w:r>
        <w:t>At its resumed thirty</w:t>
      </w:r>
      <w:r w:rsidR="005C156E">
        <w:t>-</w:t>
      </w:r>
      <w:r>
        <w:t>eighth session, t</w:t>
      </w:r>
      <w:r w:rsidRPr="00D03515">
        <w:t xml:space="preserve">he </w:t>
      </w:r>
      <w:r w:rsidR="00FB686D" w:rsidRPr="00D03515">
        <w:t xml:space="preserve">Working Group undertook a preliminary </w:t>
      </w:r>
      <w:r w:rsidR="00C95DBE">
        <w:t>consideration of</w:t>
      </w:r>
      <w:r w:rsidR="00292F72">
        <w:t xml:space="preserve"> the reform options in relation to the selection and appointment of ISDS tribunal members, which included the establishment of a roster of qualified candidates</w:t>
      </w:r>
      <w:r w:rsidR="00C95DBE">
        <w:t xml:space="preserve"> </w:t>
      </w:r>
      <w:r w:rsidR="00292F72">
        <w:t xml:space="preserve">and the setting up of a </w:t>
      </w:r>
      <w:r w:rsidR="00C95788">
        <w:t>standing mechanism  (also referred to as a “</w:t>
      </w:r>
      <w:r w:rsidR="00292F72">
        <w:t>permanent body</w:t>
      </w:r>
      <w:r w:rsidR="00C95788">
        <w:t>”)</w:t>
      </w:r>
      <w:r w:rsidR="00292F72">
        <w:t xml:space="preserve"> composed of full-time adjudicators. </w:t>
      </w:r>
    </w:p>
    <w:p w14:paraId="6B2811E2" w14:textId="77777777" w:rsidR="00353547" w:rsidRPr="00353547" w:rsidRDefault="00353547" w:rsidP="00353547">
      <w:pPr>
        <w:pStyle w:val="SingleTxt"/>
        <w:spacing w:after="0" w:line="120" w:lineRule="atLeast"/>
        <w:ind w:left="1304" w:right="1267"/>
        <w:rPr>
          <w:iCs/>
        </w:rPr>
      </w:pPr>
    </w:p>
    <w:p w14:paraId="116402E6" w14:textId="3A35AD34" w:rsidR="00353547" w:rsidRPr="00272D89" w:rsidRDefault="00353547" w:rsidP="00085FAD">
      <w:pPr>
        <w:pStyle w:val="SingleTxt"/>
        <w:numPr>
          <w:ilvl w:val="0"/>
          <w:numId w:val="7"/>
        </w:numPr>
        <w:spacing w:after="0" w:line="120" w:lineRule="atLeast"/>
        <w:ind w:left="1304" w:right="1267"/>
        <w:rPr>
          <w:iCs/>
        </w:rPr>
      </w:pPr>
      <w:r>
        <w:t>With regard to the selection and appointment of ISDS tribunal members, the Secretariat was requested to further analyse the different mechanisms considered by the Working Group and to develop them for future consideration, including how those mechanisms, either individually or in combination, could be adapted and implemented in light of the wide range of reform options. It was stated that the specific features would largely depend on the broader design of how ISDS would be conducted, including whether the ad hoc nature would be preserved or whether a permanent structure would be sought (A/CN.9/1004/Add.1, para. 133).</w:t>
      </w:r>
    </w:p>
    <w:p w14:paraId="69F53F92" w14:textId="77777777" w:rsidR="00272D89" w:rsidRDefault="00272D89" w:rsidP="00272D89">
      <w:pPr>
        <w:pStyle w:val="ListParagraph"/>
        <w:rPr>
          <w:iCs/>
        </w:rPr>
      </w:pPr>
    </w:p>
    <w:p w14:paraId="7C349CA6" w14:textId="17CA6944" w:rsidR="000863E0" w:rsidRPr="00A8324B" w:rsidRDefault="000863E0" w:rsidP="000863E0">
      <w:pPr>
        <w:pStyle w:val="SingleTxt"/>
        <w:spacing w:after="0" w:line="120" w:lineRule="atLeast"/>
        <w:ind w:left="1304" w:right="1267"/>
        <w:rPr>
          <w:b/>
          <w:bCs/>
          <w:sz w:val="22"/>
          <w:szCs w:val="22"/>
        </w:rPr>
      </w:pPr>
      <w:r w:rsidRPr="00A8324B">
        <w:rPr>
          <w:b/>
          <w:bCs/>
          <w:sz w:val="22"/>
          <w:szCs w:val="22"/>
        </w:rPr>
        <w:t xml:space="preserve">1. </w:t>
      </w:r>
      <w:r w:rsidR="002B56DD" w:rsidRPr="00A8324B">
        <w:rPr>
          <w:b/>
          <w:bCs/>
          <w:sz w:val="22"/>
          <w:szCs w:val="22"/>
        </w:rPr>
        <w:t xml:space="preserve">Ad hoc </w:t>
      </w:r>
      <w:r w:rsidR="00791D24" w:rsidRPr="00A8324B">
        <w:rPr>
          <w:b/>
          <w:bCs/>
          <w:sz w:val="22"/>
          <w:szCs w:val="22"/>
        </w:rPr>
        <w:t>mechanism</w:t>
      </w:r>
    </w:p>
    <w:p w14:paraId="555B630B" w14:textId="77777777" w:rsidR="000863E0" w:rsidRDefault="000863E0" w:rsidP="000863E0">
      <w:pPr>
        <w:pStyle w:val="SingleTxt"/>
        <w:spacing w:after="0" w:line="120" w:lineRule="atLeast"/>
        <w:ind w:left="1304" w:right="1267"/>
      </w:pPr>
    </w:p>
    <w:p w14:paraId="7879766A" w14:textId="21859B09" w:rsidR="00F70F67" w:rsidRDefault="00F70F67" w:rsidP="00085FAD">
      <w:pPr>
        <w:pStyle w:val="SingleTxt"/>
        <w:numPr>
          <w:ilvl w:val="0"/>
          <w:numId w:val="7"/>
        </w:numPr>
        <w:spacing w:after="0" w:line="120" w:lineRule="atLeast"/>
        <w:ind w:right="1267"/>
      </w:pPr>
      <w:r>
        <w:t xml:space="preserve">In the ISDS regime as it currently stands, </w:t>
      </w:r>
      <w:r w:rsidR="00791D24">
        <w:t>the dispute</w:t>
      </w:r>
      <w:r w:rsidR="00C95788">
        <w:t>s</w:t>
      </w:r>
      <w:r w:rsidR="00791D24">
        <w:t xml:space="preserve"> are resolved by an ISDS tribunal constituted ad hoc for that particular dispute. The disputing parties (the claimant-investor and the respondent-State) play an important role in the selection of the members of the tribunal. </w:t>
      </w:r>
      <w:r>
        <w:t xml:space="preserve">Indeed, the rules applicable in investor-State arbitration </w:t>
      </w:r>
      <w:r>
        <w:lastRenderedPageBreak/>
        <w:t>allow disputing parties to agree on the method to select the arbitrators and to agree directly upon their identity</w:t>
      </w:r>
      <w:r w:rsidR="00C55576">
        <w:t xml:space="preserve"> (A/CN.9/1004/Add.1, para. 103)</w:t>
      </w:r>
      <w:r>
        <w:t>.</w:t>
      </w:r>
      <w:r w:rsidR="001D1693">
        <w:t xml:space="preserve"> Such method allows parties to choose the arbitrators that they consider most qualified for solving their disputes and has been described as ensuring the flexibility and attractiveness of arbitration.</w:t>
      </w:r>
      <w:r w:rsidR="001D1693">
        <w:rPr>
          <w:rStyle w:val="FootnoteReference"/>
        </w:rPr>
        <w:footnoteReference w:id="16"/>
      </w:r>
      <w:r w:rsidR="00791D24">
        <w:t xml:space="preserve"> It has also raised concerns,</w:t>
      </w:r>
      <w:r w:rsidR="00AD1E73">
        <w:t xml:space="preserve"> in the context of ISDS, </w:t>
      </w:r>
      <w:r w:rsidR="00791D24">
        <w:t xml:space="preserve">as mentioned above in para. </w:t>
      </w:r>
      <w:r w:rsidR="000146D9">
        <w:t>3</w:t>
      </w:r>
      <w:r w:rsidR="00791D24">
        <w:t>.</w:t>
      </w:r>
    </w:p>
    <w:p w14:paraId="66C0BB77" w14:textId="77777777" w:rsidR="00F70F67" w:rsidRDefault="00F70F67" w:rsidP="00F70F67">
      <w:pPr>
        <w:pStyle w:val="SingleTxt"/>
        <w:spacing w:after="0" w:line="120" w:lineRule="atLeast"/>
        <w:ind w:left="1275" w:right="1267"/>
      </w:pPr>
    </w:p>
    <w:p w14:paraId="0AE4A0EC" w14:textId="0EDDB556" w:rsidR="00F70F67" w:rsidRDefault="001D1693" w:rsidP="00085FAD">
      <w:pPr>
        <w:pStyle w:val="SingleTxt"/>
        <w:numPr>
          <w:ilvl w:val="0"/>
          <w:numId w:val="7"/>
        </w:numPr>
        <w:spacing w:after="0" w:line="120" w:lineRule="atLeast"/>
        <w:ind w:right="1267"/>
      </w:pPr>
      <w:r>
        <w:t>The Working Group may wish to consider option</w:t>
      </w:r>
      <w:r w:rsidR="00791D24">
        <w:t>s</w:t>
      </w:r>
      <w:r>
        <w:t xml:space="preserve"> for </w:t>
      </w:r>
      <w:r w:rsidR="00076B29">
        <w:t xml:space="preserve">further </w:t>
      </w:r>
      <w:r>
        <w:t xml:space="preserve">regulating such </w:t>
      </w:r>
      <w:r w:rsidR="00791D24">
        <w:t xml:space="preserve">selection and </w:t>
      </w:r>
      <w:r>
        <w:t xml:space="preserve">appointment method </w:t>
      </w:r>
      <w:r w:rsidR="00791D24">
        <w:t>in the context of ad hoc mechanism (similar to the current ISDS regime, where ISDS tribunals are constituted for each case, after a dispute has arisen, as opposed to a standing mechanism).</w:t>
      </w:r>
      <w:r>
        <w:t xml:space="preserve"> </w:t>
      </w:r>
      <w:r w:rsidR="00076B29">
        <w:t>Possible options for further regulation include, among others</w:t>
      </w:r>
      <w:r w:rsidR="00F70F67">
        <w:t xml:space="preserve"> </w:t>
      </w:r>
      <w:r w:rsidR="001818A1">
        <w:t>(i) a selection and appointment method whereby tribunal members would be selected by a third party acting as</w:t>
      </w:r>
      <w:r w:rsidR="000146D9">
        <w:t xml:space="preserve"> an</w:t>
      </w:r>
      <w:r w:rsidR="001818A1">
        <w:t xml:space="preserve"> appointing authority, without any input or with limited input from the disputing parties; </w:t>
      </w:r>
      <w:r w:rsidR="001818A1">
        <w:rPr>
          <w:rStyle w:val="FootnoteReference"/>
        </w:rPr>
        <w:footnoteReference w:id="17"/>
      </w:r>
      <w:r w:rsidR="001818A1">
        <w:t xml:space="preserve"> and (ii) the use of </w:t>
      </w:r>
      <w:r w:rsidR="002B56DD">
        <w:t>a pre-established list or roster of arbitrators</w:t>
      </w:r>
      <w:r w:rsidR="00F70F67">
        <w:t>.</w:t>
      </w:r>
      <w:r w:rsidR="00687781">
        <w:rPr>
          <w:rStyle w:val="FootnoteReference"/>
        </w:rPr>
        <w:footnoteReference w:id="18"/>
      </w:r>
      <w:r w:rsidR="00791D24">
        <w:t xml:space="preserve"> </w:t>
      </w:r>
    </w:p>
    <w:p w14:paraId="208AA68D" w14:textId="77777777" w:rsidR="003A21D8" w:rsidRDefault="003A21D8" w:rsidP="003A21D8">
      <w:pPr>
        <w:pStyle w:val="ListParagraph"/>
      </w:pPr>
    </w:p>
    <w:p w14:paraId="2DFBC0CC" w14:textId="02FEE5D5" w:rsidR="001D1693" w:rsidRPr="00E64586" w:rsidRDefault="00E64586" w:rsidP="00085FAD">
      <w:pPr>
        <w:pStyle w:val="ListParagraph"/>
        <w:numPr>
          <w:ilvl w:val="1"/>
          <w:numId w:val="6"/>
        </w:numPr>
        <w:rPr>
          <w:b/>
          <w:bCs/>
        </w:rPr>
      </w:pPr>
      <w:r w:rsidRPr="00E64586">
        <w:rPr>
          <w:b/>
          <w:bCs/>
        </w:rPr>
        <w:t>Appointing authorities</w:t>
      </w:r>
    </w:p>
    <w:p w14:paraId="484E682A" w14:textId="77777777" w:rsidR="00E64586" w:rsidRDefault="00E64586" w:rsidP="00E64586">
      <w:pPr>
        <w:pStyle w:val="ListParagraph"/>
        <w:ind w:left="2203"/>
      </w:pPr>
    </w:p>
    <w:p w14:paraId="0669FE0E" w14:textId="48EE7F7F" w:rsidR="001818A1" w:rsidRDefault="001D1693" w:rsidP="00085FAD">
      <w:pPr>
        <w:pStyle w:val="SingleTxt"/>
        <w:numPr>
          <w:ilvl w:val="0"/>
          <w:numId w:val="7"/>
        </w:numPr>
        <w:spacing w:after="0" w:line="120" w:lineRule="atLeast"/>
        <w:ind w:right="1267"/>
      </w:pPr>
      <w:r>
        <w:t>Regarding a possible role for appointing authorities</w:t>
      </w:r>
      <w:r w:rsidR="009033B0">
        <w:t xml:space="preserve"> in the regulation of party-appointment</w:t>
      </w:r>
      <w:r>
        <w:t>, it may be noted that</w:t>
      </w:r>
      <w:r w:rsidR="00376B2A">
        <w:t xml:space="preserve"> a</w:t>
      </w:r>
      <w:r w:rsidR="00F70F67">
        <w:t>ppointing authorities</w:t>
      </w:r>
      <w:r w:rsidR="002256AF">
        <w:t xml:space="preserve"> already</w:t>
      </w:r>
      <w:r>
        <w:t xml:space="preserve"> </w:t>
      </w:r>
      <w:r w:rsidR="00F70F67">
        <w:t xml:space="preserve">intervene </w:t>
      </w:r>
      <w:r w:rsidR="002256AF">
        <w:t xml:space="preserve">in the ISDS regime as it currently stands </w:t>
      </w:r>
      <w:r w:rsidR="00F70F67">
        <w:t>in the appointment process</w:t>
      </w:r>
      <w:r w:rsidR="00465EFA">
        <w:t xml:space="preserve">, </w:t>
      </w:r>
      <w:r w:rsidR="003B77CC">
        <w:t>most frequently</w:t>
      </w:r>
      <w:r w:rsidR="00F70F67">
        <w:t xml:space="preserve"> to appoint the presiding arbitrator in a three-person tribunal</w:t>
      </w:r>
      <w:r w:rsidR="00376B2A">
        <w:t>.</w:t>
      </w:r>
      <w:r w:rsidR="00F70F67">
        <w:rPr>
          <w:rStyle w:val="FootnoteReference"/>
        </w:rPr>
        <w:footnoteReference w:id="19"/>
      </w:r>
      <w:r w:rsidR="007C16E8">
        <w:t xml:space="preserve"> The question for consideration is whether an enhanced role should be given to appointing authorities (A/CN.9/1004/Add.1, paras. 105).</w:t>
      </w:r>
      <w:r w:rsidR="00AD1E73">
        <w:rPr>
          <w:rStyle w:val="FootnoteReference"/>
        </w:rPr>
        <w:footnoteReference w:id="20"/>
      </w:r>
      <w:r w:rsidR="00D67FB0">
        <w:t xml:space="preserve"> </w:t>
      </w:r>
      <w:r w:rsidR="003B77CC">
        <w:t>It may be noted at the outset that any such reform would require active participation of the appointing authorities and their agreement for implementing any such reform. T</w:t>
      </w:r>
      <w:r w:rsidR="001818A1">
        <w:t>he Working Group may wish to consider the following question</w:t>
      </w:r>
      <w:r w:rsidR="002256AF">
        <w:t>s</w:t>
      </w:r>
      <w:r w:rsidR="001818A1">
        <w:t>.</w:t>
      </w:r>
    </w:p>
    <w:p w14:paraId="2B4425BF" w14:textId="77777777" w:rsidR="001818A1" w:rsidRDefault="001818A1" w:rsidP="001818A1">
      <w:pPr>
        <w:pStyle w:val="ListParagraph"/>
      </w:pPr>
    </w:p>
    <w:p w14:paraId="4AF58B99" w14:textId="3D7A9973" w:rsidR="00ED1461" w:rsidRPr="00ED1461" w:rsidRDefault="00ED1461" w:rsidP="00085FAD">
      <w:pPr>
        <w:pStyle w:val="SingleTxt"/>
        <w:numPr>
          <w:ilvl w:val="0"/>
          <w:numId w:val="9"/>
        </w:numPr>
        <w:spacing w:after="0" w:line="120" w:lineRule="atLeast"/>
        <w:ind w:right="1267"/>
        <w:rPr>
          <w:i/>
          <w:iCs/>
        </w:rPr>
      </w:pPr>
      <w:r w:rsidRPr="00ED1461">
        <w:rPr>
          <w:i/>
          <w:iCs/>
        </w:rPr>
        <w:t xml:space="preserve">Whether the selection and appointment </w:t>
      </w:r>
      <w:r w:rsidR="006429C9">
        <w:rPr>
          <w:i/>
          <w:iCs/>
        </w:rPr>
        <w:t>would be</w:t>
      </w:r>
      <w:r w:rsidRPr="00ED1461">
        <w:rPr>
          <w:i/>
          <w:iCs/>
        </w:rPr>
        <w:t xml:space="preserve"> made fully or partially by the appointing authority</w:t>
      </w:r>
      <w:r>
        <w:rPr>
          <w:i/>
          <w:iCs/>
        </w:rPr>
        <w:t xml:space="preserve"> and by whom within the appointing authority</w:t>
      </w:r>
    </w:p>
    <w:p w14:paraId="0790E844" w14:textId="77777777" w:rsidR="00ED1461" w:rsidRDefault="00ED1461" w:rsidP="00ED1461">
      <w:pPr>
        <w:pStyle w:val="ListParagraph"/>
      </w:pPr>
    </w:p>
    <w:p w14:paraId="3EB8AD89" w14:textId="59518E23" w:rsidR="007C16E8" w:rsidRDefault="007C16E8" w:rsidP="00085FAD">
      <w:pPr>
        <w:pStyle w:val="SingleTxt"/>
        <w:numPr>
          <w:ilvl w:val="0"/>
          <w:numId w:val="7"/>
        </w:numPr>
        <w:ind w:right="1267"/>
      </w:pPr>
      <w:r>
        <w:t xml:space="preserve">There are a variety of ways in which an </w:t>
      </w:r>
      <w:r w:rsidR="002256AF">
        <w:t>appointing authority</w:t>
      </w:r>
      <w:r>
        <w:t xml:space="preserve"> could select arbitrators. One possibility is to have a hybrid selection process whereby </w:t>
      </w:r>
      <w:r w:rsidR="001818A1">
        <w:t>the p</w:t>
      </w:r>
      <w:r>
        <w:t>arties to an ISDS dispute each select and appoint an arbitrator of their choosing (either from a roster or not) and then the relevant</w:t>
      </w:r>
      <w:r w:rsidR="002256AF">
        <w:t xml:space="preserve"> appointing authority</w:t>
      </w:r>
      <w:r>
        <w:t xml:space="preserve"> selects and appoints the chairperson (either from a roster or not). Another possibility is to have all appointments </w:t>
      </w:r>
      <w:r w:rsidR="002256AF">
        <w:t>(</w:t>
      </w:r>
      <w:r w:rsidR="00D6486C">
        <w:t xml:space="preserve">the </w:t>
      </w:r>
      <w:r w:rsidR="002256AF">
        <w:t xml:space="preserve">two co-arbitrators and the chairperson) </w:t>
      </w:r>
      <w:r>
        <w:t xml:space="preserve">made by an </w:t>
      </w:r>
      <w:r w:rsidR="002256AF">
        <w:t>appointing authority</w:t>
      </w:r>
      <w:r>
        <w:t xml:space="preserve">. </w:t>
      </w:r>
    </w:p>
    <w:p w14:paraId="18A9034F" w14:textId="6A4B61EF" w:rsidR="00ED1461" w:rsidRDefault="007C16E8" w:rsidP="00085FAD">
      <w:pPr>
        <w:pStyle w:val="SingleTxt"/>
        <w:numPr>
          <w:ilvl w:val="0"/>
          <w:numId w:val="7"/>
        </w:numPr>
        <w:spacing w:after="0" w:line="120" w:lineRule="atLeast"/>
        <w:ind w:right="1267"/>
      </w:pPr>
      <w:r>
        <w:t xml:space="preserve">Further options </w:t>
      </w:r>
      <w:r w:rsidR="006429C9">
        <w:t>include</w:t>
      </w:r>
      <w:r w:rsidR="00ED1461">
        <w:t xml:space="preserve"> selection and appointment of ISDS tribunal members </w:t>
      </w:r>
      <w:r w:rsidR="006429C9">
        <w:t>by the appointing authority</w:t>
      </w:r>
      <w:r w:rsidR="00D5323A">
        <w:t>, possibly</w:t>
      </w:r>
      <w:r w:rsidR="006429C9">
        <w:t xml:space="preserve"> in</w:t>
      </w:r>
      <w:r w:rsidR="00ED1461">
        <w:t xml:space="preserve"> consult</w:t>
      </w:r>
      <w:r w:rsidR="006429C9">
        <w:t>ation with</w:t>
      </w:r>
      <w:r w:rsidR="00ED1461">
        <w:t xml:space="preserve"> </w:t>
      </w:r>
      <w:r w:rsidR="00D5323A">
        <w:t>the disputing parties</w:t>
      </w:r>
      <w:r w:rsidR="001818A1">
        <w:t>, it being understood that</w:t>
      </w:r>
      <w:r w:rsidR="00ED1461">
        <w:t xml:space="preserve"> the ultimate decision </w:t>
      </w:r>
      <w:r w:rsidR="006A586E">
        <w:t>would fall</w:t>
      </w:r>
      <w:r w:rsidR="00ED1461">
        <w:t xml:space="preserve"> </w:t>
      </w:r>
      <w:r w:rsidR="00B27E12">
        <w:t>on</w:t>
      </w:r>
      <w:r w:rsidR="00ED1461">
        <w:t xml:space="preserve"> the </w:t>
      </w:r>
      <w:r w:rsidR="002256AF">
        <w:t>appointing authority</w:t>
      </w:r>
      <w:r w:rsidR="00ED1461">
        <w:t xml:space="preserve">. For example, the </w:t>
      </w:r>
      <w:r w:rsidR="002256AF">
        <w:t>appointing authority</w:t>
      </w:r>
      <w:r w:rsidR="00ED1461">
        <w:t xml:space="preserve"> could circulate </w:t>
      </w:r>
      <w:r w:rsidR="006A586E">
        <w:t>a</w:t>
      </w:r>
      <w:r w:rsidR="00ED1461">
        <w:t xml:space="preserve"> list of potential co</w:t>
      </w:r>
      <w:r w:rsidR="006429C9">
        <w:t>-</w:t>
      </w:r>
      <w:r w:rsidR="00ED1461">
        <w:t xml:space="preserve">arbitrators to each of the </w:t>
      </w:r>
      <w:r w:rsidR="001818A1">
        <w:t>disputing p</w:t>
      </w:r>
      <w:r w:rsidR="00ED1461">
        <w:t xml:space="preserve">arties and the </w:t>
      </w:r>
      <w:r w:rsidR="001818A1">
        <w:t>p</w:t>
      </w:r>
      <w:r w:rsidR="00ED1461">
        <w:t xml:space="preserve">arties could then rank their preferences off of the list. Then a second list of potential chairpersons could be circulated to the </w:t>
      </w:r>
      <w:r w:rsidR="001818A1">
        <w:t>disputing p</w:t>
      </w:r>
      <w:r w:rsidR="00ED1461">
        <w:t xml:space="preserve">arties and both </w:t>
      </w:r>
      <w:r w:rsidR="001818A1">
        <w:t>p</w:t>
      </w:r>
      <w:r w:rsidR="00ED1461">
        <w:t xml:space="preserve">arties </w:t>
      </w:r>
      <w:r w:rsidR="00D6486C">
        <w:t>c</w:t>
      </w:r>
      <w:r w:rsidR="00ED1461">
        <w:t>ould individually rank their preferences for a chairperson from that list.</w:t>
      </w:r>
      <w:r w:rsidR="002256AF">
        <w:rPr>
          <w:rStyle w:val="FootnoteReference"/>
        </w:rPr>
        <w:footnoteReference w:id="21"/>
      </w:r>
      <w:r w:rsidR="006429C9">
        <w:t xml:space="preserve"> </w:t>
      </w:r>
      <w:r w:rsidR="002256AF">
        <w:t xml:space="preserve"> </w:t>
      </w:r>
    </w:p>
    <w:p w14:paraId="7B978862" w14:textId="77777777" w:rsidR="00ED1461" w:rsidRDefault="00ED1461" w:rsidP="00ED1461">
      <w:pPr>
        <w:pStyle w:val="SingleTxt"/>
        <w:spacing w:after="0" w:line="120" w:lineRule="atLeast"/>
        <w:ind w:left="1275" w:right="1267"/>
      </w:pPr>
    </w:p>
    <w:p w14:paraId="7DFF5D40" w14:textId="534B3ACC" w:rsidR="00ED1461" w:rsidRDefault="00ED1461" w:rsidP="00085FAD">
      <w:pPr>
        <w:pStyle w:val="SingleTxt"/>
        <w:numPr>
          <w:ilvl w:val="0"/>
          <w:numId w:val="7"/>
        </w:numPr>
        <w:spacing w:after="0" w:line="120" w:lineRule="atLeast"/>
        <w:ind w:right="1267"/>
      </w:pPr>
      <w:r>
        <w:t xml:space="preserve">A connected question is whether the selection and appointment </w:t>
      </w:r>
      <w:r w:rsidR="001818A1">
        <w:t>would</w:t>
      </w:r>
      <w:r>
        <w:t xml:space="preserve"> be made by an individual (as </w:t>
      </w:r>
      <w:r w:rsidR="001818A1">
        <w:t>th</w:t>
      </w:r>
      <w:r>
        <w:t xml:space="preserve">e </w:t>
      </w:r>
      <w:r w:rsidR="001818A1">
        <w:t>S</w:t>
      </w:r>
      <w:r>
        <w:t xml:space="preserve">ecretary-General or President of the institution(s) concerned) or by a special committee within the appointing authority tasked with making such selection and appointment. This last option would require determining the mode of functioning of such </w:t>
      </w:r>
      <w:r w:rsidR="00D6486C">
        <w:t xml:space="preserve">committee, </w:t>
      </w:r>
      <w:r w:rsidR="002256AF">
        <w:t xml:space="preserve">such as </w:t>
      </w:r>
      <w:r>
        <w:t xml:space="preserve">composition of the </w:t>
      </w:r>
      <w:r w:rsidR="002256AF">
        <w:t>c</w:t>
      </w:r>
      <w:r>
        <w:t>ommittee</w:t>
      </w:r>
      <w:r w:rsidR="002256AF">
        <w:t xml:space="preserve"> and</w:t>
      </w:r>
      <w:r>
        <w:t xml:space="preserve"> selection process </w:t>
      </w:r>
      <w:r w:rsidR="002256AF">
        <w:t xml:space="preserve">(for instance, </w:t>
      </w:r>
      <w:r>
        <w:t>by vote, through qualified majorit</w:t>
      </w:r>
      <w:r w:rsidR="002256AF">
        <w:t>y)</w:t>
      </w:r>
      <w:r w:rsidR="00AD1E73">
        <w:t xml:space="preserve"> and the timing for making such determination</w:t>
      </w:r>
      <w:r>
        <w:t xml:space="preserve">. </w:t>
      </w:r>
    </w:p>
    <w:p w14:paraId="0C9CBCE5" w14:textId="77777777" w:rsidR="00075EEC" w:rsidRDefault="00075EEC" w:rsidP="00075EEC">
      <w:pPr>
        <w:pStyle w:val="ListParagraph"/>
      </w:pPr>
    </w:p>
    <w:p w14:paraId="5F68B777" w14:textId="77C7EC60" w:rsidR="00ED1461" w:rsidRPr="006429C9" w:rsidRDefault="006429C9" w:rsidP="00085FAD">
      <w:pPr>
        <w:pStyle w:val="SingleTxt"/>
        <w:numPr>
          <w:ilvl w:val="0"/>
          <w:numId w:val="9"/>
        </w:numPr>
        <w:spacing w:after="0" w:line="120" w:lineRule="atLeast"/>
        <w:ind w:right="1267"/>
        <w:rPr>
          <w:i/>
          <w:iCs/>
        </w:rPr>
      </w:pPr>
      <w:r w:rsidRPr="006429C9">
        <w:rPr>
          <w:i/>
          <w:iCs/>
        </w:rPr>
        <w:t xml:space="preserve">Whether the selection and appointment by the appointing authority </w:t>
      </w:r>
      <w:r w:rsidR="001818A1">
        <w:rPr>
          <w:i/>
          <w:iCs/>
        </w:rPr>
        <w:t>would be</w:t>
      </w:r>
      <w:r w:rsidRPr="006429C9">
        <w:rPr>
          <w:i/>
          <w:iCs/>
        </w:rPr>
        <w:t xml:space="preserve"> made through a roster</w:t>
      </w:r>
    </w:p>
    <w:p w14:paraId="50172323" w14:textId="77777777" w:rsidR="00ED1461" w:rsidRDefault="00ED1461" w:rsidP="00ED1461">
      <w:pPr>
        <w:pStyle w:val="ListParagraph"/>
      </w:pPr>
    </w:p>
    <w:p w14:paraId="4EBEDF30" w14:textId="4D9FFBE7" w:rsidR="00ED1461" w:rsidRDefault="006429C9" w:rsidP="00085FAD">
      <w:pPr>
        <w:pStyle w:val="SingleTxt"/>
        <w:numPr>
          <w:ilvl w:val="0"/>
          <w:numId w:val="7"/>
        </w:numPr>
        <w:spacing w:after="0" w:line="120" w:lineRule="atLeast"/>
        <w:ind w:right="1267"/>
      </w:pPr>
      <w:r>
        <w:t>A question for consideration is whether a list or roster w</w:t>
      </w:r>
      <w:r w:rsidR="006A586E">
        <w:t>ould</w:t>
      </w:r>
      <w:r>
        <w:t xml:space="preserve"> be used by the </w:t>
      </w:r>
      <w:r w:rsidR="006A586E">
        <w:t>appointing authorities</w:t>
      </w:r>
      <w:r>
        <w:t>.</w:t>
      </w:r>
      <w:r w:rsidRPr="006429C9">
        <w:t xml:space="preserve"> </w:t>
      </w:r>
      <w:r w:rsidR="002256AF">
        <w:t>If so, t</w:t>
      </w:r>
      <w:r>
        <w:t xml:space="preserve">he composition of such a roster would follow the same considerations </w:t>
      </w:r>
      <w:r w:rsidR="002256AF">
        <w:t>as</w:t>
      </w:r>
      <w:r>
        <w:t xml:space="preserve"> </w:t>
      </w:r>
      <w:r w:rsidR="006A586E">
        <w:t>outlined</w:t>
      </w:r>
      <w:r>
        <w:t xml:space="preserve"> below</w:t>
      </w:r>
      <w:r w:rsidR="006A586E">
        <w:t xml:space="preserve"> (see paras. </w:t>
      </w:r>
      <w:r w:rsidR="00D6486C">
        <w:t>32</w:t>
      </w:r>
      <w:r w:rsidR="00110685">
        <w:t>-4</w:t>
      </w:r>
      <w:r w:rsidR="00D6486C">
        <w:t>3</w:t>
      </w:r>
      <w:r w:rsidR="006A586E">
        <w:t>)</w:t>
      </w:r>
      <w:r>
        <w:t>.</w:t>
      </w:r>
      <w:r w:rsidRPr="006429C9">
        <w:t xml:space="preserve"> </w:t>
      </w:r>
      <w:r w:rsidR="00B76528">
        <w:t>F</w:t>
      </w:r>
      <w:r w:rsidR="00815C4A">
        <w:t xml:space="preserve">urther </w:t>
      </w:r>
      <w:r>
        <w:t>consideration</w:t>
      </w:r>
      <w:r w:rsidR="00B76528">
        <w:t xml:space="preserve">s include (i) </w:t>
      </w:r>
      <w:r>
        <w:t>whether</w:t>
      </w:r>
      <w:r w:rsidR="00B76528">
        <w:t xml:space="preserve"> </w:t>
      </w:r>
      <w:r>
        <w:t xml:space="preserve">the </w:t>
      </w:r>
      <w:r w:rsidR="006A586E">
        <w:t>appointing authority</w:t>
      </w:r>
      <w:r>
        <w:t xml:space="preserve"> </w:t>
      </w:r>
      <w:r w:rsidR="002256AF">
        <w:t>would be compelled to</w:t>
      </w:r>
      <w:r>
        <w:t xml:space="preserve"> select from the roster or whether it </w:t>
      </w:r>
      <w:r w:rsidR="002256AF">
        <w:t>would</w:t>
      </w:r>
      <w:r>
        <w:t xml:space="preserve"> use</w:t>
      </w:r>
      <w:r w:rsidR="002256AF">
        <w:t xml:space="preserve"> it</w:t>
      </w:r>
      <w:r>
        <w:t xml:space="preserve"> as guidance</w:t>
      </w:r>
      <w:r w:rsidR="002256AF">
        <w:t xml:space="preserve"> only</w:t>
      </w:r>
      <w:r w:rsidR="00B76528">
        <w:t>; and (ii) whether</w:t>
      </w:r>
      <w:r>
        <w:t xml:space="preserve"> different rules </w:t>
      </w:r>
      <w:r w:rsidR="00B76528">
        <w:t xml:space="preserve">would be needed </w:t>
      </w:r>
      <w:r>
        <w:t>for the selection of the co-arbitrators and for the chairperson</w:t>
      </w:r>
      <w:r w:rsidR="00990D8F">
        <w:t>: f</w:t>
      </w:r>
      <w:r>
        <w:t xml:space="preserve">or </w:t>
      </w:r>
      <w:r w:rsidR="00990D8F">
        <w:t>instance</w:t>
      </w:r>
      <w:r>
        <w:t xml:space="preserve">, there could be a rule that for the selection of the co-arbitrators, use of the roster by the </w:t>
      </w:r>
      <w:r w:rsidR="006A586E">
        <w:t>appointing author</w:t>
      </w:r>
      <w:r w:rsidR="00990D8F">
        <w:t>i</w:t>
      </w:r>
      <w:r w:rsidR="006A586E">
        <w:t>ty</w:t>
      </w:r>
      <w:r>
        <w:t xml:space="preserve"> would be voluntary; but for the selection of the chairperson, use of the roster would be mandatory</w:t>
      </w:r>
      <w:r w:rsidR="006A586E">
        <w:t>.</w:t>
      </w:r>
    </w:p>
    <w:p w14:paraId="142D5866" w14:textId="2AA508B0" w:rsidR="00815C4A" w:rsidRDefault="00815C4A" w:rsidP="00815C4A">
      <w:pPr>
        <w:pStyle w:val="SingleTxt"/>
        <w:spacing w:after="0" w:line="120" w:lineRule="atLeast"/>
        <w:ind w:right="1267"/>
      </w:pPr>
    </w:p>
    <w:p w14:paraId="706E2D21" w14:textId="77777777" w:rsidR="00815C4A" w:rsidRPr="00075EEC" w:rsidRDefault="00815C4A" w:rsidP="00085FAD">
      <w:pPr>
        <w:pStyle w:val="SingleTxt"/>
        <w:numPr>
          <w:ilvl w:val="0"/>
          <w:numId w:val="9"/>
        </w:numPr>
        <w:spacing w:after="0" w:line="120" w:lineRule="atLeast"/>
        <w:ind w:right="1267"/>
        <w:rPr>
          <w:i/>
          <w:iCs/>
        </w:rPr>
      </w:pPr>
      <w:r w:rsidRPr="00075EEC">
        <w:rPr>
          <w:i/>
          <w:iCs/>
        </w:rPr>
        <w:t>Whether more than one institution would serve as appointing authority</w:t>
      </w:r>
    </w:p>
    <w:p w14:paraId="4DC62EB8" w14:textId="77777777" w:rsidR="00815C4A" w:rsidRDefault="00815C4A" w:rsidP="00815C4A">
      <w:pPr>
        <w:pStyle w:val="ListParagraph"/>
      </w:pPr>
    </w:p>
    <w:p w14:paraId="46FB19B1" w14:textId="4DCA48FD" w:rsidR="00815C4A" w:rsidRDefault="00815C4A" w:rsidP="00085FAD">
      <w:pPr>
        <w:pStyle w:val="SingleTxt"/>
        <w:numPr>
          <w:ilvl w:val="0"/>
          <w:numId w:val="7"/>
        </w:numPr>
        <w:spacing w:after="0" w:line="120" w:lineRule="atLeast"/>
        <w:ind w:right="1267"/>
      </w:pPr>
      <w:r>
        <w:t>A further question is whether one or more institutions would serve as appointing authority. If more than one institution serves as appointing authority, questions for consideration include whether a list of such appointing authorities should be set-up to take account of geographical diversity and, if so, whether it would be a close or open list; and  how such appointing authority w</w:t>
      </w:r>
      <w:r w:rsidR="00D6486C">
        <w:t>ould</w:t>
      </w:r>
      <w:r>
        <w:t xml:space="preserve"> be designated by the disputing parties.</w:t>
      </w:r>
    </w:p>
    <w:p w14:paraId="030085F5" w14:textId="77777777" w:rsidR="00192843" w:rsidRDefault="00192843" w:rsidP="00192843">
      <w:pPr>
        <w:pStyle w:val="SingleTxt"/>
        <w:spacing w:after="0" w:line="120" w:lineRule="atLeast"/>
        <w:ind w:left="1275" w:right="1267"/>
      </w:pPr>
    </w:p>
    <w:p w14:paraId="751895E2" w14:textId="00E8FFDD" w:rsidR="000863E0" w:rsidRPr="007C16E8" w:rsidRDefault="007C16E8" w:rsidP="00085FAD">
      <w:pPr>
        <w:pStyle w:val="SingleTxt"/>
        <w:numPr>
          <w:ilvl w:val="0"/>
          <w:numId w:val="9"/>
        </w:numPr>
        <w:spacing w:after="0" w:line="120" w:lineRule="atLeast"/>
        <w:ind w:right="1267"/>
        <w:rPr>
          <w:i/>
          <w:iCs/>
        </w:rPr>
      </w:pPr>
      <w:r w:rsidRPr="007C16E8">
        <w:rPr>
          <w:i/>
          <w:iCs/>
        </w:rPr>
        <w:t>How to ensure transparency and accountability</w:t>
      </w:r>
    </w:p>
    <w:p w14:paraId="0F8F7458" w14:textId="0D6EFBE9" w:rsidR="007C16E8" w:rsidRDefault="007C16E8" w:rsidP="000863E0">
      <w:pPr>
        <w:pStyle w:val="SingleTxt"/>
        <w:spacing w:after="0" w:line="120" w:lineRule="atLeast"/>
        <w:ind w:left="1304" w:right="1267"/>
        <w:rPr>
          <w:b/>
          <w:bCs/>
        </w:rPr>
      </w:pPr>
    </w:p>
    <w:p w14:paraId="4C32DC38" w14:textId="4AE41169" w:rsidR="007C16E8" w:rsidRDefault="007C16E8" w:rsidP="00085FAD">
      <w:pPr>
        <w:pStyle w:val="SingleTxt"/>
        <w:numPr>
          <w:ilvl w:val="0"/>
          <w:numId w:val="7"/>
        </w:numPr>
        <w:spacing w:after="0" w:line="120" w:lineRule="atLeast"/>
        <w:ind w:right="1267"/>
      </w:pPr>
      <w:r>
        <w:t xml:space="preserve">Measures </w:t>
      </w:r>
      <w:r w:rsidR="006A586E">
        <w:t xml:space="preserve">to </w:t>
      </w:r>
      <w:r>
        <w:t xml:space="preserve">enhance </w:t>
      </w:r>
      <w:r w:rsidR="00AD1E73">
        <w:t xml:space="preserve">transparency and </w:t>
      </w:r>
      <w:r>
        <w:t>availab</w:t>
      </w:r>
      <w:r w:rsidR="00AD1E73">
        <w:t>ility of</w:t>
      </w:r>
      <w:r>
        <w:t xml:space="preserve"> information on the selection and appointment process by the appointing authorities </w:t>
      </w:r>
      <w:r w:rsidR="00041142">
        <w:t>w</w:t>
      </w:r>
      <w:r w:rsidR="006A586E">
        <w:t xml:space="preserve">ould </w:t>
      </w:r>
      <w:r w:rsidR="00041142">
        <w:t xml:space="preserve">need to </w:t>
      </w:r>
      <w:r w:rsidR="006A586E">
        <w:t xml:space="preserve">be developed further. These include </w:t>
      </w:r>
      <w:r>
        <w:t xml:space="preserve">publication of applicable </w:t>
      </w:r>
      <w:r w:rsidR="00756018">
        <w:t xml:space="preserve">rules and </w:t>
      </w:r>
      <w:r>
        <w:t xml:space="preserve">criteria (for instance, information on nationality, gender, age group, legal system), degree of involvement of the parties in the process, </w:t>
      </w:r>
      <w:r w:rsidR="006A586E">
        <w:t xml:space="preserve">as well as </w:t>
      </w:r>
      <w:r>
        <w:t>the costs involved</w:t>
      </w:r>
      <w:r w:rsidR="006A586E">
        <w:t>.</w:t>
      </w:r>
      <w:r>
        <w:t xml:space="preserve"> </w:t>
      </w:r>
      <w:r w:rsidR="006A586E">
        <w:t xml:space="preserve"> </w:t>
      </w:r>
      <w:r>
        <w:t>A</w:t>
      </w:r>
      <w:r w:rsidR="006A586E">
        <w:t xml:space="preserve">ppointing authorities could also be directed to make public the lists of possible ISDS arbitrators they circulate to the parties as nominees for appointment. This would provide evidence of the efforts </w:t>
      </w:r>
      <w:r w:rsidR="00756018">
        <w:t>made towards</w:t>
      </w:r>
      <w:r w:rsidR="006A586E">
        <w:t xml:space="preserve"> </w:t>
      </w:r>
      <w:r w:rsidR="00D6486C">
        <w:t>inclusiveness</w:t>
      </w:r>
      <w:r w:rsidR="006A586E">
        <w:t>.</w:t>
      </w:r>
      <w:r w:rsidR="00AD1E73">
        <w:rPr>
          <w:rStyle w:val="FootnoteReference"/>
        </w:rPr>
        <w:footnoteReference w:id="22"/>
      </w:r>
      <w:r w:rsidR="006A586E">
        <w:t xml:space="preserve"> </w:t>
      </w:r>
    </w:p>
    <w:p w14:paraId="75C2C600" w14:textId="77777777" w:rsidR="007C16E8" w:rsidRDefault="007C16E8" w:rsidP="000863E0">
      <w:pPr>
        <w:pStyle w:val="SingleTxt"/>
        <w:spacing w:after="0" w:line="120" w:lineRule="atLeast"/>
        <w:ind w:left="1304" w:right="1267"/>
        <w:rPr>
          <w:b/>
          <w:bCs/>
        </w:rPr>
      </w:pPr>
    </w:p>
    <w:p w14:paraId="42674F6C" w14:textId="6BA51235" w:rsidR="00292F72" w:rsidRPr="00AB4143" w:rsidRDefault="001818A1" w:rsidP="00085FAD">
      <w:pPr>
        <w:pStyle w:val="SingleTxt"/>
        <w:numPr>
          <w:ilvl w:val="1"/>
          <w:numId w:val="6"/>
        </w:numPr>
        <w:spacing w:after="0" w:line="120" w:lineRule="atLeast"/>
        <w:ind w:right="1267"/>
        <w:rPr>
          <w:b/>
          <w:bCs/>
        </w:rPr>
      </w:pPr>
      <w:r>
        <w:rPr>
          <w:b/>
          <w:bCs/>
        </w:rPr>
        <w:t>Pre-established lists or r</w:t>
      </w:r>
      <w:r w:rsidR="00292F72">
        <w:rPr>
          <w:b/>
          <w:bCs/>
        </w:rPr>
        <w:t>osters</w:t>
      </w:r>
    </w:p>
    <w:p w14:paraId="0865BF44" w14:textId="77777777" w:rsidR="00292F72" w:rsidRPr="00DC36BD" w:rsidRDefault="00292F72" w:rsidP="00292F72">
      <w:pPr>
        <w:pStyle w:val="SingleTxt"/>
        <w:spacing w:after="0" w:line="120" w:lineRule="atLeast"/>
        <w:ind w:left="1304" w:right="1267"/>
        <w:rPr>
          <w:iCs/>
        </w:rPr>
      </w:pPr>
    </w:p>
    <w:p w14:paraId="08FF6771" w14:textId="2A7CCB27" w:rsidR="00815C4A" w:rsidRDefault="00815C4A" w:rsidP="00085FAD">
      <w:pPr>
        <w:pStyle w:val="SingleTxt"/>
        <w:numPr>
          <w:ilvl w:val="0"/>
          <w:numId w:val="7"/>
        </w:numPr>
        <w:spacing w:after="0" w:line="120" w:lineRule="atLeast"/>
        <w:ind w:left="1304" w:right="1267"/>
      </w:pPr>
      <w:r>
        <w:lastRenderedPageBreak/>
        <w:t>It was suggested in the Working Group that arbitral institutions active in the field of ISDS already managed rosters of arbitrators and could therefore assist in the establishment of a roster and be more involved in providing assistance to the disputing parties in their selection and appointment of tribunal members (A/CN.9/1004/Add.1, para. 112).</w:t>
      </w:r>
      <w:r>
        <w:rPr>
          <w:rStyle w:val="FootnoteReference"/>
        </w:rPr>
        <w:footnoteReference w:id="23"/>
      </w:r>
      <w:r>
        <w:t xml:space="preserve"> The Working Group may wish to note that, currently, these lists are indicative, and there is no obligation to select ISDS tribunal members therefrom</w:t>
      </w:r>
      <w:r w:rsidR="00B27E12">
        <w:t xml:space="preserve"> (with the exception of ICSID which is bound by the its list for (a) the appointment of chairpersons if there is no agreement of the parties and (b) members of the annulment committees)</w:t>
      </w:r>
      <w:r>
        <w:t>. It may also be noted that some investment treaties provide rosters – lists of pre-selected persons – from which ISDS tribunal members can be selected. They usually do not contain detailed provisions on the selection of persons on the roster.</w:t>
      </w:r>
      <w:r>
        <w:rPr>
          <w:rStyle w:val="FootnoteReference"/>
        </w:rPr>
        <w:footnoteReference w:id="24"/>
      </w:r>
      <w:r>
        <w:t xml:space="preserve"> An analysis of rosters in investment agreements notes that disputing parties have not confined appointment to those who are listed on the existing rosters. The rosters have tended to serve a default function.</w:t>
      </w:r>
      <w:r w:rsidR="00756018">
        <w:rPr>
          <w:rStyle w:val="FootnoteReference"/>
        </w:rPr>
        <w:footnoteReference w:id="25"/>
      </w:r>
    </w:p>
    <w:p w14:paraId="5771EDAC" w14:textId="77777777" w:rsidR="00815C4A" w:rsidRDefault="00815C4A" w:rsidP="00815C4A">
      <w:pPr>
        <w:pStyle w:val="ListParagraph"/>
      </w:pPr>
    </w:p>
    <w:p w14:paraId="062F162A" w14:textId="22318257" w:rsidR="00815C4A" w:rsidRDefault="00815C4A" w:rsidP="00085FAD">
      <w:pPr>
        <w:pStyle w:val="SingleTxt"/>
        <w:numPr>
          <w:ilvl w:val="0"/>
          <w:numId w:val="7"/>
        </w:numPr>
        <w:spacing w:after="0" w:line="120" w:lineRule="atLeast"/>
        <w:ind w:left="1304" w:right="1267"/>
      </w:pPr>
      <w:r>
        <w:t>Establishment of a roster as a reform option on the selection and appointment of ISDS tribunal members would require determination of the following questions.</w:t>
      </w:r>
    </w:p>
    <w:p w14:paraId="2B5EBAA3" w14:textId="77777777" w:rsidR="00BD4795" w:rsidRDefault="00BD4795" w:rsidP="00BD4795">
      <w:pPr>
        <w:pStyle w:val="ListParagraph"/>
      </w:pPr>
    </w:p>
    <w:p w14:paraId="17B71B30" w14:textId="1D33FE23" w:rsidR="000863E0" w:rsidRPr="000E2CC3" w:rsidRDefault="000863E0" w:rsidP="00E64586">
      <w:pPr>
        <w:pStyle w:val="SingleTxt"/>
        <w:numPr>
          <w:ilvl w:val="4"/>
          <w:numId w:val="5"/>
        </w:numPr>
        <w:spacing w:after="0" w:line="120" w:lineRule="atLeast"/>
        <w:ind w:right="1267"/>
        <w:rPr>
          <w:b/>
          <w:bCs/>
          <w:i/>
          <w:iCs/>
        </w:rPr>
      </w:pPr>
      <w:r w:rsidRPr="000E2CC3">
        <w:rPr>
          <w:b/>
          <w:bCs/>
          <w:i/>
          <w:iCs/>
        </w:rPr>
        <w:t>Types of roster</w:t>
      </w:r>
      <w:r w:rsidR="00D20961">
        <w:rPr>
          <w:b/>
          <w:bCs/>
          <w:i/>
          <w:iCs/>
        </w:rPr>
        <w:t>: multiple or single roster</w:t>
      </w:r>
    </w:p>
    <w:p w14:paraId="56A898C4" w14:textId="669AABBE" w:rsidR="000863E0" w:rsidRDefault="000863E0" w:rsidP="000863E0">
      <w:pPr>
        <w:pStyle w:val="SingleTxt"/>
        <w:spacing w:after="0" w:line="120" w:lineRule="atLeast"/>
        <w:ind w:right="1267"/>
      </w:pPr>
    </w:p>
    <w:p w14:paraId="2D3AC9CD" w14:textId="60F07B4C" w:rsidR="00DA3DB6" w:rsidRDefault="00004C5C" w:rsidP="00085FAD">
      <w:pPr>
        <w:pStyle w:val="SingleTxt"/>
        <w:numPr>
          <w:ilvl w:val="0"/>
          <w:numId w:val="7"/>
        </w:numPr>
        <w:spacing w:after="0" w:line="120" w:lineRule="atLeast"/>
        <w:ind w:left="1304" w:right="1267"/>
      </w:pPr>
      <w:r>
        <w:t>A</w:t>
      </w:r>
      <w:r w:rsidR="00C06319">
        <w:t xml:space="preserve"> reform option</w:t>
      </w:r>
      <w:r>
        <w:t xml:space="preserve"> may consist in considering whether (i) there should be a list of eligible rosters</w:t>
      </w:r>
      <w:r w:rsidR="00110685">
        <w:t xml:space="preserve"> based on the existing ones</w:t>
      </w:r>
      <w:r>
        <w:t>;</w:t>
      </w:r>
      <w:r>
        <w:rPr>
          <w:rStyle w:val="FootnoteReference"/>
        </w:rPr>
        <w:footnoteReference w:id="26"/>
      </w:r>
      <w:r>
        <w:t xml:space="preserve"> and (ii) </w:t>
      </w:r>
      <w:r w:rsidR="00E954EC">
        <w:t>t</w:t>
      </w:r>
      <w:r>
        <w:t xml:space="preserve">hese existing rosters </w:t>
      </w:r>
      <w:r w:rsidR="00C06319">
        <w:t>could</w:t>
      </w:r>
      <w:r w:rsidR="003A21D8">
        <w:t xml:space="preserve"> be</w:t>
      </w:r>
      <w:r>
        <w:t xml:space="preserve"> used differently</w:t>
      </w:r>
      <w:r w:rsidR="00E954EC">
        <w:t>, either on a voluntary or mandatory basis,</w:t>
      </w:r>
      <w:r w:rsidR="00C06319">
        <w:t xml:space="preserve"> to </w:t>
      </w:r>
      <w:r w:rsidR="00E954EC">
        <w:t xml:space="preserve">invite or </w:t>
      </w:r>
      <w:r>
        <w:t xml:space="preserve">require the disputing parties and the appointing authorities </w:t>
      </w:r>
      <w:r w:rsidR="00C06319">
        <w:t xml:space="preserve">to </w:t>
      </w:r>
      <w:r>
        <w:t xml:space="preserve">select ISDS tribunal members </w:t>
      </w:r>
      <w:r w:rsidR="00110685">
        <w:t>there</w:t>
      </w:r>
      <w:r>
        <w:t xml:space="preserve">from </w:t>
      </w:r>
      <w:r w:rsidR="00645D69">
        <w:t>(A/CN.9/1004/Add.1, para. 106)</w:t>
      </w:r>
      <w:r w:rsidR="00C06319">
        <w:t xml:space="preserve">. </w:t>
      </w:r>
      <w:r w:rsidR="00D67FB0">
        <w:t>A question for consideration is whether the rosters in place at the various institutions administering ISDS cases would meet the criteria required in light of the objectives of the reform.</w:t>
      </w:r>
    </w:p>
    <w:p w14:paraId="5D37556F" w14:textId="77777777" w:rsidR="00DA3DB6" w:rsidRDefault="00DA3DB6" w:rsidP="00DA3DB6">
      <w:pPr>
        <w:pStyle w:val="SingleTxt"/>
        <w:spacing w:after="0" w:line="120" w:lineRule="atLeast"/>
        <w:ind w:left="1635" w:right="1267"/>
      </w:pPr>
    </w:p>
    <w:p w14:paraId="6546575A" w14:textId="77777777" w:rsidR="000648E1" w:rsidRDefault="00C06319" w:rsidP="00085FAD">
      <w:pPr>
        <w:pStyle w:val="SingleTxt"/>
        <w:numPr>
          <w:ilvl w:val="0"/>
          <w:numId w:val="7"/>
        </w:numPr>
        <w:spacing w:after="0" w:line="120" w:lineRule="atLeast"/>
        <w:ind w:left="1304" w:right="1267"/>
      </w:pPr>
      <w:r>
        <w:t xml:space="preserve">Another possibility </w:t>
      </w:r>
      <w:r w:rsidR="002B5856">
        <w:t>would be</w:t>
      </w:r>
      <w:r>
        <w:t xml:space="preserve"> to establish a new single roster that c</w:t>
      </w:r>
      <w:r w:rsidR="00110685">
        <w:t>ould</w:t>
      </w:r>
      <w:r>
        <w:t xml:space="preserve"> be used </w:t>
      </w:r>
      <w:r w:rsidR="003A21D8">
        <w:t xml:space="preserve">either on a mandatory or voluntary basis </w:t>
      </w:r>
      <w:r>
        <w:t xml:space="preserve">by </w:t>
      </w:r>
      <w:r w:rsidR="00004C5C">
        <w:t xml:space="preserve">the disputing parties, the appointing authority or a standing mechanism </w:t>
      </w:r>
      <w:r>
        <w:t xml:space="preserve">established through the reform </w:t>
      </w:r>
      <w:r w:rsidR="00645D69">
        <w:t>process (A/CN.9/1004/Add.1, para. 106)</w:t>
      </w:r>
      <w:r w:rsidR="003A21D8">
        <w:t>. This last option, while departing from the ad hoc nature of the current ISDS regime, would still permit disputing parties’ involvement in the selection and appointment of adjudicators</w:t>
      </w:r>
      <w:r w:rsidR="00110685">
        <w:t xml:space="preserve"> (semi-permanent mechanism).</w:t>
      </w:r>
    </w:p>
    <w:p w14:paraId="56920F5B" w14:textId="77777777" w:rsidR="000648E1" w:rsidRDefault="000648E1" w:rsidP="000648E1">
      <w:pPr>
        <w:pStyle w:val="ListParagraph"/>
      </w:pPr>
    </w:p>
    <w:p w14:paraId="731C3A25" w14:textId="17925EAA" w:rsidR="00E954EC" w:rsidRDefault="003A21D8" w:rsidP="000648E1">
      <w:pPr>
        <w:pStyle w:val="SingleTxt"/>
        <w:spacing w:after="0" w:line="120" w:lineRule="atLeast"/>
        <w:ind w:left="1304" w:right="1267"/>
      </w:pPr>
      <w:r>
        <w:rPr>
          <w:rStyle w:val="FootnoteReference"/>
        </w:rPr>
        <w:footnoteReference w:id="27"/>
      </w:r>
      <w:r>
        <w:t xml:space="preserve"> </w:t>
      </w:r>
    </w:p>
    <w:p w14:paraId="61CAC01E" w14:textId="77777777" w:rsidR="003A21D8" w:rsidRDefault="003A21D8" w:rsidP="003A21D8">
      <w:pPr>
        <w:pStyle w:val="ListParagraph"/>
      </w:pPr>
    </w:p>
    <w:p w14:paraId="3DE82A21" w14:textId="4A1CAA70" w:rsidR="006F7ED5" w:rsidRPr="000E2CC3" w:rsidRDefault="006F7ED5" w:rsidP="006F7ED5">
      <w:pPr>
        <w:pStyle w:val="SingleTxt"/>
        <w:numPr>
          <w:ilvl w:val="4"/>
          <w:numId w:val="5"/>
        </w:numPr>
        <w:tabs>
          <w:tab w:val="clear" w:pos="1742"/>
        </w:tabs>
        <w:spacing w:after="0" w:line="120" w:lineRule="atLeast"/>
        <w:ind w:right="1267"/>
        <w:rPr>
          <w:b/>
          <w:bCs/>
          <w:i/>
          <w:iCs/>
        </w:rPr>
      </w:pPr>
      <w:r w:rsidRPr="000E2CC3">
        <w:rPr>
          <w:b/>
          <w:bCs/>
          <w:i/>
          <w:iCs/>
        </w:rPr>
        <w:t>Composition of the roster</w:t>
      </w:r>
    </w:p>
    <w:p w14:paraId="0EA51673" w14:textId="77777777" w:rsidR="006F7ED5" w:rsidRDefault="006F7ED5" w:rsidP="006F7ED5">
      <w:pPr>
        <w:pStyle w:val="SingleTxt"/>
        <w:spacing w:after="0" w:line="120" w:lineRule="atLeast"/>
        <w:ind w:left="1304" w:right="1267"/>
      </w:pPr>
    </w:p>
    <w:p w14:paraId="41B975E5" w14:textId="43EB1887" w:rsidR="006660CF" w:rsidRDefault="006660CF" w:rsidP="00085FAD">
      <w:pPr>
        <w:pStyle w:val="SingleTxt"/>
        <w:numPr>
          <w:ilvl w:val="0"/>
          <w:numId w:val="7"/>
        </w:numPr>
        <w:spacing w:after="0" w:line="120" w:lineRule="atLeast"/>
        <w:ind w:left="1304" w:right="1267"/>
      </w:pPr>
      <w:r>
        <w:t xml:space="preserve">Various possibilities for composing a roster were mentioned in the Working Group and the Submissions. A suggestion was that a roster would not need to be extensive but should list names of established arbitrators specialized in ISDS while also including new candidates. Regarding this matter, </w:t>
      </w:r>
      <w:r w:rsidR="00110685">
        <w:t>a</w:t>
      </w:r>
      <w:r w:rsidR="00A25F3F">
        <w:t xml:space="preserve"> study notes that</w:t>
      </w:r>
      <w:r>
        <w:t xml:space="preserve">, based on current rosters established by arbitral institutions handling ISDS cases, a single roster based on the retention of a party-appointment system for </w:t>
      </w:r>
      <w:r w:rsidR="000648E1">
        <w:t xml:space="preserve">the </w:t>
      </w:r>
      <w:r>
        <w:t>selection of arbitrators would likely need between 150 and 200 individuals.</w:t>
      </w:r>
      <w:r w:rsidR="00A25F3F">
        <w:rPr>
          <w:rStyle w:val="FootnoteReference"/>
        </w:rPr>
        <w:footnoteReference w:id="28"/>
      </w:r>
    </w:p>
    <w:p w14:paraId="6CAFF778" w14:textId="77777777" w:rsidR="00F80944" w:rsidRDefault="00F80944" w:rsidP="00F80944">
      <w:pPr>
        <w:pStyle w:val="ListParagraph"/>
      </w:pPr>
    </w:p>
    <w:p w14:paraId="169C063C" w14:textId="23E8A943" w:rsidR="00D20961" w:rsidRDefault="00F80944" w:rsidP="00085FAD">
      <w:pPr>
        <w:pStyle w:val="SingleTxt"/>
        <w:numPr>
          <w:ilvl w:val="0"/>
          <w:numId w:val="7"/>
        </w:numPr>
        <w:ind w:left="1267" w:right="1267"/>
      </w:pPr>
      <w:r>
        <w:t xml:space="preserve">If a new roster </w:t>
      </w:r>
      <w:r w:rsidR="00D20961">
        <w:t>were to be</w:t>
      </w:r>
      <w:r>
        <w:t xml:space="preserve"> established, this could be done either through institutional nomination, State-based nomination, or a mix of both.</w:t>
      </w:r>
      <w:r>
        <w:rPr>
          <w:rStyle w:val="FootnoteReference"/>
        </w:rPr>
        <w:footnoteReference w:id="29"/>
      </w:r>
      <w:r>
        <w:t xml:space="preserve"> It was suggested in the Working Group that in order to preserve the balance of the current system, both States and investors should be involved in the establishment of a roster, while another view was that only States should be involved in the establishment of a roster (A/CN.9/1004/Add.1, para. 108). The process could also include the participation o</w:t>
      </w:r>
      <w:r w:rsidR="00D20961">
        <w:t>f</w:t>
      </w:r>
      <w:r>
        <w:t xml:space="preserve"> </w:t>
      </w:r>
      <w:r w:rsidR="000648E1">
        <w:t>other interested stakeholders</w:t>
      </w:r>
      <w:r>
        <w:t xml:space="preserve">. Requiring consensus for the nomination on rosters </w:t>
      </w:r>
      <w:r w:rsidR="00BD59F2">
        <w:t>could</w:t>
      </w:r>
      <w:r>
        <w:t xml:space="preserve"> be problematic</w:t>
      </w:r>
      <w:r w:rsidR="00BD59F2">
        <w:t xml:space="preserve"> as this might create deadlocks</w:t>
      </w:r>
      <w:r w:rsidR="00D20961">
        <w:t>.</w:t>
      </w:r>
      <w:r w:rsidR="00D20961">
        <w:rPr>
          <w:rStyle w:val="FootnoteReference"/>
        </w:rPr>
        <w:footnoteReference w:id="30"/>
      </w:r>
    </w:p>
    <w:p w14:paraId="19690159" w14:textId="53F9CDB2" w:rsidR="00D20961" w:rsidRDefault="00D20961" w:rsidP="00085FAD">
      <w:pPr>
        <w:pStyle w:val="SingleTxt"/>
        <w:numPr>
          <w:ilvl w:val="0"/>
          <w:numId w:val="7"/>
        </w:numPr>
        <w:spacing w:after="0" w:line="120" w:lineRule="atLeast"/>
        <w:ind w:left="1304" w:right="1267"/>
      </w:pPr>
      <w:r>
        <w:t>Regarding the criteria to be used by those who would establish the single or multiple rosters (A/CN.9/1004/Add.1, para. 107), it may be noted that potential nominees would need to have relevant expertise and experience as outlined in paras. 7-15 above. It may be considered how gender and geographical balance would be mandated and implemented, in particular in case of multiple rosters. In addition, a question for consideration is whether and to what extent nationality should be taken into account. Taking as an illustration the rosters that are provided for in investment treaties, it may be noted that some rosters limit appointments of nationals of States or require that appointments of non-nationals be made.</w:t>
      </w:r>
      <w:r>
        <w:rPr>
          <w:rStyle w:val="FootnoteReference"/>
        </w:rPr>
        <w:footnoteReference w:id="31"/>
      </w:r>
      <w:r>
        <w:t xml:space="preserve"> </w:t>
      </w:r>
    </w:p>
    <w:p w14:paraId="35B5B736" w14:textId="4A73E77A" w:rsidR="00F80944" w:rsidRDefault="00F80944" w:rsidP="00D20961">
      <w:pPr>
        <w:pStyle w:val="SingleTxt"/>
        <w:ind w:left="1267" w:right="1267"/>
      </w:pPr>
    </w:p>
    <w:p w14:paraId="69D42158" w14:textId="6B2A8566" w:rsidR="006F7ED5" w:rsidRPr="000E2CC3" w:rsidRDefault="00510C2A" w:rsidP="00645D69">
      <w:pPr>
        <w:pStyle w:val="SingleTxt"/>
        <w:numPr>
          <w:ilvl w:val="4"/>
          <w:numId w:val="5"/>
        </w:numPr>
        <w:tabs>
          <w:tab w:val="clear" w:pos="1742"/>
        </w:tabs>
        <w:spacing w:after="0" w:line="120" w:lineRule="atLeast"/>
        <w:ind w:right="1267"/>
        <w:rPr>
          <w:b/>
          <w:bCs/>
          <w:i/>
          <w:iCs/>
        </w:rPr>
      </w:pPr>
      <w:r>
        <w:rPr>
          <w:b/>
          <w:bCs/>
          <w:i/>
          <w:iCs/>
        </w:rPr>
        <w:t>Administering the roster</w:t>
      </w:r>
    </w:p>
    <w:p w14:paraId="0A100BC2" w14:textId="77777777" w:rsidR="006F7ED5" w:rsidRPr="00493CF5" w:rsidRDefault="006F7ED5" w:rsidP="006F7ED5">
      <w:pPr>
        <w:pStyle w:val="SingleTxt"/>
        <w:spacing w:after="0" w:line="120" w:lineRule="atLeast"/>
        <w:ind w:left="1304" w:right="1267"/>
        <w:rPr>
          <w:iCs/>
        </w:rPr>
      </w:pPr>
    </w:p>
    <w:p w14:paraId="249FBC56" w14:textId="59AFD32A" w:rsidR="006F7ED5" w:rsidRPr="004C5EFD" w:rsidRDefault="00D20961" w:rsidP="00085FAD">
      <w:pPr>
        <w:pStyle w:val="SingleTxt"/>
        <w:numPr>
          <w:ilvl w:val="0"/>
          <w:numId w:val="7"/>
        </w:numPr>
        <w:spacing w:after="0" w:line="120" w:lineRule="atLeast"/>
        <w:ind w:left="1304" w:right="1267"/>
        <w:rPr>
          <w:iCs/>
        </w:rPr>
      </w:pPr>
      <w:r>
        <w:t>Administration of the roster would imply organizing the selection and appointment o</w:t>
      </w:r>
      <w:r w:rsidR="00FA7559">
        <w:t>f</w:t>
      </w:r>
      <w:r>
        <w:t xml:space="preserve"> persons to be listed on the roster as well as handling </w:t>
      </w:r>
      <w:r w:rsidR="006F7ED5">
        <w:t xml:space="preserve">the renewal of </w:t>
      </w:r>
      <w:r>
        <w:t>persons</w:t>
      </w:r>
      <w:r w:rsidR="006F7ED5">
        <w:t xml:space="preserve"> </w:t>
      </w:r>
      <w:r>
        <w:t>in order</w:t>
      </w:r>
      <w:r w:rsidR="006F7ED5">
        <w:t xml:space="preserve"> to ensure flexibility and to address the concern of lack of diversity (A/CN.9/1004/Add.1, para. 109). It was suggested that there could be a limited duration for a person to be placed on a roster, and possibly a period after which that person would be de-listed (A/CN.9/1004/Add.1, para. 109).</w:t>
      </w:r>
      <w:r w:rsidR="001A655A">
        <w:t xml:space="preserve"> </w:t>
      </w:r>
      <w:r w:rsidR="00AA2145">
        <w:t xml:space="preserve">Members of the roster could be appointed </w:t>
      </w:r>
      <w:r>
        <w:t>for</w:t>
      </w:r>
      <w:r w:rsidR="00AA2145">
        <w:t xml:space="preserve"> </w:t>
      </w:r>
      <w:r w:rsidR="003466DB">
        <w:t xml:space="preserve">determined </w:t>
      </w:r>
      <w:r w:rsidR="00AA2145">
        <w:t xml:space="preserve">terms, not renewable or renewable once or twice. The appointments could also be staggered at regular intervals so as to ensure a turnover of new </w:t>
      </w:r>
      <w:r>
        <w:t>persons</w:t>
      </w:r>
      <w:r w:rsidR="00AA2145">
        <w:t xml:space="preserve"> on the rosters. The procedures would all depend on whether one or multiple rosters would be in place. Multiple rosters could have</w:t>
      </w:r>
      <w:r w:rsidR="00F80944">
        <w:t xml:space="preserve"> each</w:t>
      </w:r>
      <w:r w:rsidR="00AA2145">
        <w:t xml:space="preserve"> different rules of procedure.</w:t>
      </w:r>
    </w:p>
    <w:p w14:paraId="1F090530" w14:textId="77777777" w:rsidR="006F7ED5" w:rsidRPr="004C5EFD" w:rsidRDefault="006F7ED5" w:rsidP="006F7ED5">
      <w:pPr>
        <w:pStyle w:val="SingleTxt"/>
        <w:spacing w:after="0" w:line="120" w:lineRule="atLeast"/>
        <w:ind w:left="1304" w:right="1267"/>
        <w:rPr>
          <w:iCs/>
        </w:rPr>
      </w:pPr>
    </w:p>
    <w:p w14:paraId="687CDDE3" w14:textId="0BBB66BF" w:rsidR="006F7ED5" w:rsidRPr="006449C3" w:rsidRDefault="006F7ED5" w:rsidP="00085FAD">
      <w:pPr>
        <w:pStyle w:val="SingleTxt"/>
        <w:numPr>
          <w:ilvl w:val="0"/>
          <w:numId w:val="7"/>
        </w:numPr>
        <w:spacing w:after="0" w:line="120" w:lineRule="atLeast"/>
        <w:ind w:left="1304" w:right="1267"/>
        <w:rPr>
          <w:iCs/>
        </w:rPr>
      </w:pPr>
      <w:r>
        <w:t xml:space="preserve">It was suggested that the administration of a roster should include a procedure to remove an arbitrator. </w:t>
      </w:r>
      <w:r w:rsidR="00BD4795">
        <w:t xml:space="preserve">It might therefore be considered which </w:t>
      </w:r>
      <w:r>
        <w:t xml:space="preserve">institutional mechanisms </w:t>
      </w:r>
      <w:r w:rsidR="00BD4795">
        <w:t xml:space="preserve">would need to be established </w:t>
      </w:r>
      <w:r>
        <w:t xml:space="preserve">for evaluating and assessing the conduct of </w:t>
      </w:r>
      <w:r w:rsidR="00D20961">
        <w:t>the adjudicator concerned</w:t>
      </w:r>
      <w:r>
        <w:t xml:space="preserve"> (A/CN.9/1004/Add.1, para. 110).</w:t>
      </w:r>
    </w:p>
    <w:p w14:paraId="195932B2" w14:textId="2FB2260A" w:rsidR="006F7ED5" w:rsidRDefault="006F7ED5" w:rsidP="006F7ED5">
      <w:pPr>
        <w:pStyle w:val="SingleTxt"/>
        <w:spacing w:after="0" w:line="120" w:lineRule="atLeast"/>
        <w:ind w:left="1304" w:right="1267"/>
        <w:rPr>
          <w:iCs/>
        </w:rPr>
      </w:pPr>
    </w:p>
    <w:p w14:paraId="606A1809" w14:textId="77777777" w:rsidR="000648E1" w:rsidRPr="00135AD2" w:rsidRDefault="000648E1" w:rsidP="006F7ED5">
      <w:pPr>
        <w:pStyle w:val="SingleTxt"/>
        <w:spacing w:after="0" w:line="120" w:lineRule="atLeast"/>
        <w:ind w:left="1304" w:right="1267"/>
        <w:rPr>
          <w:iCs/>
        </w:rPr>
      </w:pPr>
    </w:p>
    <w:p w14:paraId="0DFA995B" w14:textId="7655B472" w:rsidR="006F7ED5" w:rsidRPr="00BF53E8" w:rsidRDefault="00510C2A" w:rsidP="00645D69">
      <w:pPr>
        <w:pStyle w:val="SingleTxt"/>
        <w:numPr>
          <w:ilvl w:val="4"/>
          <w:numId w:val="5"/>
        </w:numPr>
        <w:ind w:right="1267"/>
        <w:rPr>
          <w:b/>
          <w:bCs/>
          <w:i/>
          <w:iCs/>
        </w:rPr>
      </w:pPr>
      <w:r>
        <w:rPr>
          <w:b/>
          <w:bCs/>
          <w:i/>
          <w:iCs/>
        </w:rPr>
        <w:lastRenderedPageBreak/>
        <w:t>Use of the roster in the selection and appointment</w:t>
      </w:r>
      <w:r w:rsidR="00FA7559">
        <w:rPr>
          <w:b/>
          <w:bCs/>
          <w:i/>
          <w:iCs/>
        </w:rPr>
        <w:t xml:space="preserve"> of ISDS </w:t>
      </w:r>
      <w:r w:rsidR="00DA22AA">
        <w:rPr>
          <w:b/>
          <w:bCs/>
          <w:i/>
          <w:iCs/>
        </w:rPr>
        <w:t>t</w:t>
      </w:r>
      <w:r w:rsidR="00FA7559">
        <w:rPr>
          <w:b/>
          <w:bCs/>
          <w:i/>
          <w:iCs/>
        </w:rPr>
        <w:t>ribunal members</w:t>
      </w:r>
    </w:p>
    <w:p w14:paraId="64A2B262" w14:textId="741565F0" w:rsidR="00ED6D1C" w:rsidRDefault="00ED6D1C" w:rsidP="00085FAD">
      <w:pPr>
        <w:pStyle w:val="SingleTxt"/>
        <w:numPr>
          <w:ilvl w:val="0"/>
          <w:numId w:val="7"/>
        </w:numPr>
        <w:spacing w:after="0" w:line="120" w:lineRule="atLeast"/>
        <w:ind w:left="1304" w:right="1267"/>
      </w:pPr>
      <w:r>
        <w:t>The selection of ISDS tribunal members from the roster could be either voluntary or mandatory. If voluntary only, it is less important that those on the roster have the relevant expertise or experience that disputing parties would demand.</w:t>
      </w:r>
    </w:p>
    <w:p w14:paraId="50A247F8" w14:textId="77777777" w:rsidR="00ED6D1C" w:rsidRDefault="00ED6D1C" w:rsidP="00ED6D1C">
      <w:pPr>
        <w:pStyle w:val="SingleTxt"/>
        <w:spacing w:after="0" w:line="120" w:lineRule="atLeast"/>
        <w:ind w:left="1304" w:right="1267"/>
      </w:pPr>
    </w:p>
    <w:p w14:paraId="7CAFE449" w14:textId="0261870A" w:rsidR="00ED6D1C" w:rsidRDefault="00ED6D1C" w:rsidP="00085FAD">
      <w:pPr>
        <w:pStyle w:val="SingleTxt"/>
        <w:numPr>
          <w:ilvl w:val="0"/>
          <w:numId w:val="7"/>
        </w:numPr>
        <w:spacing w:after="0" w:line="120" w:lineRule="atLeast"/>
        <w:ind w:left="1304" w:right="1267"/>
      </w:pPr>
      <w:r>
        <w:t xml:space="preserve"> </w:t>
      </w:r>
      <w:r w:rsidR="00284D83">
        <w:t>As illustrated by the chart below, a</w:t>
      </w:r>
      <w:r>
        <w:t xml:space="preserve">n hybrid selection method could also be envisaged,  whereby the selection and appointment of the two party-appointed arbitrators from the roster would be voluntary (meaning that the parties can select any individual they want regardless of whether that person is on the relevant list or roster) and the selection and appointment of the chairperson from the roster would be mandatory (meaning that that person must be selected from the roster, whether the appointment is made by the disputing parties, the co-arbitrators or an appointing authority). </w:t>
      </w:r>
    </w:p>
    <w:p w14:paraId="216B9C79" w14:textId="77777777" w:rsidR="00DA22AA" w:rsidRDefault="00DA22AA" w:rsidP="00DA22AA">
      <w:pPr>
        <w:pStyle w:val="ListParagraph"/>
      </w:pPr>
    </w:p>
    <w:p w14:paraId="385E83AE" w14:textId="77777777" w:rsidR="00DA22AA" w:rsidRPr="00BF53E8" w:rsidRDefault="00DA22AA" w:rsidP="00DA22AA">
      <w:pPr>
        <w:pStyle w:val="SingleTxt"/>
        <w:numPr>
          <w:ilvl w:val="4"/>
          <w:numId w:val="10"/>
        </w:numPr>
        <w:ind w:right="1267"/>
        <w:rPr>
          <w:b/>
          <w:bCs/>
          <w:i/>
          <w:iCs/>
        </w:rPr>
      </w:pPr>
      <w:r w:rsidRPr="00BF53E8">
        <w:rPr>
          <w:b/>
          <w:bCs/>
          <w:i/>
          <w:iCs/>
        </w:rPr>
        <w:t>Implementation</w:t>
      </w:r>
    </w:p>
    <w:p w14:paraId="1CEE8D1E" w14:textId="77777777" w:rsidR="00DA22AA" w:rsidRDefault="00DA22AA" w:rsidP="00DA22AA">
      <w:pPr>
        <w:pStyle w:val="SingleTxt"/>
        <w:numPr>
          <w:ilvl w:val="0"/>
          <w:numId w:val="7"/>
        </w:numPr>
        <w:spacing w:after="0" w:line="120" w:lineRule="atLeast"/>
        <w:ind w:left="1304" w:right="1267"/>
      </w:pPr>
      <w:r>
        <w:t>The Working Group may wish to note that the reform options may require different instruments for their implementation. For instance, the establishment of a roster may require an amendment to arbitration rules as well as close cooperation with institutions administering ISDS cases should they become involved in administering such rosters.</w:t>
      </w:r>
    </w:p>
    <w:p w14:paraId="72863351" w14:textId="77777777" w:rsidR="00DA22AA" w:rsidRDefault="00DA22AA" w:rsidP="00DA22AA">
      <w:pPr>
        <w:pStyle w:val="SingleTxt"/>
        <w:spacing w:after="0" w:line="120" w:lineRule="atLeast"/>
        <w:ind w:left="1304" w:right="1267"/>
      </w:pPr>
    </w:p>
    <w:p w14:paraId="08F57E8B" w14:textId="38A6DC38" w:rsidR="00284D83" w:rsidRDefault="00284D83" w:rsidP="00D20961">
      <w:pPr>
        <w:pStyle w:val="SingleTxt"/>
        <w:spacing w:after="0" w:line="120" w:lineRule="atLeast"/>
        <w:ind w:left="1304" w:right="1267"/>
      </w:pPr>
    </w:p>
    <w:p w14:paraId="745B247C" w14:textId="2C77A202" w:rsidR="00DA22AA" w:rsidRPr="00DA22AA" w:rsidRDefault="00DA22AA" w:rsidP="00D20961">
      <w:pPr>
        <w:pStyle w:val="SingleTxt"/>
        <w:spacing w:after="0" w:line="120" w:lineRule="atLeast"/>
        <w:ind w:left="1304" w:right="1267"/>
        <w:rPr>
          <w:b/>
          <w:bCs/>
          <w:lang w:val="fr-FR"/>
        </w:rPr>
      </w:pPr>
      <w:r w:rsidRPr="00DA22AA">
        <w:rPr>
          <w:b/>
          <w:bCs/>
          <w:lang w:val="fr-FR"/>
        </w:rPr>
        <w:t>c. Possible combinations</w:t>
      </w:r>
    </w:p>
    <w:p w14:paraId="3BC53D62" w14:textId="048F03A4" w:rsidR="00284D83" w:rsidRDefault="00284D83" w:rsidP="00D20961">
      <w:pPr>
        <w:pStyle w:val="SingleTxt"/>
        <w:spacing w:after="0" w:line="120" w:lineRule="atLeast"/>
        <w:ind w:left="1304" w:right="1267"/>
        <w:rPr>
          <w:lang w:val="fr-FR"/>
        </w:rPr>
      </w:pPr>
    </w:p>
    <w:p w14:paraId="64B659F2" w14:textId="78E0842B" w:rsidR="00DA22AA" w:rsidRDefault="00DA22AA" w:rsidP="00DA22AA">
      <w:pPr>
        <w:pStyle w:val="SingleTxt"/>
        <w:numPr>
          <w:ilvl w:val="0"/>
          <w:numId w:val="7"/>
        </w:numPr>
        <w:spacing w:after="0" w:line="120" w:lineRule="atLeast"/>
        <w:ind w:left="1304" w:right="1267"/>
      </w:pPr>
      <w:r>
        <w:t xml:space="preserve">It should be noted that the option of creating a roster could be paired with either  the current methods of selection and appointment of ISDS tribunal members based on party-appointment, or with different methods not based on  party-appointment (and based, for instance, on appointment by an appointing authority) as shown in the chart below (A/CN.9/1004/Add.1, paras. 103 and 104). </w:t>
      </w:r>
    </w:p>
    <w:p w14:paraId="70255EE5" w14:textId="77777777" w:rsidR="00DA22AA" w:rsidRPr="00DA22AA" w:rsidRDefault="00DA22AA" w:rsidP="00D20961">
      <w:pPr>
        <w:pStyle w:val="SingleTxt"/>
        <w:spacing w:after="0" w:line="120" w:lineRule="atLeast"/>
        <w:ind w:left="1304" w:right="1267"/>
        <w:rPr>
          <w:lang w:val="en-US"/>
        </w:rPr>
      </w:pPr>
    </w:p>
    <w:p w14:paraId="2B018646" w14:textId="77777777" w:rsidR="00DA22AA" w:rsidRDefault="00DA22AA" w:rsidP="00D20961">
      <w:pPr>
        <w:pStyle w:val="SingleTxt"/>
        <w:spacing w:after="0" w:line="120" w:lineRule="atLeast"/>
        <w:ind w:left="1304" w:right="1267"/>
        <w:rPr>
          <w:b/>
          <w:bCs/>
          <w:i/>
          <w:iCs/>
          <w:lang w:val="fr-FR"/>
        </w:rPr>
      </w:pPr>
    </w:p>
    <w:p w14:paraId="436BC9FA" w14:textId="77777777" w:rsidR="00DA22AA" w:rsidRDefault="00DA22AA" w:rsidP="00D20961">
      <w:pPr>
        <w:pStyle w:val="SingleTxt"/>
        <w:spacing w:after="0" w:line="120" w:lineRule="atLeast"/>
        <w:ind w:left="1304" w:right="1267"/>
        <w:rPr>
          <w:b/>
          <w:bCs/>
          <w:i/>
          <w:iCs/>
          <w:lang w:val="fr-FR"/>
        </w:rPr>
      </w:pPr>
    </w:p>
    <w:p w14:paraId="51687430" w14:textId="193057E9" w:rsidR="003A21D8" w:rsidRPr="00DA22AA" w:rsidRDefault="00284D83" w:rsidP="00D20961">
      <w:pPr>
        <w:pStyle w:val="SingleTxt"/>
        <w:spacing w:after="0" w:line="120" w:lineRule="atLeast"/>
        <w:ind w:left="1304" w:right="1267"/>
        <w:rPr>
          <w:b/>
          <w:bCs/>
          <w:i/>
          <w:iCs/>
          <w:lang w:val="fr-FR"/>
        </w:rPr>
      </w:pPr>
      <w:r w:rsidRPr="00DA22AA">
        <w:rPr>
          <w:b/>
          <w:bCs/>
          <w:i/>
          <w:iCs/>
          <w:lang w:val="fr-FR"/>
        </w:rPr>
        <w:t>Chart Possible combinations</w:t>
      </w:r>
    </w:p>
    <w:p w14:paraId="7E436448" w14:textId="3DAB59A8" w:rsidR="00284D83" w:rsidRDefault="00284D83" w:rsidP="00D20961">
      <w:pPr>
        <w:pStyle w:val="SingleTxt"/>
        <w:spacing w:after="0" w:line="120" w:lineRule="atLeast"/>
        <w:ind w:left="1304" w:right="1267"/>
        <w:rPr>
          <w:lang w:val="fr-FR"/>
        </w:rPr>
      </w:pPr>
    </w:p>
    <w:p w14:paraId="719B5712" w14:textId="77777777" w:rsidR="00DA22AA" w:rsidRPr="00DA22AA" w:rsidRDefault="00DA22AA" w:rsidP="00D20961">
      <w:pPr>
        <w:pStyle w:val="SingleTxt"/>
        <w:spacing w:after="0" w:line="120" w:lineRule="atLeast"/>
        <w:ind w:left="1304" w:right="1267"/>
        <w:rPr>
          <w:lang w:val="fr-FR"/>
        </w:rPr>
      </w:pPr>
    </w:p>
    <w:p w14:paraId="49519662" w14:textId="5A031800" w:rsidR="00D31B6F" w:rsidRPr="00DA22AA" w:rsidRDefault="00D31B6F" w:rsidP="00D31B6F">
      <w:pPr>
        <w:pStyle w:val="SingleTxt"/>
        <w:spacing w:after="0" w:line="120" w:lineRule="atLeast"/>
        <w:ind w:right="1267"/>
        <w:rPr>
          <w:lang w:val="fr-FR"/>
        </w:rPr>
      </w:pPr>
    </w:p>
    <w:tbl>
      <w:tblPr>
        <w:tblStyle w:val="GridTable5Dark-Accent1"/>
        <w:tblpPr w:leftFromText="180" w:rightFromText="180" w:vertAnchor="text" w:horzAnchor="margin" w:tblpX="982" w:tblpY="19"/>
        <w:tblW w:w="4175" w:type="pct"/>
        <w:tblLook w:val="04A0" w:firstRow="1" w:lastRow="0" w:firstColumn="1" w:lastColumn="0" w:noHBand="0" w:noVBand="1"/>
      </w:tblPr>
      <w:tblGrid>
        <w:gridCol w:w="2953"/>
        <w:gridCol w:w="2195"/>
        <w:gridCol w:w="3073"/>
      </w:tblGrid>
      <w:tr w:rsidR="00D31B6F" w14:paraId="2DA0F71E" w14:textId="77777777" w:rsidTr="00DA22AA">
        <w:trPr>
          <w:cnfStyle w:val="100000000000" w:firstRow="1" w:lastRow="0" w:firstColumn="0" w:lastColumn="0" w:oddVBand="0" w:evenVBand="0" w:oddHBand="0"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1796" w:type="pct"/>
            <w:tcBorders>
              <w:top w:val="nil"/>
              <w:left w:val="nil"/>
              <w:bottom w:val="nil"/>
            </w:tcBorders>
            <w:shd w:val="clear" w:color="auto" w:fill="632423" w:themeFill="accent2" w:themeFillShade="80"/>
          </w:tcPr>
          <w:p w14:paraId="768E82CD" w14:textId="70764A32" w:rsidR="00D31B6F" w:rsidRPr="00986D8C" w:rsidRDefault="00D31B6F" w:rsidP="00DA22AA">
            <w:pPr>
              <w:spacing w:before="120" w:after="120"/>
              <w:rPr>
                <w:sz w:val="22"/>
                <w:szCs w:val="22"/>
              </w:rPr>
            </w:pPr>
            <w:r w:rsidRPr="00986D8C">
              <w:rPr>
                <w:sz w:val="22"/>
                <w:szCs w:val="22"/>
              </w:rPr>
              <w:t xml:space="preserve">A sole appointing authority, to be referred to for </w:t>
            </w:r>
            <w:r w:rsidR="00AB30A7" w:rsidRPr="00986D8C">
              <w:rPr>
                <w:sz w:val="22"/>
                <w:szCs w:val="22"/>
              </w:rPr>
              <w:t>appointment</w:t>
            </w:r>
          </w:p>
        </w:tc>
        <w:tc>
          <w:tcPr>
            <w:tcW w:w="1335" w:type="pct"/>
            <w:vMerge w:val="restart"/>
            <w:tcBorders>
              <w:top w:val="nil"/>
              <w:bottom w:val="nil"/>
            </w:tcBorders>
            <w:shd w:val="clear" w:color="auto" w:fill="FFFFFF" w:themeFill="background1"/>
          </w:tcPr>
          <w:p w14:paraId="543CDA66" w14:textId="77777777" w:rsidR="00D31B6F" w:rsidRPr="00986D8C" w:rsidRDefault="00D31B6F" w:rsidP="00DA22AA">
            <w:pPr>
              <w:pStyle w:val="ListParagraph"/>
              <w:spacing w:before="120" w:after="120"/>
              <w:ind w:left="405"/>
              <w:cnfStyle w:val="100000000000" w:firstRow="1" w:lastRow="0" w:firstColumn="0" w:lastColumn="0" w:oddVBand="0" w:evenVBand="0" w:oddHBand="0" w:evenHBand="0" w:firstRowFirstColumn="0" w:firstRowLastColumn="0" w:lastRowFirstColumn="0" w:lastRowLastColumn="0"/>
              <w:rPr>
                <w:color w:val="4A442A" w:themeColor="background2" w:themeShade="40"/>
                <w:sz w:val="22"/>
                <w:szCs w:val="22"/>
              </w:rPr>
            </w:pPr>
          </w:p>
          <w:p w14:paraId="5FC9D4D8" w14:textId="77777777" w:rsidR="00D31B6F" w:rsidRPr="00986D8C" w:rsidRDefault="00D31B6F" w:rsidP="00DA22AA">
            <w:pPr>
              <w:pStyle w:val="ListParagraph"/>
              <w:spacing w:before="120" w:after="120"/>
              <w:ind w:left="405"/>
              <w:cnfStyle w:val="100000000000" w:firstRow="1" w:lastRow="0" w:firstColumn="0" w:lastColumn="0" w:oddVBand="0" w:evenVBand="0" w:oddHBand="0" w:evenHBand="0" w:firstRowFirstColumn="0" w:firstRowLastColumn="0" w:lastRowFirstColumn="0" w:lastRowLastColumn="0"/>
              <w:rPr>
                <w:color w:val="4A442A" w:themeColor="background2" w:themeShade="40"/>
                <w:sz w:val="22"/>
                <w:szCs w:val="22"/>
              </w:rPr>
            </w:pPr>
          </w:p>
          <w:p w14:paraId="5CF75C13" w14:textId="0CB36F48" w:rsidR="00D31B6F" w:rsidRPr="00986D8C" w:rsidRDefault="00D31B6F" w:rsidP="00DA22AA">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4A442A" w:themeColor="background2" w:themeShade="40"/>
                <w:sz w:val="22"/>
                <w:szCs w:val="22"/>
              </w:rPr>
            </w:pPr>
            <w:r w:rsidRPr="00986D8C">
              <w:rPr>
                <w:noProof/>
                <w:sz w:val="22"/>
                <w:szCs w:val="22"/>
              </w:rPr>
              <mc:AlternateContent>
                <mc:Choice Requires="wps">
                  <w:drawing>
                    <wp:anchor distT="0" distB="0" distL="114300" distR="114300" simplePos="0" relativeHeight="251659264" behindDoc="0" locked="0" layoutInCell="1" allowOverlap="1" wp14:anchorId="6F6A6DC7" wp14:editId="21A8DD86">
                      <wp:simplePos x="0" y="0"/>
                      <wp:positionH relativeFrom="column">
                        <wp:posOffset>-39688</wp:posOffset>
                      </wp:positionH>
                      <wp:positionV relativeFrom="paragraph">
                        <wp:posOffset>890745</wp:posOffset>
                      </wp:positionV>
                      <wp:extent cx="1288415" cy="208280"/>
                      <wp:effectExtent l="0" t="361950" r="0" b="363220"/>
                      <wp:wrapNone/>
                      <wp:docPr id="4" name="Arrow: Left-Right 4"/>
                      <wp:cNvGraphicFramePr/>
                      <a:graphic xmlns:a="http://schemas.openxmlformats.org/drawingml/2006/main">
                        <a:graphicData uri="http://schemas.microsoft.com/office/word/2010/wordprocessingShape">
                          <wps:wsp>
                            <wps:cNvSpPr/>
                            <wps:spPr>
                              <a:xfrm rot="18900000">
                                <a:off x="0" y="0"/>
                                <a:ext cx="1288415" cy="208280"/>
                              </a:xfrm>
                              <a:prstGeom prst="lef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D486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4" o:spid="_x0000_s1026" type="#_x0000_t69" style="position:absolute;margin-left:-3.15pt;margin-top:70.15pt;width:101.45pt;height:16.4pt;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" adj="1746" fillcolor="white [3212]" strokecolor="black [3213]" strokeweight="2pt"/>
                  </w:pict>
                </mc:Fallback>
              </mc:AlternateContent>
            </w:r>
            <w:r w:rsidRPr="00986D8C">
              <w:rPr>
                <w:noProof/>
                <w:sz w:val="22"/>
                <w:szCs w:val="22"/>
              </w:rPr>
              <mc:AlternateContent>
                <mc:Choice Requires="wps">
                  <w:drawing>
                    <wp:anchor distT="0" distB="0" distL="114300" distR="114300" simplePos="0" relativeHeight="251660288" behindDoc="0" locked="0" layoutInCell="1" allowOverlap="1" wp14:anchorId="30119071" wp14:editId="26523F16">
                      <wp:simplePos x="0" y="0"/>
                      <wp:positionH relativeFrom="column">
                        <wp:posOffset>-4445</wp:posOffset>
                      </wp:positionH>
                      <wp:positionV relativeFrom="paragraph">
                        <wp:posOffset>889001</wp:posOffset>
                      </wp:positionV>
                      <wp:extent cx="1288415" cy="208280"/>
                      <wp:effectExtent l="368618" t="0" r="375602" b="0"/>
                      <wp:wrapNone/>
                      <wp:docPr id="5" name="Arrow: Left-Right 5"/>
                      <wp:cNvGraphicFramePr/>
                      <a:graphic xmlns:a="http://schemas.openxmlformats.org/drawingml/2006/main">
                        <a:graphicData uri="http://schemas.microsoft.com/office/word/2010/wordprocessingShape">
                          <wps:wsp>
                            <wps:cNvSpPr/>
                            <wps:spPr>
                              <a:xfrm rot="2700000">
                                <a:off x="0" y="0"/>
                                <a:ext cx="1288415" cy="208280"/>
                              </a:xfrm>
                              <a:prstGeom prst="lef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82B9E" id="Arrow: Left-Right 5" o:spid="_x0000_s1026" type="#_x0000_t69" style="position:absolute;margin-left:-.35pt;margin-top:70pt;width:101.45pt;height:16.4pt;rotation:45;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" adj="1746" fillcolor="white [3212]" strokecolor="black [3213]" strokeweight="2pt"/>
                  </w:pict>
                </mc:Fallback>
              </mc:AlternateContent>
            </w:r>
            <w:r w:rsidRPr="00986D8C">
              <w:rPr>
                <w:noProof/>
                <w:sz w:val="22"/>
                <w:szCs w:val="22"/>
              </w:rPr>
              <mc:AlternateContent>
                <mc:Choice Requires="wps">
                  <w:drawing>
                    <wp:anchor distT="0" distB="0" distL="114300" distR="114300" simplePos="0" relativeHeight="251661312" behindDoc="0" locked="0" layoutInCell="1" allowOverlap="1" wp14:anchorId="582FC51B" wp14:editId="2B0CD0B2">
                      <wp:simplePos x="0" y="0"/>
                      <wp:positionH relativeFrom="column">
                        <wp:posOffset>-40640</wp:posOffset>
                      </wp:positionH>
                      <wp:positionV relativeFrom="paragraph">
                        <wp:posOffset>867410</wp:posOffset>
                      </wp:positionV>
                      <wp:extent cx="1289050" cy="185738"/>
                      <wp:effectExtent l="0" t="0" r="25400" b="24130"/>
                      <wp:wrapNone/>
                      <wp:docPr id="3" name="Arrow: Left-Right 3"/>
                      <wp:cNvGraphicFramePr/>
                      <a:graphic xmlns:a="http://schemas.openxmlformats.org/drawingml/2006/main">
                        <a:graphicData uri="http://schemas.microsoft.com/office/word/2010/wordprocessingShape">
                          <wps:wsp>
                            <wps:cNvSpPr/>
                            <wps:spPr>
                              <a:xfrm>
                                <a:off x="0" y="0"/>
                                <a:ext cx="1289050" cy="185738"/>
                              </a:xfrm>
                              <a:prstGeom prst="lef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B69E4C" id="Arrow: Left-Right 3" o:spid="_x0000_s1026" type="#_x0000_t69" style="position:absolute;margin-left:-3.2pt;margin-top:68.3pt;width:101.5pt;height:1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" adj="1556" fillcolor="white [3212]" strokecolor="black [3213]" strokeweight="2pt"/>
                  </w:pict>
                </mc:Fallback>
              </mc:AlternateContent>
            </w:r>
            <w:r w:rsidRPr="00986D8C">
              <w:rPr>
                <w:color w:val="4A442A" w:themeColor="background2" w:themeShade="40"/>
                <w:sz w:val="22"/>
                <w:szCs w:val="22"/>
              </w:rPr>
              <w:t xml:space="preserve"> </w:t>
            </w:r>
          </w:p>
        </w:tc>
        <w:tc>
          <w:tcPr>
            <w:tcW w:w="1869" w:type="pct"/>
            <w:tcBorders>
              <w:top w:val="nil"/>
              <w:bottom w:val="nil"/>
              <w:right w:val="nil"/>
            </w:tcBorders>
            <w:shd w:val="clear" w:color="auto" w:fill="984806" w:themeFill="accent6" w:themeFillShade="80"/>
          </w:tcPr>
          <w:p w14:paraId="18943D8A" w14:textId="77777777" w:rsidR="00D31B6F" w:rsidRPr="00986D8C" w:rsidRDefault="00D31B6F" w:rsidP="00DA22AA">
            <w:pPr>
              <w:spacing w:before="120" w:after="120"/>
              <w:cnfStyle w:val="100000000000" w:firstRow="1" w:lastRow="0" w:firstColumn="0" w:lastColumn="0" w:oddVBand="0" w:evenVBand="0" w:oddHBand="0" w:evenHBand="0" w:firstRowFirstColumn="0" w:firstRowLastColumn="0" w:lastRowFirstColumn="0" w:lastRowLastColumn="0"/>
              <w:rPr>
                <w:b w:val="0"/>
                <w:bCs w:val="0"/>
                <w:sz w:val="22"/>
                <w:szCs w:val="22"/>
              </w:rPr>
            </w:pPr>
            <w:r w:rsidRPr="00986D8C">
              <w:rPr>
                <w:sz w:val="22"/>
                <w:szCs w:val="22"/>
              </w:rPr>
              <w:t>A centralized roster, to be used on a mandatory basis</w:t>
            </w:r>
          </w:p>
          <w:p w14:paraId="0A099B8C" w14:textId="77777777" w:rsidR="00D31B6F" w:rsidRPr="00986D8C" w:rsidRDefault="00D31B6F" w:rsidP="00DA22AA">
            <w:pPr>
              <w:spacing w:before="120" w:after="120"/>
              <w:cnfStyle w:val="100000000000" w:firstRow="1" w:lastRow="0" w:firstColumn="0" w:lastColumn="0" w:oddVBand="0" w:evenVBand="0" w:oddHBand="0" w:evenHBand="0" w:firstRowFirstColumn="0" w:firstRowLastColumn="0" w:lastRowFirstColumn="0" w:lastRowLastColumn="0"/>
              <w:rPr>
                <w:sz w:val="22"/>
                <w:szCs w:val="22"/>
              </w:rPr>
            </w:pPr>
          </w:p>
        </w:tc>
      </w:tr>
      <w:tr w:rsidR="00D31B6F" w14:paraId="664AE85B" w14:textId="77777777" w:rsidTr="00DA22AA">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1796" w:type="pct"/>
            <w:tcBorders>
              <w:top w:val="nil"/>
              <w:left w:val="nil"/>
              <w:bottom w:val="nil"/>
              <w:right w:val="nil"/>
            </w:tcBorders>
            <w:shd w:val="clear" w:color="auto" w:fill="943634" w:themeFill="accent2" w:themeFillShade="BF"/>
          </w:tcPr>
          <w:p w14:paraId="133508A7" w14:textId="77777777" w:rsidR="00D31B6F" w:rsidRPr="00986D8C" w:rsidRDefault="00D31B6F" w:rsidP="00DA22AA">
            <w:pPr>
              <w:spacing w:before="120" w:after="120"/>
              <w:rPr>
                <w:sz w:val="22"/>
                <w:szCs w:val="22"/>
              </w:rPr>
            </w:pPr>
            <w:r w:rsidRPr="00986D8C">
              <w:rPr>
                <w:color w:val="DDD9C3" w:themeColor="background2" w:themeShade="E6"/>
                <w:sz w:val="22"/>
                <w:szCs w:val="22"/>
              </w:rPr>
              <w:t>Various appointing authorities, one of which is</w:t>
            </w:r>
            <w:r w:rsidRPr="00986D8C">
              <w:rPr>
                <w:sz w:val="22"/>
                <w:szCs w:val="22"/>
              </w:rPr>
              <w:t xml:space="preserve"> </w:t>
            </w:r>
            <w:r w:rsidRPr="00986D8C">
              <w:rPr>
                <w:color w:val="DDD9C3" w:themeColor="background2" w:themeShade="E6"/>
                <w:sz w:val="22"/>
                <w:szCs w:val="22"/>
              </w:rPr>
              <w:t xml:space="preserve">to be chosen by the disputing parties (or indicated in the treaty) </w:t>
            </w:r>
          </w:p>
        </w:tc>
        <w:tc>
          <w:tcPr>
            <w:tcW w:w="1335" w:type="pct"/>
            <w:vMerge/>
            <w:tcBorders>
              <w:top w:val="nil"/>
              <w:left w:val="nil"/>
              <w:bottom w:val="nil"/>
              <w:right w:val="nil"/>
            </w:tcBorders>
            <w:shd w:val="clear" w:color="auto" w:fill="FFFFFF" w:themeFill="background1"/>
          </w:tcPr>
          <w:p w14:paraId="74999E78" w14:textId="77777777" w:rsidR="00D31B6F" w:rsidRPr="00986D8C" w:rsidRDefault="00D31B6F" w:rsidP="00DA22AA">
            <w:pPr>
              <w:spacing w:before="120" w:after="120"/>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869" w:type="pct"/>
            <w:tcBorders>
              <w:top w:val="nil"/>
              <w:left w:val="nil"/>
              <w:bottom w:val="nil"/>
              <w:right w:val="nil"/>
            </w:tcBorders>
            <w:shd w:val="clear" w:color="auto" w:fill="E36C0A" w:themeFill="accent6" w:themeFillShade="BF"/>
          </w:tcPr>
          <w:p w14:paraId="44615D73" w14:textId="77777777" w:rsidR="00D31B6F" w:rsidRPr="00986D8C" w:rsidRDefault="00D31B6F" w:rsidP="00DA22AA">
            <w:pPr>
              <w:spacing w:before="120" w:after="120"/>
              <w:cnfStyle w:val="000000100000" w:firstRow="0" w:lastRow="0" w:firstColumn="0" w:lastColumn="0" w:oddVBand="0" w:evenVBand="0" w:oddHBand="1" w:evenHBand="0" w:firstRowFirstColumn="0" w:firstRowLastColumn="0" w:lastRowFirstColumn="0" w:lastRowLastColumn="0"/>
              <w:rPr>
                <w:b/>
                <w:bCs/>
                <w:color w:val="FFFFFF" w:themeColor="background1"/>
                <w:sz w:val="22"/>
                <w:szCs w:val="22"/>
                <w:lang w:val="en-GB"/>
              </w:rPr>
            </w:pPr>
            <w:r w:rsidRPr="00986D8C">
              <w:rPr>
                <w:b/>
                <w:bCs/>
                <w:color w:val="DDD9C3" w:themeColor="background2" w:themeShade="E6"/>
                <w:sz w:val="22"/>
                <w:szCs w:val="22"/>
                <w:lang w:val="en-GB"/>
              </w:rPr>
              <w:t>Various (existing or new) rosters, to be used on a mandatory basis</w:t>
            </w:r>
          </w:p>
        </w:tc>
      </w:tr>
      <w:tr w:rsidR="00D31B6F" w14:paraId="1372FDAA" w14:textId="77777777" w:rsidTr="00DA22AA">
        <w:trPr>
          <w:trHeight w:val="1417"/>
        </w:trPr>
        <w:tc>
          <w:tcPr>
            <w:cnfStyle w:val="001000000000" w:firstRow="0" w:lastRow="0" w:firstColumn="1" w:lastColumn="0" w:oddVBand="0" w:evenVBand="0" w:oddHBand="0" w:evenHBand="0" w:firstRowFirstColumn="0" w:firstRowLastColumn="0" w:lastRowFirstColumn="0" w:lastRowLastColumn="0"/>
            <w:tcW w:w="1796" w:type="pct"/>
            <w:tcBorders>
              <w:top w:val="nil"/>
              <w:left w:val="nil"/>
              <w:bottom w:val="nil"/>
              <w:right w:val="nil"/>
            </w:tcBorders>
            <w:shd w:val="clear" w:color="auto" w:fill="D99594" w:themeFill="accent2" w:themeFillTint="99"/>
          </w:tcPr>
          <w:p w14:paraId="62C0D442" w14:textId="77777777" w:rsidR="00D31B6F" w:rsidRPr="00986D8C" w:rsidRDefault="00D31B6F" w:rsidP="00DA22AA">
            <w:pPr>
              <w:spacing w:before="120" w:after="120"/>
              <w:rPr>
                <w:sz w:val="22"/>
                <w:szCs w:val="22"/>
              </w:rPr>
            </w:pPr>
            <w:r w:rsidRPr="00986D8C">
              <w:rPr>
                <w:color w:val="4A442A" w:themeColor="background2" w:themeShade="40"/>
                <w:sz w:val="22"/>
                <w:szCs w:val="22"/>
              </w:rPr>
              <w:t>Hybrid model (tribunal members partially appointed by parties and partially by appointment authority)</w:t>
            </w:r>
          </w:p>
        </w:tc>
        <w:tc>
          <w:tcPr>
            <w:tcW w:w="1335" w:type="pct"/>
            <w:vMerge/>
            <w:tcBorders>
              <w:top w:val="nil"/>
              <w:left w:val="nil"/>
              <w:bottom w:val="nil"/>
              <w:right w:val="nil"/>
            </w:tcBorders>
            <w:shd w:val="clear" w:color="auto" w:fill="FFFFFF" w:themeFill="background1"/>
          </w:tcPr>
          <w:p w14:paraId="1A9BC2B8" w14:textId="77777777" w:rsidR="00D31B6F" w:rsidRPr="00986D8C" w:rsidRDefault="00D31B6F" w:rsidP="00DA22AA">
            <w:pPr>
              <w:spacing w:before="120" w:after="120"/>
              <w:cnfStyle w:val="000000000000" w:firstRow="0" w:lastRow="0" w:firstColumn="0" w:lastColumn="0" w:oddVBand="0" w:evenVBand="0" w:oddHBand="0" w:evenHBand="0" w:firstRowFirstColumn="0" w:firstRowLastColumn="0" w:lastRowFirstColumn="0" w:lastRowLastColumn="0"/>
              <w:rPr>
                <w:sz w:val="22"/>
                <w:szCs w:val="22"/>
                <w:lang w:val="en-GB"/>
              </w:rPr>
            </w:pPr>
          </w:p>
        </w:tc>
        <w:tc>
          <w:tcPr>
            <w:tcW w:w="1869" w:type="pct"/>
            <w:tcBorders>
              <w:top w:val="nil"/>
              <w:left w:val="nil"/>
              <w:bottom w:val="nil"/>
              <w:right w:val="nil"/>
            </w:tcBorders>
            <w:shd w:val="clear" w:color="auto" w:fill="FABF8F" w:themeFill="accent6" w:themeFillTint="99"/>
          </w:tcPr>
          <w:p w14:paraId="6489BF0B" w14:textId="77777777" w:rsidR="00D31B6F" w:rsidRPr="00986D8C" w:rsidRDefault="00D31B6F" w:rsidP="00DA22AA">
            <w:pPr>
              <w:spacing w:before="120" w:after="120"/>
              <w:cnfStyle w:val="000000000000" w:firstRow="0" w:lastRow="0" w:firstColumn="0" w:lastColumn="0" w:oddVBand="0" w:evenVBand="0" w:oddHBand="0" w:evenHBand="0" w:firstRowFirstColumn="0" w:firstRowLastColumn="0" w:lastRowFirstColumn="0" w:lastRowLastColumn="0"/>
              <w:rPr>
                <w:b/>
                <w:bCs/>
                <w:color w:val="FFFFFF" w:themeColor="background1"/>
                <w:sz w:val="22"/>
                <w:szCs w:val="22"/>
                <w:lang w:val="en-GB"/>
              </w:rPr>
            </w:pPr>
            <w:r w:rsidRPr="00986D8C">
              <w:rPr>
                <w:b/>
                <w:bCs/>
                <w:color w:val="4A442A" w:themeColor="background2" w:themeShade="40"/>
                <w:sz w:val="22"/>
                <w:szCs w:val="22"/>
              </w:rPr>
              <w:t>Hybrid selection method (party-appointment voluntary and mandatory appointment of chairperson from roster)</w:t>
            </w:r>
          </w:p>
        </w:tc>
      </w:tr>
      <w:tr w:rsidR="00D31B6F" w14:paraId="5510C782" w14:textId="77777777" w:rsidTr="00DA22AA">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1796" w:type="pct"/>
            <w:tcBorders>
              <w:top w:val="nil"/>
              <w:left w:val="nil"/>
              <w:bottom w:val="nil"/>
              <w:right w:val="nil"/>
            </w:tcBorders>
            <w:shd w:val="clear" w:color="auto" w:fill="E5B8B7" w:themeFill="accent2" w:themeFillTint="66"/>
          </w:tcPr>
          <w:p w14:paraId="3D7A0F1E" w14:textId="3CA63144" w:rsidR="00D31B6F" w:rsidRPr="00986D8C" w:rsidRDefault="00D31B6F" w:rsidP="00DA22AA">
            <w:pPr>
              <w:spacing w:before="120" w:after="120"/>
              <w:rPr>
                <w:sz w:val="22"/>
                <w:szCs w:val="22"/>
              </w:rPr>
            </w:pPr>
            <w:r w:rsidRPr="00986D8C">
              <w:rPr>
                <w:color w:val="1D1B11" w:themeColor="background2" w:themeShade="1A"/>
                <w:sz w:val="22"/>
                <w:szCs w:val="22"/>
              </w:rPr>
              <w:t>Party-</w:t>
            </w:r>
            <w:r w:rsidR="002619AF">
              <w:rPr>
                <w:color w:val="1D1B11" w:themeColor="background2" w:themeShade="1A"/>
                <w:sz w:val="22"/>
                <w:szCs w:val="22"/>
              </w:rPr>
              <w:t>a</w:t>
            </w:r>
            <w:r w:rsidRPr="00986D8C">
              <w:rPr>
                <w:color w:val="1D1B11" w:themeColor="background2" w:themeShade="1A"/>
                <w:sz w:val="22"/>
                <w:szCs w:val="22"/>
              </w:rPr>
              <w:t>ppointment, with only voluntary reference to appointing authority</w:t>
            </w:r>
          </w:p>
        </w:tc>
        <w:tc>
          <w:tcPr>
            <w:tcW w:w="1335" w:type="pct"/>
            <w:vMerge/>
            <w:tcBorders>
              <w:top w:val="nil"/>
              <w:left w:val="nil"/>
              <w:bottom w:val="nil"/>
              <w:right w:val="nil"/>
            </w:tcBorders>
            <w:shd w:val="clear" w:color="auto" w:fill="FFFFFF" w:themeFill="background1"/>
          </w:tcPr>
          <w:p w14:paraId="0EA2B9C2" w14:textId="77777777" w:rsidR="00D31B6F" w:rsidRPr="00986D8C" w:rsidRDefault="00D31B6F" w:rsidP="00DA22AA">
            <w:pPr>
              <w:spacing w:before="120" w:after="120"/>
              <w:cnfStyle w:val="000000100000" w:firstRow="0" w:lastRow="0" w:firstColumn="0" w:lastColumn="0" w:oddVBand="0" w:evenVBand="0" w:oddHBand="1" w:evenHBand="0" w:firstRowFirstColumn="0" w:firstRowLastColumn="0" w:lastRowFirstColumn="0" w:lastRowLastColumn="0"/>
              <w:rPr>
                <w:sz w:val="22"/>
                <w:szCs w:val="22"/>
                <w:lang w:val="en-GB"/>
              </w:rPr>
            </w:pPr>
          </w:p>
        </w:tc>
        <w:tc>
          <w:tcPr>
            <w:tcW w:w="1869" w:type="pct"/>
            <w:tcBorders>
              <w:top w:val="nil"/>
              <w:left w:val="nil"/>
              <w:bottom w:val="nil"/>
              <w:right w:val="nil"/>
            </w:tcBorders>
            <w:shd w:val="clear" w:color="auto" w:fill="FBD4B4" w:themeFill="accent6" w:themeFillTint="66"/>
          </w:tcPr>
          <w:p w14:paraId="13BD0260" w14:textId="77777777" w:rsidR="00D31B6F" w:rsidRPr="00986D8C" w:rsidRDefault="00D31B6F" w:rsidP="00DA22AA">
            <w:pPr>
              <w:spacing w:before="120" w:after="120"/>
              <w:cnfStyle w:val="000000100000" w:firstRow="0" w:lastRow="0" w:firstColumn="0" w:lastColumn="0" w:oddVBand="0" w:evenVBand="0" w:oddHBand="1" w:evenHBand="0" w:firstRowFirstColumn="0" w:firstRowLastColumn="0" w:lastRowFirstColumn="0" w:lastRowLastColumn="0"/>
              <w:rPr>
                <w:b/>
                <w:bCs/>
                <w:sz w:val="22"/>
                <w:szCs w:val="22"/>
                <w:lang w:val="en-GB"/>
              </w:rPr>
            </w:pPr>
            <w:r w:rsidRPr="00986D8C">
              <w:rPr>
                <w:b/>
                <w:bCs/>
                <w:color w:val="0F243E" w:themeColor="text2" w:themeShade="80"/>
                <w:sz w:val="22"/>
                <w:szCs w:val="22"/>
              </w:rPr>
              <w:t>Rosters to be used on a voluntary basis</w:t>
            </w:r>
          </w:p>
        </w:tc>
      </w:tr>
    </w:tbl>
    <w:p w14:paraId="2AD50354" w14:textId="77777777" w:rsidR="00D31B6F" w:rsidRPr="00062728" w:rsidRDefault="00D31B6F" w:rsidP="00D31B6F">
      <w:pPr>
        <w:rPr>
          <w:sz w:val="28"/>
          <w:szCs w:val="28"/>
        </w:rPr>
      </w:pPr>
    </w:p>
    <w:p w14:paraId="48ED71B3" w14:textId="06A888C0" w:rsidR="00D31B6F" w:rsidRDefault="00D31B6F" w:rsidP="00D31B6F"/>
    <w:p w14:paraId="0A92E0DB" w14:textId="3FC8E064" w:rsidR="00DA22AA" w:rsidRDefault="00DA22AA" w:rsidP="00D31B6F"/>
    <w:p w14:paraId="185523F6" w14:textId="50F86A68" w:rsidR="00DA22AA" w:rsidRDefault="00DA22AA" w:rsidP="00D31B6F"/>
    <w:p w14:paraId="6516EE52" w14:textId="3BC1B820" w:rsidR="00DA22AA" w:rsidRDefault="00DA22AA" w:rsidP="00D31B6F"/>
    <w:p w14:paraId="11C17287" w14:textId="77777777" w:rsidR="00DA22AA" w:rsidRDefault="00DA22AA" w:rsidP="00D31B6F"/>
    <w:p w14:paraId="6DF85034" w14:textId="77777777" w:rsidR="00DA22AA" w:rsidRDefault="00DA22AA" w:rsidP="00D31B6F"/>
    <w:p w14:paraId="1208F26E" w14:textId="7184ECB4" w:rsidR="00510C2A" w:rsidRDefault="00510C2A" w:rsidP="003A21D8">
      <w:pPr>
        <w:pStyle w:val="SingleTxt"/>
        <w:spacing w:after="0" w:line="120" w:lineRule="atLeast"/>
        <w:ind w:left="1304" w:right="1267"/>
      </w:pPr>
    </w:p>
    <w:p w14:paraId="1379A304" w14:textId="3C6F7A0A" w:rsidR="00F149C4" w:rsidRDefault="00F149C4" w:rsidP="003A21D8">
      <w:pPr>
        <w:pStyle w:val="SingleTxt"/>
        <w:spacing w:after="0" w:line="120" w:lineRule="atLeast"/>
        <w:ind w:left="1304" w:right="1267"/>
      </w:pPr>
    </w:p>
    <w:p w14:paraId="1BA9A435" w14:textId="77777777" w:rsidR="00F149C4" w:rsidRDefault="00F149C4" w:rsidP="003A21D8">
      <w:pPr>
        <w:pStyle w:val="SingleTxt"/>
        <w:spacing w:after="0" w:line="120" w:lineRule="atLeast"/>
        <w:ind w:left="1304" w:right="1267"/>
      </w:pPr>
    </w:p>
    <w:p w14:paraId="2AB400E5" w14:textId="77777777" w:rsidR="007108C9" w:rsidRPr="00D03515" w:rsidRDefault="007108C9" w:rsidP="007108C9">
      <w:pPr>
        <w:pStyle w:val="SingleTxt"/>
        <w:spacing w:after="0" w:line="120" w:lineRule="atLeast"/>
        <w:rPr>
          <w:b/>
          <w:sz w:val="10"/>
        </w:rPr>
      </w:pPr>
    </w:p>
    <w:p w14:paraId="63AC1062" w14:textId="595C6F86" w:rsidR="00DC36BD" w:rsidRPr="00A8324B" w:rsidRDefault="00AF2513" w:rsidP="00AD4494">
      <w:pPr>
        <w:pStyle w:val="SingleTxt"/>
        <w:ind w:left="1267" w:right="1267"/>
        <w:rPr>
          <w:b/>
          <w:bCs/>
          <w:sz w:val="22"/>
          <w:szCs w:val="22"/>
        </w:rPr>
      </w:pPr>
      <w:r w:rsidRPr="00A8324B">
        <w:rPr>
          <w:b/>
          <w:bCs/>
          <w:sz w:val="22"/>
          <w:szCs w:val="22"/>
        </w:rPr>
        <w:t>2</w:t>
      </w:r>
      <w:r w:rsidR="00AD4494" w:rsidRPr="00A8324B">
        <w:rPr>
          <w:b/>
          <w:bCs/>
          <w:sz w:val="22"/>
          <w:szCs w:val="22"/>
        </w:rPr>
        <w:t xml:space="preserve">.  </w:t>
      </w:r>
      <w:r w:rsidR="00925736" w:rsidRPr="00A8324B">
        <w:rPr>
          <w:b/>
          <w:bCs/>
          <w:sz w:val="22"/>
          <w:szCs w:val="22"/>
        </w:rPr>
        <w:t>Standing</w:t>
      </w:r>
      <w:r w:rsidR="00B80E49" w:rsidRPr="00A8324B">
        <w:rPr>
          <w:b/>
          <w:bCs/>
          <w:sz w:val="22"/>
          <w:szCs w:val="22"/>
        </w:rPr>
        <w:t xml:space="preserve"> </w:t>
      </w:r>
      <w:r w:rsidR="00791D24" w:rsidRPr="00A8324B">
        <w:rPr>
          <w:b/>
          <w:bCs/>
          <w:sz w:val="22"/>
          <w:szCs w:val="22"/>
        </w:rPr>
        <w:t>mechanism</w:t>
      </w:r>
    </w:p>
    <w:p w14:paraId="3DE6C3D5" w14:textId="7E903AD2" w:rsidR="00925736" w:rsidRPr="000863E0" w:rsidRDefault="00EA6D67" w:rsidP="00085FAD">
      <w:pPr>
        <w:pStyle w:val="SingleTxt"/>
        <w:numPr>
          <w:ilvl w:val="0"/>
          <w:numId w:val="7"/>
        </w:numPr>
        <w:ind w:right="1267"/>
        <w:rPr>
          <w:i/>
          <w:iCs/>
        </w:rPr>
      </w:pPr>
      <w:r>
        <w:t>At its resumed thirty-eighth session, t</w:t>
      </w:r>
      <w:r w:rsidR="00EC1B4D">
        <w:t>he Working Group had a preliminary discussion on the selection and appointment of adjudicators in a permanent body</w:t>
      </w:r>
      <w:r>
        <w:t xml:space="preserve"> (A/CN.9/1004/Add.1, paras. 115-129).</w:t>
      </w:r>
      <w:r w:rsidR="00E6626B">
        <w:rPr>
          <w:rStyle w:val="FootnoteReference"/>
        </w:rPr>
        <w:footnoteReference w:id="32"/>
      </w:r>
      <w:r w:rsidR="00925736" w:rsidRPr="00925736">
        <w:t xml:space="preserve"> </w:t>
      </w:r>
      <w:r w:rsidR="00925736">
        <w:t>The consideration of a standing body is based on the suggestion that there is a need to revisit the party-appointment mechanism in ISDS and to limit the involvement of the disputing parties, as party autonomy need not be a key component of ISDS (A/CN.9/1004/Add.1, paras. 104).</w:t>
      </w:r>
    </w:p>
    <w:p w14:paraId="19B0474B" w14:textId="27FBF7DB" w:rsidR="000421C9" w:rsidRPr="000421C9" w:rsidRDefault="000421C9" w:rsidP="00085FAD">
      <w:pPr>
        <w:pStyle w:val="SingleTxt"/>
        <w:numPr>
          <w:ilvl w:val="0"/>
          <w:numId w:val="7"/>
        </w:numPr>
        <w:ind w:right="1267"/>
        <w:rPr>
          <w:i/>
          <w:iCs/>
        </w:rPr>
      </w:pPr>
      <w:r>
        <w:t xml:space="preserve">In </w:t>
      </w:r>
      <w:r w:rsidR="00925736">
        <w:t>a standing mechanism</w:t>
      </w:r>
      <w:r>
        <w:t xml:space="preserve">, disputing parties would have no or little influence on the selection and appointment of adjudicators. This derives from the fact that a permanent body pre-exists the dispute (as opposed to the current ISDS system based on arbitration where the ISDS tribunal is constituted ad hoc for that particular dispute). </w:t>
      </w:r>
    </w:p>
    <w:p w14:paraId="1E988049" w14:textId="4C7D734F" w:rsidR="000421C9" w:rsidRPr="00272D89" w:rsidRDefault="000421C9" w:rsidP="00085FAD">
      <w:pPr>
        <w:pStyle w:val="SingleTxt"/>
        <w:numPr>
          <w:ilvl w:val="0"/>
          <w:numId w:val="7"/>
        </w:numPr>
        <w:ind w:right="1267"/>
        <w:rPr>
          <w:i/>
          <w:iCs/>
        </w:rPr>
      </w:pPr>
      <w:r>
        <w:t>As an illustration, this reform option would be comparable to the selection and appointment mechanisms in existing international courts</w:t>
      </w:r>
      <w:r w:rsidR="00925736">
        <w:t xml:space="preserve">, where States as disputing parties have no say in the selection of the individuals who compose </w:t>
      </w:r>
      <w:r w:rsidR="004B4BA1">
        <w:t xml:space="preserve">the </w:t>
      </w:r>
      <w:r w:rsidR="00925736">
        <w:t xml:space="preserve">standing body, although as treaty </w:t>
      </w:r>
      <w:r w:rsidR="004B4BA1">
        <w:t>P</w:t>
      </w:r>
      <w:r w:rsidR="00925736">
        <w:t>arties they have participated in such a selection process</w:t>
      </w:r>
      <w:r w:rsidR="00943589">
        <w:t>.</w:t>
      </w:r>
      <w:r w:rsidR="00925736">
        <w:rPr>
          <w:rStyle w:val="FootnoteReference"/>
        </w:rPr>
        <w:footnoteReference w:id="33"/>
      </w:r>
    </w:p>
    <w:p w14:paraId="432DEBA5" w14:textId="2FA41EAB" w:rsidR="00EA6D67" w:rsidRPr="0055364C" w:rsidRDefault="00EA6D67" w:rsidP="00085FAD">
      <w:pPr>
        <w:pStyle w:val="SingleTxt"/>
        <w:numPr>
          <w:ilvl w:val="0"/>
          <w:numId w:val="8"/>
        </w:numPr>
        <w:ind w:right="1267"/>
        <w:rPr>
          <w:b/>
          <w:bCs/>
          <w:i/>
          <w:iCs/>
        </w:rPr>
      </w:pPr>
      <w:r w:rsidRPr="0055364C">
        <w:rPr>
          <w:b/>
          <w:bCs/>
          <w:i/>
          <w:iCs/>
        </w:rPr>
        <w:t>Composition of a permanent body</w:t>
      </w:r>
    </w:p>
    <w:p w14:paraId="04DB68B6" w14:textId="59403D43" w:rsidR="004303DD" w:rsidRPr="004303DD" w:rsidRDefault="004303DD" w:rsidP="004303DD">
      <w:pPr>
        <w:pStyle w:val="SingleTxt"/>
        <w:ind w:left="1275" w:right="1267"/>
        <w:rPr>
          <w:i/>
          <w:iCs/>
        </w:rPr>
      </w:pPr>
      <w:r w:rsidRPr="004303DD">
        <w:rPr>
          <w:i/>
          <w:iCs/>
        </w:rPr>
        <w:t xml:space="preserve">“Full representation” or “selective representation” </w:t>
      </w:r>
    </w:p>
    <w:p w14:paraId="405CA06D" w14:textId="51235B60" w:rsidR="00CB1666" w:rsidRDefault="00D60EFC" w:rsidP="00085FAD">
      <w:pPr>
        <w:pStyle w:val="SingleTxt"/>
        <w:numPr>
          <w:ilvl w:val="0"/>
          <w:numId w:val="7"/>
        </w:numPr>
        <w:ind w:right="1267"/>
      </w:pPr>
      <w:r>
        <w:t xml:space="preserve">A first question </w:t>
      </w:r>
      <w:r w:rsidR="00D01197">
        <w:t xml:space="preserve">to </w:t>
      </w:r>
      <w:r>
        <w:t xml:space="preserve">consider in the design of the composition of a standing dispute settlement mechanism </w:t>
      </w:r>
      <w:r w:rsidR="00D01197">
        <w:t>i</w:t>
      </w:r>
      <w:r>
        <w:t>s the number of adjudicators and, in this respect, whether States would wish to establish “full representation” or “selective representation” bodies.</w:t>
      </w:r>
      <w:r>
        <w:rPr>
          <w:rStyle w:val="FootnoteReference"/>
        </w:rPr>
        <w:footnoteReference w:id="34"/>
      </w:r>
      <w:r>
        <w:t xml:space="preserve"> </w:t>
      </w:r>
      <w:r w:rsidR="00D01197">
        <w:t>In full representation bodies, each State has an adjudicator on a permanent basis, usually a national of that State; in selective representation courts, there are fewer seats than the number of States parties to the court’s statute.</w:t>
      </w:r>
      <w:r w:rsidR="00CB1666">
        <w:rPr>
          <w:rStyle w:val="FootnoteReference"/>
        </w:rPr>
        <w:footnoteReference w:id="35"/>
      </w:r>
    </w:p>
    <w:p w14:paraId="0F26F047" w14:textId="491AC468" w:rsidR="00DA53F8" w:rsidRDefault="00DA53F8" w:rsidP="00085FAD">
      <w:pPr>
        <w:pStyle w:val="SingleTxt"/>
        <w:numPr>
          <w:ilvl w:val="0"/>
          <w:numId w:val="7"/>
        </w:numPr>
        <w:ind w:right="1267"/>
      </w:pPr>
      <w:r>
        <w:t xml:space="preserve">These design choices have important implications for the ability of each </w:t>
      </w:r>
      <w:r w:rsidR="00493716">
        <w:t>S</w:t>
      </w:r>
      <w:r>
        <w:t xml:space="preserve">tate to control the appointment of one or more judges and in this way influence decision-making on the court. </w:t>
      </w:r>
    </w:p>
    <w:p w14:paraId="032084A2" w14:textId="2CA5568D" w:rsidR="00493716" w:rsidRDefault="00D01197" w:rsidP="00085FAD">
      <w:pPr>
        <w:pStyle w:val="SingleTxt"/>
        <w:numPr>
          <w:ilvl w:val="0"/>
          <w:numId w:val="7"/>
        </w:numPr>
        <w:ind w:right="1267"/>
      </w:pPr>
      <w:r>
        <w:t>When it considered this question, the Working Group indicated that f</w:t>
      </w:r>
      <w:r w:rsidR="00EC1B4D">
        <w:t xml:space="preserve">ull representation might be difficult to achieve, </w:t>
      </w:r>
      <w:r w:rsidR="00EA6D67">
        <w:t>in particular in light of</w:t>
      </w:r>
      <w:r w:rsidR="0083424E">
        <w:t xml:space="preserve"> the c</w:t>
      </w:r>
      <w:r w:rsidR="00EC1B4D">
        <w:t>ost implications</w:t>
      </w:r>
      <w:r w:rsidR="0083424E">
        <w:t xml:space="preserve"> and c</w:t>
      </w:r>
      <w:r w:rsidR="00EA6D67">
        <w:t>onnection between the number of adjudicators and the caseload</w:t>
      </w:r>
      <w:r w:rsidR="0083424E">
        <w:t>. A permanent body with a high number of members may be expensive and complex to manage.</w:t>
      </w:r>
      <w:r w:rsidR="0030405F" w:rsidRPr="0030405F">
        <w:t xml:space="preserve"> </w:t>
      </w:r>
      <w:r w:rsidR="00BD59F2">
        <w:t xml:space="preserve">An alternative approach that was suggested was to seek broad geographical </w:t>
      </w:r>
      <w:r w:rsidR="00493716">
        <w:t>representation as well as a balanced representation of genders, levels of development and legal systems, and to ensure that statu</w:t>
      </w:r>
      <w:r w:rsidR="003040D7">
        <w:t>te</w:t>
      </w:r>
      <w:r w:rsidR="00493716">
        <w:t xml:space="preserve">s would allow the number of the adjudicators to evolve over time, due to an increasing number of participating States (A/CN.9/1004/Add.1, para. 115).  </w:t>
      </w:r>
    </w:p>
    <w:p w14:paraId="60E79520" w14:textId="6DBB0A61" w:rsidR="00D01197" w:rsidRDefault="00493716" w:rsidP="00085FAD">
      <w:pPr>
        <w:pStyle w:val="SingleTxt"/>
        <w:numPr>
          <w:ilvl w:val="0"/>
          <w:numId w:val="7"/>
        </w:numPr>
        <w:ind w:right="1267"/>
      </w:pPr>
      <w:r>
        <w:lastRenderedPageBreak/>
        <w:t>C</w:t>
      </w:r>
      <w:r w:rsidR="00917974">
        <w:t xml:space="preserve">ourts with a global reach are </w:t>
      </w:r>
      <w:r>
        <w:t xml:space="preserve">usually </w:t>
      </w:r>
      <w:r w:rsidR="00917974">
        <w:t>selective representation courts</w:t>
      </w:r>
      <w:r>
        <w:t xml:space="preserve"> and</w:t>
      </w:r>
      <w:r w:rsidRPr="00493716">
        <w:t xml:space="preserve"> </w:t>
      </w:r>
      <w:r>
        <w:t>often require that no two judges can be nationals of the same State</w:t>
      </w:r>
      <w:r w:rsidR="00917974">
        <w:t xml:space="preserve">. </w:t>
      </w:r>
      <w:r>
        <w:t>In the UN system, with its 193 member states, the International Court of Justice (ICJ) has 15 judges.</w:t>
      </w:r>
      <w:r w:rsidR="00324708">
        <w:rPr>
          <w:rStyle w:val="FootnoteReference"/>
        </w:rPr>
        <w:footnoteReference w:id="36"/>
      </w:r>
      <w:r>
        <w:t xml:space="preserve"> Under the United Nations Convention on the Law of the Sea (UNCLOS), with its 168 member </w:t>
      </w:r>
      <w:r w:rsidR="001C2F5A">
        <w:t>S</w:t>
      </w:r>
      <w:r>
        <w:t>tates, ITLOS has 21 judges.</w:t>
      </w:r>
      <w:r w:rsidR="00204FFE">
        <w:rPr>
          <w:rStyle w:val="FootnoteReference"/>
        </w:rPr>
        <w:footnoteReference w:id="37"/>
      </w:r>
      <w:r>
        <w:t xml:space="preserve"> In the WTO, with its 164 member </w:t>
      </w:r>
      <w:r w:rsidR="001C2F5A">
        <w:t>S</w:t>
      </w:r>
      <w:r>
        <w:t xml:space="preserve">tates, the Appellate Body has 7 members. </w:t>
      </w:r>
    </w:p>
    <w:p w14:paraId="350B1911" w14:textId="395EF10F" w:rsidR="00CB1666" w:rsidRDefault="00917974" w:rsidP="00085FAD">
      <w:pPr>
        <w:pStyle w:val="SingleTxt"/>
        <w:numPr>
          <w:ilvl w:val="0"/>
          <w:numId w:val="7"/>
        </w:numPr>
        <w:ind w:right="1267"/>
      </w:pPr>
      <w:r>
        <w:t>In general, a selective representation court is likely to increase the importance of collective decision-making</w:t>
      </w:r>
      <w:r w:rsidR="00FA7559">
        <w:t xml:space="preserve"> by States</w:t>
      </w:r>
      <w:r>
        <w:t xml:space="preserve"> at the election stage</w:t>
      </w:r>
      <w:r w:rsidR="00E60C08">
        <w:t>. T</w:t>
      </w:r>
      <w:r>
        <w:t xml:space="preserve">he design of some selective representation courts </w:t>
      </w:r>
      <w:r w:rsidR="00E60C08">
        <w:t>allows</w:t>
      </w:r>
      <w:r>
        <w:t xml:space="preserve"> </w:t>
      </w:r>
      <w:r w:rsidR="00E60C08">
        <w:t>S</w:t>
      </w:r>
      <w:r>
        <w:t>tates that do not have a national on the bench to appoint an ad hoc judge when they are party to a case</w:t>
      </w:r>
      <w:r w:rsidR="00493716" w:rsidRPr="00493716">
        <w:t xml:space="preserve"> </w:t>
      </w:r>
      <w:r w:rsidR="00493716">
        <w:t xml:space="preserve">in order to address concerns that there should be familiarity with all </w:t>
      </w:r>
      <w:r w:rsidR="00B27E12">
        <w:t>disputing partie</w:t>
      </w:r>
      <w:r w:rsidR="00493716">
        <w:t>s’ legal systems</w:t>
      </w:r>
      <w:r>
        <w:t>.</w:t>
      </w:r>
      <w:r w:rsidR="00E60C08">
        <w:rPr>
          <w:rStyle w:val="FootnoteReference"/>
        </w:rPr>
        <w:footnoteReference w:id="38"/>
      </w:r>
      <w:r>
        <w:t xml:space="preserve"> </w:t>
      </w:r>
      <w:r w:rsidR="00761777">
        <w:t xml:space="preserve">Rotation among member States may be used to ensure that all </w:t>
      </w:r>
      <w:r w:rsidR="00493716">
        <w:t>S</w:t>
      </w:r>
      <w:r w:rsidR="00761777">
        <w:t>tates get the chance to have one of their own nationals appointed to the court.</w:t>
      </w:r>
      <w:r w:rsidR="00761777">
        <w:rPr>
          <w:rStyle w:val="FootnoteReference"/>
        </w:rPr>
        <w:footnoteReference w:id="39"/>
      </w:r>
      <w:r w:rsidR="004B0115">
        <w:t xml:space="preserve"> </w:t>
      </w:r>
    </w:p>
    <w:p w14:paraId="719D5E73" w14:textId="34216D4C" w:rsidR="001C5811" w:rsidRDefault="001C5811" w:rsidP="00085FAD">
      <w:pPr>
        <w:pStyle w:val="SingleTxt"/>
        <w:numPr>
          <w:ilvl w:val="0"/>
          <w:numId w:val="7"/>
        </w:numPr>
        <w:ind w:right="1267"/>
      </w:pPr>
      <w:r>
        <w:t>It may be noted that the number of judges on a permanent body would likely need to be based primarily on the estimated number of cases brought before it. In case of a two-tier mechanism, it can be assumed that only a limited number of cases will be heard and decided by the second tier. Therefore, the number of judges in the second instance could be lower than in the first instance.</w:t>
      </w:r>
    </w:p>
    <w:p w14:paraId="09D5DD25" w14:textId="1607F0CD" w:rsidR="000421C9" w:rsidRDefault="000421C9" w:rsidP="00085FAD">
      <w:pPr>
        <w:pStyle w:val="SingleTxt"/>
        <w:numPr>
          <w:ilvl w:val="0"/>
          <w:numId w:val="7"/>
        </w:numPr>
        <w:ind w:right="1267"/>
      </w:pPr>
      <w:r>
        <w:t xml:space="preserve">Finally, the number of adjudicators composing </w:t>
      </w:r>
      <w:r w:rsidR="00493716">
        <w:t>a</w:t>
      </w:r>
      <w:r>
        <w:t xml:space="preserve"> permanent body may need to evolve over time, due to increasing membership of contracting Parties and/or increasing caseload. Existing international courts and tribunals provide illustrations of these possible adjustments.</w:t>
      </w:r>
      <w:r>
        <w:rPr>
          <w:rStyle w:val="FootnoteReference"/>
        </w:rPr>
        <w:footnoteReference w:id="40"/>
      </w:r>
      <w:r>
        <w:t xml:space="preserve"> More specifically, in a full representation body, the number of adjudicators will be adjusted each time a new contracting Party joins the mechanism. In a selective representation model, revision clauses may set out a procedure for the gradual increase in the number of adjudicators</w:t>
      </w:r>
      <w:r w:rsidR="00C06A5C">
        <w:t>.</w:t>
      </w:r>
      <w:r w:rsidR="00C06A5C">
        <w:rPr>
          <w:rStyle w:val="FootnoteReference"/>
        </w:rPr>
        <w:footnoteReference w:id="41"/>
      </w:r>
    </w:p>
    <w:p w14:paraId="41821032" w14:textId="26E5CD39" w:rsidR="00E60C08" w:rsidRDefault="00E60C08" w:rsidP="00085FAD">
      <w:pPr>
        <w:pStyle w:val="SingleTxt"/>
        <w:numPr>
          <w:ilvl w:val="0"/>
          <w:numId w:val="7"/>
        </w:numPr>
        <w:ind w:right="1267"/>
      </w:pPr>
      <w:r>
        <w:t xml:space="preserve">Another option would be to create a roster or list of court members that could be used by the </w:t>
      </w:r>
      <w:r w:rsidR="00493716">
        <w:t>permanent body</w:t>
      </w:r>
      <w:r>
        <w:t xml:space="preserve"> in selecting panels of three judges for specific cases. This would permit </w:t>
      </w:r>
      <w:r w:rsidR="003466DB">
        <w:t xml:space="preserve">the establishment of </w:t>
      </w:r>
      <w:r>
        <w:t xml:space="preserve">a much larger pool of judges to draw from. The same criteria and nomination procedures for a traditional standing court could be used to select judges on the list or roster. </w:t>
      </w:r>
    </w:p>
    <w:p w14:paraId="0938C7ED" w14:textId="2AD21C4C" w:rsidR="00EA6D67" w:rsidRPr="0055364C" w:rsidRDefault="00EA6D67" w:rsidP="00085FAD">
      <w:pPr>
        <w:pStyle w:val="SingleTxt"/>
        <w:numPr>
          <w:ilvl w:val="0"/>
          <w:numId w:val="8"/>
        </w:numPr>
        <w:ind w:right="1267"/>
        <w:rPr>
          <w:b/>
          <w:bCs/>
          <w:i/>
          <w:iCs/>
        </w:rPr>
      </w:pPr>
      <w:r w:rsidRPr="0055364C">
        <w:rPr>
          <w:b/>
          <w:bCs/>
          <w:i/>
          <w:iCs/>
        </w:rPr>
        <w:t>Nomination of candidates</w:t>
      </w:r>
    </w:p>
    <w:p w14:paraId="5986F0B4" w14:textId="6127B4FE" w:rsidR="0055364C" w:rsidRPr="00362F8B" w:rsidRDefault="002C5797" w:rsidP="00085FAD">
      <w:pPr>
        <w:pStyle w:val="SingleTxt"/>
        <w:numPr>
          <w:ilvl w:val="0"/>
          <w:numId w:val="7"/>
        </w:numPr>
        <w:ind w:right="1267"/>
      </w:pPr>
      <w:r>
        <w:lastRenderedPageBreak/>
        <w:t>In the event that there would be a nomination phase, before selection and appointment, t</w:t>
      </w:r>
      <w:r w:rsidR="00354C03">
        <w:t xml:space="preserve">he options for nominating candidates </w:t>
      </w:r>
      <w:r w:rsidR="006F0311">
        <w:t>(A/CN.9/1004/Add.1, para. 116)</w:t>
      </w:r>
      <w:r w:rsidR="00362F8B" w:rsidRPr="00362F8B">
        <w:t xml:space="preserve"> </w:t>
      </w:r>
      <w:r w:rsidR="00362F8B">
        <w:t xml:space="preserve">include: </w:t>
      </w:r>
      <w:r w:rsidR="00943589">
        <w:t>(i) n</w:t>
      </w:r>
      <w:r w:rsidR="00354C03" w:rsidRPr="00362F8B">
        <w:t>ominations by participating States</w:t>
      </w:r>
      <w:r w:rsidR="00362F8B">
        <w:t xml:space="preserve">; </w:t>
      </w:r>
      <w:r w:rsidR="00943589">
        <w:t>(ii) n</w:t>
      </w:r>
      <w:r w:rsidR="006F0311" w:rsidRPr="00362F8B">
        <w:t>omination</w:t>
      </w:r>
      <w:r w:rsidR="00354C03" w:rsidRPr="00362F8B">
        <w:t xml:space="preserve"> by an independent entity established within the permanent body</w:t>
      </w:r>
      <w:r w:rsidR="00362F8B">
        <w:t xml:space="preserve">; and </w:t>
      </w:r>
      <w:r w:rsidR="00943589">
        <w:t>(iii) d</w:t>
      </w:r>
      <w:r w:rsidR="006F0311" w:rsidRPr="00362F8B">
        <w:t>eclaration of interest by</w:t>
      </w:r>
      <w:r w:rsidR="00354C03" w:rsidRPr="00362F8B">
        <w:t xml:space="preserve"> individuals themselves</w:t>
      </w:r>
      <w:r w:rsidR="00943589">
        <w:t>.</w:t>
      </w:r>
      <w:r w:rsidR="006F0311" w:rsidRPr="00362F8B">
        <w:t xml:space="preserve"> </w:t>
      </w:r>
    </w:p>
    <w:p w14:paraId="159884C9" w14:textId="2F00D1BE" w:rsidR="00354C03" w:rsidRPr="007E4AC0" w:rsidRDefault="00354C03" w:rsidP="00085FAD">
      <w:pPr>
        <w:pStyle w:val="SingleTxt"/>
        <w:numPr>
          <w:ilvl w:val="0"/>
          <w:numId w:val="8"/>
        </w:numPr>
        <w:ind w:right="1267"/>
        <w:rPr>
          <w:b/>
          <w:bCs/>
          <w:i/>
          <w:iCs/>
        </w:rPr>
      </w:pPr>
      <w:r w:rsidRPr="007E4AC0">
        <w:rPr>
          <w:b/>
          <w:bCs/>
          <w:i/>
          <w:iCs/>
        </w:rPr>
        <w:t xml:space="preserve">Selection </w:t>
      </w:r>
      <w:r w:rsidR="0066281B">
        <w:rPr>
          <w:b/>
          <w:bCs/>
          <w:i/>
          <w:iCs/>
        </w:rPr>
        <w:t xml:space="preserve">and appointment </w:t>
      </w:r>
      <w:r w:rsidRPr="007E4AC0">
        <w:rPr>
          <w:b/>
          <w:bCs/>
          <w:i/>
          <w:iCs/>
        </w:rPr>
        <w:t>process</w:t>
      </w:r>
    </w:p>
    <w:p w14:paraId="348A73A1" w14:textId="1069D91D" w:rsidR="00E40EF8" w:rsidRPr="002C5797" w:rsidRDefault="00354C03" w:rsidP="00085FAD">
      <w:pPr>
        <w:pStyle w:val="SingleTxt"/>
        <w:numPr>
          <w:ilvl w:val="0"/>
          <w:numId w:val="7"/>
        </w:numPr>
        <w:ind w:right="1267"/>
        <w:rPr>
          <w:i/>
          <w:iCs/>
        </w:rPr>
      </w:pPr>
      <w:r>
        <w:t xml:space="preserve">Options for the selection </w:t>
      </w:r>
      <w:r w:rsidR="00AB772D">
        <w:t xml:space="preserve">and appointment </w:t>
      </w:r>
      <w:r>
        <w:t>process include</w:t>
      </w:r>
      <w:r w:rsidR="006F0311" w:rsidRPr="006F0311">
        <w:t xml:space="preserve"> </w:t>
      </w:r>
      <w:r w:rsidR="006F0311">
        <w:t>the following (A/CN.9/1004/Add.1, para. 118</w:t>
      </w:r>
      <w:r w:rsidR="00943589">
        <w:t>)</w:t>
      </w:r>
      <w:r w:rsidR="002C5797">
        <w:t>:</w:t>
      </w:r>
      <w:r w:rsidR="00E40EF8">
        <w:t xml:space="preserve"> (</w:t>
      </w:r>
      <w:r w:rsidR="002C5797">
        <w:t>i</w:t>
      </w:r>
      <w:r w:rsidR="00E40EF8">
        <w:t xml:space="preserve">) </w:t>
      </w:r>
      <w:r w:rsidR="00B27E12">
        <w:t>direct appointments by each State in case of fully representative courts; (ii) member States nominate candidates who are subsequently voted on by an international body, usually comprised of States or their representatives</w:t>
      </w:r>
      <w:r w:rsidR="002C5797">
        <w:t>;</w:t>
      </w:r>
      <w:r w:rsidR="00E40EF8">
        <w:rPr>
          <w:rStyle w:val="FootnoteReference"/>
        </w:rPr>
        <w:footnoteReference w:id="42"/>
      </w:r>
      <w:r w:rsidR="00E40EF8">
        <w:t xml:space="preserve"> or (</w:t>
      </w:r>
      <w:r w:rsidR="00AB772D">
        <w:t>iii</w:t>
      </w:r>
      <w:r w:rsidR="00E40EF8">
        <w:t>) judges are appointed by an independent commission. The third option is only used for appointments to the Caribbean Court of Justice (CCJ) and the use of direct appointments is also relatively infrequent.</w:t>
      </w:r>
      <w:r w:rsidR="00E40EF8">
        <w:rPr>
          <w:rStyle w:val="FootnoteReference"/>
        </w:rPr>
        <w:footnoteReference w:id="43"/>
      </w:r>
      <w:r w:rsidR="00E40EF8">
        <w:t xml:space="preserve"> For most international courts, judges are elected by an intergovernmental body voting from a list of nominated candidates. </w:t>
      </w:r>
    </w:p>
    <w:p w14:paraId="2DA25BD5" w14:textId="1662FB0F" w:rsidR="007E4AC0" w:rsidRPr="007E4AC0" w:rsidRDefault="001F03A2" w:rsidP="007E4AC0">
      <w:pPr>
        <w:pStyle w:val="SingleTxt"/>
        <w:ind w:left="1275" w:right="1267"/>
        <w:rPr>
          <w:i/>
          <w:iCs/>
        </w:rPr>
      </w:pPr>
      <w:r>
        <w:rPr>
          <w:i/>
          <w:iCs/>
        </w:rPr>
        <w:tab/>
      </w:r>
      <w:r w:rsidR="0055364C" w:rsidRPr="007E4AC0">
        <w:rPr>
          <w:i/>
          <w:iCs/>
        </w:rPr>
        <w:t xml:space="preserve">(i) </w:t>
      </w:r>
      <w:r w:rsidR="006F0311" w:rsidRPr="007E4AC0">
        <w:rPr>
          <w:i/>
          <w:iCs/>
        </w:rPr>
        <w:t xml:space="preserve">An election involving the participating States (through a vote or by consensus) </w:t>
      </w:r>
    </w:p>
    <w:p w14:paraId="4827B8D1" w14:textId="1DB30AB7" w:rsidR="002C5797" w:rsidRDefault="00C4099B" w:rsidP="00085FAD">
      <w:pPr>
        <w:pStyle w:val="SingleTxt"/>
        <w:numPr>
          <w:ilvl w:val="0"/>
          <w:numId w:val="7"/>
        </w:numPr>
        <w:ind w:right="1267"/>
      </w:pPr>
      <w:r>
        <w:t>Elections through votes are favoured over election</w:t>
      </w:r>
      <w:r w:rsidR="007E4F49">
        <w:t>s</w:t>
      </w:r>
      <w:r>
        <w:t xml:space="preserve"> by consensus, to avoid blocking the selection process. </w:t>
      </w:r>
      <w:r w:rsidR="0055364C">
        <w:t xml:space="preserve">It should be noted that States are usually able to vote for more than one candidate, to ensure some balance and diversity. </w:t>
      </w:r>
      <w:r w:rsidR="00FD3E49">
        <w:t xml:space="preserve"> </w:t>
      </w:r>
      <w:r w:rsidR="002C5797">
        <w:t>Qualified majority rules usually ensure that judges who are appointed are acceptable to most States.</w:t>
      </w:r>
    </w:p>
    <w:p w14:paraId="23433F57" w14:textId="6E463F12" w:rsidR="007E4AC0" w:rsidRPr="007E4AC0" w:rsidRDefault="00C4099B" w:rsidP="0055364C">
      <w:pPr>
        <w:pStyle w:val="SingleTxt"/>
        <w:ind w:right="1267"/>
        <w:rPr>
          <w:i/>
          <w:iCs/>
        </w:rPr>
      </w:pPr>
      <w:r w:rsidRPr="007E4AC0">
        <w:rPr>
          <w:i/>
          <w:iCs/>
        </w:rPr>
        <w:t xml:space="preserve"> </w:t>
      </w:r>
      <w:r w:rsidR="001F03A2">
        <w:rPr>
          <w:i/>
          <w:iCs/>
        </w:rPr>
        <w:tab/>
      </w:r>
      <w:r w:rsidR="0055364C" w:rsidRPr="007E4AC0">
        <w:rPr>
          <w:i/>
          <w:iCs/>
        </w:rPr>
        <w:t xml:space="preserve">(ii) </w:t>
      </w:r>
      <w:r w:rsidR="006F0311" w:rsidRPr="007E4AC0">
        <w:rPr>
          <w:i/>
          <w:iCs/>
        </w:rPr>
        <w:t>A selection by a committee, possibly under the auspices of a body within the United Nations system</w:t>
      </w:r>
    </w:p>
    <w:p w14:paraId="74D847B4" w14:textId="6ECAE272" w:rsidR="007E4AC0" w:rsidRDefault="00FD3E49" w:rsidP="00085FAD">
      <w:pPr>
        <w:pStyle w:val="SingleTxt"/>
        <w:numPr>
          <w:ilvl w:val="0"/>
          <w:numId w:val="7"/>
        </w:numPr>
        <w:ind w:right="1267"/>
      </w:pPr>
      <w:r>
        <w:t>Selecti</w:t>
      </w:r>
      <w:r w:rsidR="007E4F49">
        <w:t>o</w:t>
      </w:r>
      <w:r>
        <w:t xml:space="preserve">n and appointment </w:t>
      </w:r>
      <w:r w:rsidR="007E4F49">
        <w:t xml:space="preserve">though </w:t>
      </w:r>
      <w:r w:rsidR="002E289A">
        <w:t>a</w:t>
      </w:r>
      <w:r w:rsidR="007E4F49">
        <w:t xml:space="preserve"> committee </w:t>
      </w:r>
      <w:r w:rsidR="00226187">
        <w:t>might also be an</w:t>
      </w:r>
      <w:r w:rsidR="007E4F49">
        <w:t xml:space="preserve"> option</w:t>
      </w:r>
      <w:r w:rsidR="00226187">
        <w:t xml:space="preserve"> for consideration</w:t>
      </w:r>
      <w:r w:rsidR="007E4F49">
        <w:t xml:space="preserve">. </w:t>
      </w:r>
      <w:r w:rsidR="007E4AC0">
        <w:t>Such a committee</w:t>
      </w:r>
      <w:r w:rsidR="006F0311">
        <w:t xml:space="preserve"> could establish a list</w:t>
      </w:r>
      <w:r w:rsidR="007E4F49">
        <w:t xml:space="preserve"> of adjudicators,</w:t>
      </w:r>
      <w:r w:rsidR="006F0311">
        <w:t xml:space="preserve"> that could then be endorsed by States</w:t>
      </w:r>
      <w:r w:rsidR="00943589">
        <w:t>.</w:t>
      </w:r>
      <w:r w:rsidR="006F0311">
        <w:t xml:space="preserve"> </w:t>
      </w:r>
    </w:p>
    <w:p w14:paraId="52B4A2C1" w14:textId="2E36876D" w:rsidR="0066281B" w:rsidRDefault="0066281B" w:rsidP="00085FAD">
      <w:pPr>
        <w:pStyle w:val="SingleTxt"/>
        <w:numPr>
          <w:ilvl w:val="0"/>
          <w:numId w:val="7"/>
        </w:numPr>
        <w:ind w:right="1267"/>
      </w:pPr>
      <w:r>
        <w:t xml:space="preserve">Another </w:t>
      </w:r>
      <w:r w:rsidR="00226187">
        <w:t xml:space="preserve">possible </w:t>
      </w:r>
      <w:r>
        <w:t xml:space="preserve">approach </w:t>
      </w:r>
      <w:r w:rsidR="00226187">
        <w:t>might consist in</w:t>
      </w:r>
      <w:r>
        <w:t xml:space="preserve"> designat</w:t>
      </w:r>
      <w:r w:rsidR="00226187">
        <w:t>ing</w:t>
      </w:r>
      <w:r>
        <w:t xml:space="preserve"> a body of </w:t>
      </w:r>
      <w:r w:rsidR="001F03A2">
        <w:t>S</w:t>
      </w:r>
      <w:r>
        <w:t xml:space="preserve">tates as the organ for selection and appointment of judges. There are several courts in which judges are selected by treaty </w:t>
      </w:r>
      <w:r w:rsidR="007E4F49">
        <w:t>P</w:t>
      </w:r>
      <w:r>
        <w:t xml:space="preserve">arties or by a collective body of </w:t>
      </w:r>
      <w:r w:rsidR="001F03A2">
        <w:t>S</w:t>
      </w:r>
      <w:r>
        <w:t xml:space="preserve">tates, even if that membership is larger than the group of </w:t>
      </w:r>
      <w:r w:rsidR="0031698A">
        <w:t>S</w:t>
      </w:r>
      <w:r>
        <w:t>tates that accept the court’s jurisdiction.</w:t>
      </w:r>
      <w:r>
        <w:rPr>
          <w:rStyle w:val="FootnoteReference"/>
        </w:rPr>
        <w:footnoteReference w:id="44"/>
      </w:r>
    </w:p>
    <w:p w14:paraId="288F07CC" w14:textId="32491C1B" w:rsidR="007E4AC0" w:rsidRPr="007E4AC0" w:rsidRDefault="001F03A2" w:rsidP="0055364C">
      <w:pPr>
        <w:pStyle w:val="SingleTxt"/>
        <w:ind w:right="1267"/>
        <w:rPr>
          <w:i/>
          <w:iCs/>
        </w:rPr>
      </w:pPr>
      <w:r>
        <w:rPr>
          <w:i/>
          <w:iCs/>
        </w:rPr>
        <w:tab/>
      </w:r>
      <w:r>
        <w:rPr>
          <w:i/>
          <w:iCs/>
        </w:rPr>
        <w:tab/>
      </w:r>
      <w:r w:rsidR="00226187">
        <w:rPr>
          <w:i/>
          <w:iCs/>
        </w:rPr>
        <w:tab/>
      </w:r>
      <w:r w:rsidR="00226187">
        <w:rPr>
          <w:i/>
          <w:iCs/>
        </w:rPr>
        <w:tab/>
      </w:r>
      <w:r w:rsidR="0055364C" w:rsidRPr="007E4AC0">
        <w:rPr>
          <w:i/>
          <w:iCs/>
        </w:rPr>
        <w:t xml:space="preserve">(iii) </w:t>
      </w:r>
      <w:r w:rsidR="006F0311" w:rsidRPr="007E4AC0">
        <w:rPr>
          <w:i/>
          <w:iCs/>
        </w:rPr>
        <w:t xml:space="preserve">A multi-layered screening process </w:t>
      </w:r>
    </w:p>
    <w:p w14:paraId="468842FD" w14:textId="3BDAF097" w:rsidR="00FD61D2" w:rsidRDefault="00FD61D2" w:rsidP="00085FAD">
      <w:pPr>
        <w:pStyle w:val="SingleTxt"/>
        <w:numPr>
          <w:ilvl w:val="0"/>
          <w:numId w:val="7"/>
        </w:numPr>
        <w:ind w:right="1267"/>
      </w:pPr>
      <w:r>
        <w:t>S</w:t>
      </w:r>
      <w:r w:rsidR="00917974">
        <w:t xml:space="preserve">creening </w:t>
      </w:r>
      <w:r w:rsidR="007E4F49">
        <w:t xml:space="preserve">committees </w:t>
      </w:r>
      <w:r w:rsidR="001F03A2">
        <w:t>and consultative appointment committees</w:t>
      </w:r>
      <w:r w:rsidR="00917974">
        <w:t xml:space="preserve"> </w:t>
      </w:r>
      <w:r w:rsidR="007E4F49">
        <w:t>as well as</w:t>
      </w:r>
      <w:r w:rsidR="00917974">
        <w:t xml:space="preserve"> appointment committees have been introduced </w:t>
      </w:r>
      <w:r w:rsidR="001F03A2">
        <w:t xml:space="preserve">in </w:t>
      </w:r>
      <w:r w:rsidR="00917974">
        <w:t xml:space="preserve">some international courts </w:t>
      </w:r>
      <w:r w:rsidR="001F03A2">
        <w:t>(A/CN.9/1004/Add.1, para. 118).</w:t>
      </w:r>
    </w:p>
    <w:p w14:paraId="2E787D47" w14:textId="7AD1BB71" w:rsidR="00FD61D2" w:rsidRDefault="001F03A2" w:rsidP="00085FAD">
      <w:pPr>
        <w:pStyle w:val="SingleTxt"/>
        <w:numPr>
          <w:ilvl w:val="0"/>
          <w:numId w:val="7"/>
        </w:numPr>
        <w:ind w:right="1267"/>
      </w:pPr>
      <w:r>
        <w:t>S</w:t>
      </w:r>
      <w:r w:rsidR="00762623">
        <w:t xml:space="preserve">creening committees assess candidate judges prior to their election to ensure that they </w:t>
      </w:r>
      <w:r>
        <w:t xml:space="preserve">meet the requirements, </w:t>
      </w:r>
      <w:r w:rsidR="00762623">
        <w:t xml:space="preserve">possess sufficient expertise and </w:t>
      </w:r>
      <w:r w:rsidR="007E4F49">
        <w:t>qualifications</w:t>
      </w:r>
      <w:r w:rsidR="00762623">
        <w:t>.</w:t>
      </w:r>
      <w:r w:rsidR="00FD61D2">
        <w:t xml:space="preserve"> They</w:t>
      </w:r>
      <w:r w:rsidR="00762623">
        <w:t xml:space="preserve"> </w:t>
      </w:r>
      <w:r w:rsidR="00FD61D2">
        <w:t>are expert-</w:t>
      </w:r>
      <w:r w:rsidR="00AB30A7">
        <w:t>based,</w:t>
      </w:r>
      <w:r w:rsidR="00FD61D2">
        <w:t xml:space="preserve"> and their function is to filter out candidates that do not meet qualifications. </w:t>
      </w:r>
      <w:r w:rsidR="00762623">
        <w:t xml:space="preserve">Even if </w:t>
      </w:r>
      <w:r>
        <w:t>S</w:t>
      </w:r>
      <w:r w:rsidR="00762623">
        <w:t xml:space="preserve">tates retain control over appointments, this design feature </w:t>
      </w:r>
      <w:r w:rsidR="007E4F49">
        <w:t>is meant to</w:t>
      </w:r>
      <w:r w:rsidR="00762623">
        <w:t xml:space="preserve"> lead to the appointment of more qualified and more independent judges. </w:t>
      </w:r>
      <w:r w:rsidR="00FD61D2">
        <w:t xml:space="preserve">Their function is </w:t>
      </w:r>
      <w:r w:rsidR="00FD61D2" w:rsidRPr="002619AF">
        <w:t>not</w:t>
      </w:r>
      <w:r w:rsidR="00FD61D2">
        <w:t xml:space="preserve"> to consult non-state entities.</w:t>
      </w:r>
      <w:r w:rsidR="009E36D4">
        <w:rPr>
          <w:rStyle w:val="FootnoteReference"/>
        </w:rPr>
        <w:footnoteReference w:id="45"/>
      </w:r>
    </w:p>
    <w:p w14:paraId="678908B4" w14:textId="36A885AF" w:rsidR="001F03A2" w:rsidRDefault="001F03A2" w:rsidP="00085FAD">
      <w:pPr>
        <w:pStyle w:val="SingleTxt"/>
        <w:numPr>
          <w:ilvl w:val="0"/>
          <w:numId w:val="7"/>
        </w:numPr>
        <w:ind w:right="1267"/>
      </w:pPr>
      <w:r>
        <w:t>Consultative appointment committees</w:t>
      </w:r>
      <w:r w:rsidR="00FD61D2">
        <w:t>, by contrast,</w:t>
      </w:r>
      <w:r>
        <w:t xml:space="preserve"> are one way of enabling non-</w:t>
      </w:r>
      <w:r w:rsidR="007E4F49">
        <w:t>State entities</w:t>
      </w:r>
      <w:r>
        <w:t xml:space="preserve"> to participate during the selection process, while reserving the final </w:t>
      </w:r>
      <w:r>
        <w:lastRenderedPageBreak/>
        <w:t>decision for governments.</w:t>
      </w:r>
      <w:r w:rsidRPr="001F03A2">
        <w:t xml:space="preserve"> </w:t>
      </w:r>
      <w:r w:rsidR="00526BDB">
        <w:t>T</w:t>
      </w:r>
      <w:r>
        <w:t xml:space="preserve">he consultation stage </w:t>
      </w:r>
      <w:r w:rsidR="00526BDB">
        <w:t xml:space="preserve">may serve to </w:t>
      </w:r>
      <w:r>
        <w:t>enhance transparency in the selection process and endow a broader acceptance of the dispute mechanism - certain stakeholders could take part in the selection process (for example, representatives of investors and stakeholders, who have an interest in the interpretation and application of investment treaties and the outcome of the dispute, such as professional associations in the field of international law and civil society (A/CN.9/1004/Add.1, para. 121)</w:t>
      </w:r>
      <w:r w:rsidR="00526BDB">
        <w:t>)</w:t>
      </w:r>
      <w:r>
        <w:t>.</w:t>
      </w:r>
      <w:r>
        <w:rPr>
          <w:rStyle w:val="FootnoteReference"/>
        </w:rPr>
        <w:footnoteReference w:id="46"/>
      </w:r>
    </w:p>
    <w:p w14:paraId="5ECC6181" w14:textId="5BA91F99" w:rsidR="007E4AC0" w:rsidRPr="003F650E" w:rsidRDefault="003F650E" w:rsidP="00085FAD">
      <w:pPr>
        <w:pStyle w:val="SingleTxt"/>
        <w:numPr>
          <w:ilvl w:val="0"/>
          <w:numId w:val="8"/>
        </w:numPr>
        <w:ind w:right="1267"/>
        <w:rPr>
          <w:b/>
          <w:bCs/>
          <w:i/>
          <w:iCs/>
        </w:rPr>
      </w:pPr>
      <w:r w:rsidRPr="003F650E">
        <w:rPr>
          <w:b/>
          <w:bCs/>
          <w:i/>
          <w:iCs/>
        </w:rPr>
        <w:t>Differentiated nomination and selection process between first and second tier</w:t>
      </w:r>
    </w:p>
    <w:p w14:paraId="15B76DC1" w14:textId="54A32E47" w:rsidR="00135351" w:rsidRDefault="00135351" w:rsidP="00085FAD">
      <w:pPr>
        <w:pStyle w:val="SingleTxt"/>
        <w:numPr>
          <w:ilvl w:val="0"/>
          <w:numId w:val="7"/>
        </w:numPr>
        <w:ind w:right="1267"/>
      </w:pPr>
      <w:r>
        <w:t>The selection and appointment methods for adjudicators at the appellate level might follow a pattern similar to that of the first instance ISDS tribunal or there might be different requirements and procedures applicable to the selection and appointment of adjudicators depending on the level of adjudication</w:t>
      </w:r>
      <w:r w:rsidR="0031698A">
        <w:t xml:space="preserve"> </w:t>
      </w:r>
      <w:r>
        <w:t xml:space="preserve">(A/CN.9/1004/Add.1, para. 122). </w:t>
      </w:r>
      <w:r>
        <w:rPr>
          <w:rStyle w:val="FootnoteReference"/>
        </w:rPr>
        <w:footnoteReference w:id="47"/>
      </w:r>
      <w:r w:rsidRPr="003F650E">
        <w:t xml:space="preserve"> </w:t>
      </w:r>
      <w:r w:rsidR="00B834B7">
        <w:t xml:space="preserve">With respect to the selection of appellate body members in particular, there appear to be various </w:t>
      </w:r>
      <w:r w:rsidR="00526BDB">
        <w:t xml:space="preserve">possible </w:t>
      </w:r>
      <w:r w:rsidR="00B834B7">
        <w:t xml:space="preserve">approaches. A first would be to maintain </w:t>
      </w:r>
      <w:r w:rsidR="009E36D4">
        <w:t>the</w:t>
      </w:r>
      <w:r w:rsidR="00B834B7">
        <w:t xml:space="preserve"> same list of candidates from which both first instance and appellate adjudicators could be appointed. A second would be to have a permanent appellate body composed of a fixed number of members.</w:t>
      </w:r>
      <w:r w:rsidR="00526BDB">
        <w:rPr>
          <w:rStyle w:val="FootnoteReference"/>
        </w:rPr>
        <w:footnoteReference w:id="48"/>
      </w:r>
      <w:r w:rsidR="00B834B7">
        <w:t xml:space="preserve"> These members could be required to meet certain specific qualifications, such as a significant degree of adjudicatory experience. </w:t>
      </w:r>
    </w:p>
    <w:p w14:paraId="7432E02D" w14:textId="1FE91441" w:rsidR="00DF32EE" w:rsidRDefault="00B834B7" w:rsidP="00085FAD">
      <w:pPr>
        <w:pStyle w:val="SingleTxt"/>
        <w:numPr>
          <w:ilvl w:val="0"/>
          <w:numId w:val="7"/>
        </w:numPr>
        <w:ind w:right="1267"/>
      </w:pPr>
      <w:r>
        <w:t xml:space="preserve">A further question would be whether the system of ad hoc judges </w:t>
      </w:r>
      <w:r w:rsidR="00526BDB">
        <w:t xml:space="preserve">similar to the ICJ </w:t>
      </w:r>
      <w:r>
        <w:t>should be provided for, to address the concerns</w:t>
      </w:r>
      <w:r w:rsidR="009E36D4">
        <w:t xml:space="preserve"> that</w:t>
      </w:r>
      <w:r>
        <w:t xml:space="preserve"> </w:t>
      </w:r>
      <w:r w:rsidR="00DF32EE">
        <w:t>domestic, local, or regional interests</w:t>
      </w:r>
      <w:r w:rsidR="001B4C02">
        <w:t xml:space="preserve"> would be duly understood and taken into account</w:t>
      </w:r>
      <w:r w:rsidR="00DF32EE">
        <w:t>.</w:t>
      </w:r>
      <w:r w:rsidR="001B4C02">
        <w:rPr>
          <w:rStyle w:val="FootnoteReference"/>
        </w:rPr>
        <w:footnoteReference w:id="49"/>
      </w:r>
      <w:r w:rsidR="00DF32EE">
        <w:t xml:space="preserve"> </w:t>
      </w:r>
      <w:r w:rsidR="00A37C16">
        <w:t xml:space="preserve">This may, for instance, entail </w:t>
      </w:r>
      <w:r w:rsidR="00A37C16">
        <w:rPr>
          <w:lang w:eastAsia="zh-CN"/>
        </w:rPr>
        <w:t>having an ad-hoc judge of the nationality of the State and of the investor, either as member of the tribunal or formation of judges itself or of a reviewing plenary of the court, to ensure that while not looking into the facts of the case and formulating the decision, the correctness aspect under international law would be adequately vetted and guaranteed. A further suggestion might be to provide for a judge of the ICJ to be involved into each formation of judges to ensure that the public international law aspect of the case is clearly understood and managed.</w:t>
      </w:r>
    </w:p>
    <w:p w14:paraId="6BF4FB25" w14:textId="4B351BC3" w:rsidR="003F650E" w:rsidRDefault="001C5811" w:rsidP="00085FAD">
      <w:pPr>
        <w:pStyle w:val="SingleTxt"/>
        <w:numPr>
          <w:ilvl w:val="0"/>
          <w:numId w:val="8"/>
        </w:numPr>
        <w:ind w:right="1267"/>
      </w:pPr>
      <w:r>
        <w:rPr>
          <w:b/>
          <w:bCs/>
          <w:i/>
          <w:iCs/>
        </w:rPr>
        <w:t xml:space="preserve">Terms of </w:t>
      </w:r>
      <w:r w:rsidR="003F650E">
        <w:rPr>
          <w:b/>
          <w:bCs/>
          <w:i/>
          <w:iCs/>
        </w:rPr>
        <w:t xml:space="preserve">office </w:t>
      </w:r>
      <w:r w:rsidR="003F650E" w:rsidRPr="003F650E">
        <w:rPr>
          <w:b/>
          <w:bCs/>
          <w:i/>
          <w:iCs/>
        </w:rPr>
        <w:t>terms and renewal</w:t>
      </w:r>
    </w:p>
    <w:p w14:paraId="2BCD0165" w14:textId="52BD9DE0" w:rsidR="007E4AC0" w:rsidRDefault="003F650E" w:rsidP="00085FAD">
      <w:pPr>
        <w:pStyle w:val="SingleTxt"/>
        <w:numPr>
          <w:ilvl w:val="0"/>
          <w:numId w:val="7"/>
        </w:numPr>
        <w:ind w:right="1267"/>
      </w:pPr>
      <w:r>
        <w:t xml:space="preserve">A number of options were mentioned </w:t>
      </w:r>
      <w:r w:rsidR="00B834B7">
        <w:t xml:space="preserve">in the Working Group regarding terms of office and renewal, </w:t>
      </w:r>
      <w:r>
        <w:t>including the possibility of longer terms on a non-renewable basis, which could ensure that the members would not be affected by undue influence. The need to ensure financial security</w:t>
      </w:r>
      <w:r w:rsidR="00ED3A2F">
        <w:t>, as well as the ability to attract high-quality candidates and the accumulation of experience and expertise on the court</w:t>
      </w:r>
      <w:r>
        <w:t xml:space="preserve"> was noted (A/CN.9/1004/Add.1, para. 123).</w:t>
      </w:r>
    </w:p>
    <w:p w14:paraId="094F9EF5" w14:textId="216903A7" w:rsidR="001D6E5C" w:rsidRDefault="00B834B7" w:rsidP="00085FAD">
      <w:pPr>
        <w:pStyle w:val="SingleTxt"/>
        <w:numPr>
          <w:ilvl w:val="0"/>
          <w:numId w:val="7"/>
        </w:numPr>
        <w:ind w:right="1267"/>
      </w:pPr>
      <w:r>
        <w:t>Terms of office set by international courts</w:t>
      </w:r>
      <w:r w:rsidR="00C06319">
        <w:t xml:space="preserve"> </w:t>
      </w:r>
      <w:r>
        <w:t>vary from</w:t>
      </w:r>
      <w:r w:rsidR="00C06319">
        <w:t xml:space="preserve"> </w:t>
      </w:r>
      <w:r w:rsidR="002B6D8B">
        <w:t>four,</w:t>
      </w:r>
      <w:r w:rsidR="002B6D8B">
        <w:rPr>
          <w:rStyle w:val="FootnoteReference"/>
        </w:rPr>
        <w:footnoteReference w:id="50"/>
      </w:r>
      <w:r w:rsidR="00526BDB">
        <w:t xml:space="preserve"> six</w:t>
      </w:r>
      <w:r w:rsidR="00BD59F2">
        <w:rPr>
          <w:rStyle w:val="FootnoteReference"/>
        </w:rPr>
        <w:footnoteReference w:id="51"/>
      </w:r>
      <w:r w:rsidR="00526BDB">
        <w:t xml:space="preserve"> or nine</w:t>
      </w:r>
      <w:r w:rsidR="00BD59F2">
        <w:rPr>
          <w:rStyle w:val="FootnoteReference"/>
        </w:rPr>
        <w:footnoteReference w:id="52"/>
      </w:r>
      <w:r w:rsidR="00C06319">
        <w:t xml:space="preserve"> years. </w:t>
      </w:r>
      <w:r w:rsidR="002B6D8B">
        <w:t>A court does not provide for a time limitation.</w:t>
      </w:r>
      <w:r w:rsidR="002B6D8B">
        <w:rPr>
          <w:rStyle w:val="FootnoteReference"/>
        </w:rPr>
        <w:footnoteReference w:id="53"/>
      </w:r>
      <w:r w:rsidR="002B6D8B">
        <w:t xml:space="preserve"> </w:t>
      </w:r>
      <w:r w:rsidR="00C06319">
        <w:t xml:space="preserve">The appointments could also be staggered at </w:t>
      </w:r>
      <w:r w:rsidR="00526BDB">
        <w:t>three</w:t>
      </w:r>
      <w:r w:rsidR="00C06319">
        <w:t xml:space="preserve"> year</w:t>
      </w:r>
      <w:r w:rsidR="00526BDB">
        <w:t>s</w:t>
      </w:r>
      <w:r w:rsidR="00C06319">
        <w:t xml:space="preserve"> intervals so that the turnover of new judges on the court would be gradual.</w:t>
      </w:r>
      <w:r w:rsidR="009E36D4">
        <w:rPr>
          <w:rStyle w:val="FootnoteReference"/>
        </w:rPr>
        <w:footnoteReference w:id="54"/>
      </w:r>
    </w:p>
    <w:p w14:paraId="2515D749" w14:textId="5ED278FF" w:rsidR="00864691" w:rsidRDefault="00ED3A2F" w:rsidP="00085FAD">
      <w:pPr>
        <w:pStyle w:val="SingleTxt"/>
        <w:numPr>
          <w:ilvl w:val="0"/>
          <w:numId w:val="7"/>
        </w:numPr>
        <w:ind w:right="1267"/>
      </w:pPr>
      <w:r>
        <w:lastRenderedPageBreak/>
        <w:t>Terms could be renewable or not. A</w:t>
      </w:r>
      <w:r w:rsidR="00B834B7">
        <w:t>ppointment for fixed single terms may increase independence but make the system potentially less accountable</w:t>
      </w:r>
      <w:r>
        <w:t>.</w:t>
      </w:r>
      <w:r w:rsidR="00B834B7">
        <w:t xml:space="preserve"> </w:t>
      </w:r>
      <w:r w:rsidR="00864691">
        <w:t>Being unable to reappoint judges means that valuable experience is lost and there may be less continuity of leadership.</w:t>
      </w:r>
      <w:r w:rsidR="00864691" w:rsidRPr="00864691">
        <w:rPr>
          <w:rStyle w:val="FootnoteReference"/>
        </w:rPr>
        <w:t xml:space="preserve"> </w:t>
      </w:r>
      <w:r w:rsidR="00864691">
        <w:rPr>
          <w:rStyle w:val="FootnoteReference"/>
        </w:rPr>
        <w:footnoteReference w:id="55"/>
      </w:r>
      <w:r w:rsidR="00864691" w:rsidRPr="00864691">
        <w:t xml:space="preserve"> </w:t>
      </w:r>
      <w:r w:rsidR="00864691">
        <w:t>One way to limit the risk that non-renewable terms reduce the experience on the court and the pool of available candidates is to provide for relatively long and staggered judicial terms.</w:t>
      </w:r>
      <w:r w:rsidR="001B4C02">
        <w:rPr>
          <w:rStyle w:val="FootnoteReference"/>
        </w:rPr>
        <w:footnoteReference w:id="56"/>
      </w:r>
      <w:r w:rsidR="00864691">
        <w:t xml:space="preserve"> </w:t>
      </w:r>
    </w:p>
    <w:p w14:paraId="271AB4AD" w14:textId="33832A50" w:rsidR="00DA53F8" w:rsidRDefault="00DA53F8" w:rsidP="00085FAD">
      <w:pPr>
        <w:pStyle w:val="SingleTxt"/>
        <w:numPr>
          <w:ilvl w:val="0"/>
          <w:numId w:val="7"/>
        </w:numPr>
        <w:ind w:right="1267"/>
      </w:pPr>
      <w:r>
        <w:t>Renewable terms are relatively common for international courts.</w:t>
      </w:r>
      <w:r w:rsidR="002B6D8B">
        <w:rPr>
          <w:rStyle w:val="FootnoteReference"/>
        </w:rPr>
        <w:footnoteReference w:id="57"/>
      </w:r>
      <w:r>
        <w:t xml:space="preserve"> </w:t>
      </w:r>
      <w:r w:rsidR="002B6D8B">
        <w:t>Certain courts include limitations such as a term can be renewed once only.</w:t>
      </w:r>
      <w:r w:rsidR="002B6D8B">
        <w:rPr>
          <w:rStyle w:val="FootnoteReference"/>
        </w:rPr>
        <w:footnoteReference w:id="58"/>
      </w:r>
      <w:r w:rsidR="002B6D8B">
        <w:t xml:space="preserve"> </w:t>
      </w:r>
      <w:r>
        <w:t xml:space="preserve">Renewable terms can improve accountability as </w:t>
      </w:r>
      <w:r w:rsidR="00ED3A2F">
        <w:t>S</w:t>
      </w:r>
      <w:r>
        <w:t xml:space="preserve">tates can base reappointment decisions on the past performance of the judges. However, such accountability may come at the expense of judicial independence as judges wishing to be reappointed face incentives to satisfy </w:t>
      </w:r>
      <w:r w:rsidR="00526BDB">
        <w:t>those</w:t>
      </w:r>
      <w:r>
        <w:t xml:space="preserve"> in control of reappointment decisions.</w:t>
      </w:r>
      <w:r w:rsidR="00FD5AE5" w:rsidRPr="00FD5AE5">
        <w:t xml:space="preserve"> </w:t>
      </w:r>
      <w:r w:rsidR="00FD5AE5">
        <w:t>Such concerns may be particularly strong on courts that are transparent about how individual judges voted, such as by allowing dissenting opinions, because such transparency increases the ability of member States to monitor how judges have adjudicated past cases.</w:t>
      </w:r>
    </w:p>
    <w:p w14:paraId="522BD390" w14:textId="1D3E763E" w:rsidR="00864691" w:rsidRPr="003466DB" w:rsidRDefault="00864691" w:rsidP="00085FAD">
      <w:pPr>
        <w:pStyle w:val="SingleTxt"/>
        <w:numPr>
          <w:ilvl w:val="0"/>
          <w:numId w:val="8"/>
        </w:numPr>
        <w:ind w:right="1267"/>
        <w:rPr>
          <w:b/>
          <w:bCs/>
          <w:i/>
          <w:iCs/>
        </w:rPr>
      </w:pPr>
      <w:r w:rsidRPr="003466DB">
        <w:rPr>
          <w:b/>
          <w:bCs/>
          <w:i/>
          <w:iCs/>
        </w:rPr>
        <w:t>R</w:t>
      </w:r>
      <w:r w:rsidR="00762623" w:rsidRPr="003466DB">
        <w:rPr>
          <w:b/>
          <w:bCs/>
          <w:i/>
          <w:iCs/>
        </w:rPr>
        <w:t xml:space="preserve">emoval procedures </w:t>
      </w:r>
    </w:p>
    <w:p w14:paraId="5E9CED82" w14:textId="50A8E2C0" w:rsidR="00C621A8" w:rsidRDefault="00762623" w:rsidP="00085FAD">
      <w:pPr>
        <w:pStyle w:val="SingleTxt"/>
        <w:numPr>
          <w:ilvl w:val="0"/>
          <w:numId w:val="7"/>
        </w:numPr>
        <w:ind w:right="1267"/>
      </w:pPr>
      <w:r>
        <w:t xml:space="preserve">Most statutes for international courts refer to misconduct and inability to perform duties due to illness as grounds for removal. </w:t>
      </w:r>
      <w:r w:rsidR="00854CD5">
        <w:t>The draft code of conduct likewise contains provisions on these matters.</w:t>
      </w:r>
    </w:p>
    <w:p w14:paraId="10AB1DA7" w14:textId="6EEC722F" w:rsidR="00762623" w:rsidRDefault="00762623" w:rsidP="00085FAD">
      <w:pPr>
        <w:pStyle w:val="SingleTxt"/>
        <w:numPr>
          <w:ilvl w:val="0"/>
          <w:numId w:val="7"/>
        </w:numPr>
        <w:ind w:right="1267"/>
      </w:pPr>
      <w:r>
        <w:t xml:space="preserve">With respect to requests for and decisions on removal, systems </w:t>
      </w:r>
      <w:r w:rsidR="008E7EC1">
        <w:t xml:space="preserve">vary from those </w:t>
      </w:r>
      <w:r>
        <w:t xml:space="preserve">that leave this authority with the judges </w:t>
      </w:r>
      <w:r w:rsidR="008E7EC1">
        <w:t>to those</w:t>
      </w:r>
      <w:r>
        <w:t xml:space="preserve"> where </w:t>
      </w:r>
      <w:r w:rsidR="00864691">
        <w:t>S</w:t>
      </w:r>
      <w:r>
        <w:t>tates are involved or control the removal process. Most frequently, international court</w:t>
      </w:r>
      <w:r w:rsidR="008E7EC1">
        <w:t>s</w:t>
      </w:r>
      <w:r>
        <w:t xml:space="preserve"> retain the capacity to remove judges from office, </w:t>
      </w:r>
      <w:r w:rsidR="008E7EC1">
        <w:t>requiring either</w:t>
      </w:r>
      <w:r>
        <w:t xml:space="preserve"> a unanimous decision of remaining judges </w:t>
      </w:r>
      <w:r w:rsidR="008E7EC1">
        <w:t>or</w:t>
      </w:r>
      <w:r>
        <w:t xml:space="preserve"> a majority or </w:t>
      </w:r>
      <w:r w:rsidR="008E7EC1">
        <w:t xml:space="preserve">qualified </w:t>
      </w:r>
      <w:r>
        <w:t>majority</w:t>
      </w:r>
      <w:r w:rsidR="008E7EC1">
        <w:t xml:space="preserve"> decision</w:t>
      </w:r>
      <w:r>
        <w:t>.</w:t>
      </w:r>
      <w:r w:rsidR="00864691">
        <w:rPr>
          <w:rStyle w:val="FootnoteReference"/>
        </w:rPr>
        <w:footnoteReference w:id="59"/>
      </w:r>
      <w:r>
        <w:t xml:space="preserve"> In some instance, </w:t>
      </w:r>
      <w:r w:rsidR="00864691">
        <w:t>S</w:t>
      </w:r>
      <w:r>
        <w:t xml:space="preserve">tates have the capacity to override the decision of the courts by common accord. For some international courts, both </w:t>
      </w:r>
      <w:r w:rsidR="00C621A8">
        <w:t>S</w:t>
      </w:r>
      <w:r>
        <w:t>tates and courts are involved in the decision to remove a judge. Typically, this entails the court (or a specially constituted tribunal) reviewing a complaint against a judge, which then makes a recommendation</w:t>
      </w:r>
      <w:r w:rsidR="008E7EC1">
        <w:t>, for final decision</w:t>
      </w:r>
      <w:r>
        <w:t xml:space="preserve"> </w:t>
      </w:r>
      <w:r w:rsidR="00C31A15">
        <w:t>by</w:t>
      </w:r>
      <w:r>
        <w:t xml:space="preserve"> an intergovernmental body.</w:t>
      </w:r>
      <w:r w:rsidR="00864691">
        <w:rPr>
          <w:rStyle w:val="FootnoteReference"/>
        </w:rPr>
        <w:footnoteReference w:id="60"/>
      </w:r>
      <w:r>
        <w:t xml:space="preserve"> </w:t>
      </w:r>
    </w:p>
    <w:p w14:paraId="1A32BF89" w14:textId="2939050C" w:rsidR="00354C03" w:rsidRPr="003F650E" w:rsidRDefault="003F650E" w:rsidP="00085FAD">
      <w:pPr>
        <w:pStyle w:val="SingleTxt"/>
        <w:numPr>
          <w:ilvl w:val="0"/>
          <w:numId w:val="8"/>
        </w:numPr>
        <w:ind w:right="1267"/>
        <w:rPr>
          <w:b/>
          <w:bCs/>
          <w:i/>
          <w:iCs/>
        </w:rPr>
      </w:pPr>
      <w:r w:rsidRPr="003F650E">
        <w:rPr>
          <w:b/>
          <w:bCs/>
          <w:i/>
          <w:iCs/>
        </w:rPr>
        <w:t>Assignment of a case to members of a permanent body</w:t>
      </w:r>
    </w:p>
    <w:p w14:paraId="3A554944" w14:textId="5C845BAD" w:rsidR="00C31A15" w:rsidRDefault="00C31A15" w:rsidP="00085FAD">
      <w:pPr>
        <w:pStyle w:val="SingleTxt"/>
        <w:numPr>
          <w:ilvl w:val="0"/>
          <w:numId w:val="7"/>
        </w:numPr>
        <w:ind w:right="1267"/>
      </w:pPr>
      <w:r>
        <w:t xml:space="preserve">Some questions were raised in the Working Group on the criteria to be applied in assigning the cases. It was suggested that the assignment </w:t>
      </w:r>
      <w:r w:rsidR="002619AF">
        <w:t xml:space="preserve">method </w:t>
      </w:r>
      <w:r>
        <w:t xml:space="preserve">should </w:t>
      </w:r>
      <w:r w:rsidR="002619AF">
        <w:t>take account of</w:t>
      </w:r>
      <w:r>
        <w:t xml:space="preserve"> the specificities of the case, including whether a developing State was involved and the need for the tribunal to consider a number of other aspects (for example, environmental and social aspects or investment promotion). The need to assign the most appropriate member to handle the case was mentioned. With regard to a case where the assigned member might not have the specific expertise to handle some of the issues (for example, calculation of damages), the possibility of engaging </w:t>
      </w:r>
      <w:r>
        <w:lastRenderedPageBreak/>
        <w:t>with experts was mentioned. Questions were raised on how the assignment process could ensure diversity of the adjudicators (A/CN.9/1004/Add.1, para. 126).</w:t>
      </w:r>
      <w:r w:rsidRPr="008B0F04">
        <w:t xml:space="preserve"> </w:t>
      </w:r>
    </w:p>
    <w:p w14:paraId="579D009C" w14:textId="74F558EA" w:rsidR="00C4099B" w:rsidRDefault="00844A79" w:rsidP="00085FAD">
      <w:pPr>
        <w:pStyle w:val="SingleTxt"/>
        <w:numPr>
          <w:ilvl w:val="0"/>
          <w:numId w:val="7"/>
        </w:numPr>
        <w:ind w:right="1267"/>
      </w:pPr>
      <w:r>
        <w:t>Different models for assigning cases can be found in international courts.</w:t>
      </w:r>
      <w:r w:rsidR="00CB7F9D">
        <w:rPr>
          <w:rStyle w:val="FootnoteReference"/>
        </w:rPr>
        <w:footnoteReference w:id="61"/>
      </w:r>
      <w:r w:rsidR="00C4099B" w:rsidRPr="00C4099B">
        <w:t xml:space="preserve"> </w:t>
      </w:r>
      <w:r w:rsidR="003466DB">
        <w:t xml:space="preserve">In terms of selecting judges for specific cases, the process could be random or it could fall to the Secretary-General of the institution managing </w:t>
      </w:r>
      <w:r w:rsidR="00C31A15">
        <w:t>a list of adjudicators</w:t>
      </w:r>
      <w:r w:rsidR="003466DB">
        <w:t xml:space="preserve"> or there could be a single full-time president of the permanent body that is tasked with appointing judges to specific cases</w:t>
      </w:r>
      <w:r w:rsidR="00C621A8">
        <w:t xml:space="preserve"> (A/CN.9/1004/Add.1, para. 125)</w:t>
      </w:r>
      <w:r w:rsidR="003466DB">
        <w:t>.</w:t>
      </w:r>
    </w:p>
    <w:p w14:paraId="2589329E" w14:textId="789E7297" w:rsidR="004E68FD" w:rsidRDefault="004E68FD" w:rsidP="00085FAD">
      <w:pPr>
        <w:pStyle w:val="SingleTxt"/>
        <w:numPr>
          <w:ilvl w:val="0"/>
          <w:numId w:val="7"/>
        </w:numPr>
        <w:ind w:right="1267"/>
      </w:pPr>
      <w:r>
        <w:t>In a Submission on this reform option, it is suggested that adjudicators would be appointed to divisions of the standing mechanism on a randomized basis to a certain exten</w:t>
      </w:r>
      <w:r w:rsidR="009E36D4">
        <w:t>t</w:t>
      </w:r>
      <w:r>
        <w:t xml:space="preserve"> to ensure that the disputing parties would not be in a position to know in advance who will hear their case.</w:t>
      </w:r>
    </w:p>
    <w:p w14:paraId="241DE07D" w14:textId="2BFED241" w:rsidR="008B0F04" w:rsidRPr="008B0F04" w:rsidRDefault="008B0F04" w:rsidP="00085FAD">
      <w:pPr>
        <w:pStyle w:val="SingleTxt"/>
        <w:numPr>
          <w:ilvl w:val="0"/>
          <w:numId w:val="8"/>
        </w:numPr>
        <w:ind w:right="1267"/>
        <w:rPr>
          <w:b/>
          <w:bCs/>
          <w:i/>
          <w:iCs/>
        </w:rPr>
      </w:pPr>
      <w:r w:rsidRPr="008B0F04">
        <w:rPr>
          <w:b/>
          <w:bCs/>
          <w:i/>
          <w:iCs/>
        </w:rPr>
        <w:t>Other issues</w:t>
      </w:r>
    </w:p>
    <w:p w14:paraId="53DAF1DE" w14:textId="164ADAE2" w:rsidR="00C47A96" w:rsidRDefault="00CA4CB8" w:rsidP="00085FAD">
      <w:pPr>
        <w:pStyle w:val="SingleTxt"/>
        <w:numPr>
          <w:ilvl w:val="0"/>
          <w:numId w:val="7"/>
        </w:numPr>
        <w:ind w:right="1267"/>
      </w:pPr>
      <w:r>
        <w:t xml:space="preserve">This note focusses on the selection and appointment of ISDS tribunal members, and does not cover the wider range of procedural matters pertaining to each model. </w:t>
      </w:r>
      <w:r w:rsidR="00C47A96">
        <w:t xml:space="preserve">The Working Group may wish to note the </w:t>
      </w:r>
      <w:r w:rsidR="00AE1882">
        <w:t>following matters mentioned in relation to a permanent body at its resumed thirty-eighth session</w:t>
      </w:r>
      <w:r w:rsidR="00C47A96">
        <w:t>:</w:t>
      </w:r>
      <w:r w:rsidR="00AE1882">
        <w:t xml:space="preserve"> (i) l</w:t>
      </w:r>
      <w:r w:rsidR="00C47A96" w:rsidRPr="00C47A96">
        <w:t>ocation</w:t>
      </w:r>
      <w:r w:rsidR="00724EFA">
        <w:t>, if any,</w:t>
      </w:r>
      <w:r w:rsidR="00C47A96" w:rsidRPr="00C47A96">
        <w:t xml:space="preserve"> of the permanent bod</w:t>
      </w:r>
      <w:r w:rsidR="00AE1882">
        <w:t>y; (ii) w</w:t>
      </w:r>
      <w:r w:rsidR="00C47A96" w:rsidRPr="00C47A96">
        <w:t>hether it would be hosted within an existing organization (possibly a body within the United Nations) or as a separate body</w:t>
      </w:r>
      <w:r w:rsidR="00AE1882">
        <w:t>; and</w:t>
      </w:r>
      <w:r w:rsidR="002B0380">
        <w:t xml:space="preserve"> (iii)</w:t>
      </w:r>
      <w:r w:rsidR="00AE1882">
        <w:t xml:space="preserve"> t</w:t>
      </w:r>
      <w:r w:rsidR="00C47A96" w:rsidRPr="00C47A96">
        <w:t>he need to put in place a mechanism to rectify any problems that could arise after the body was set up</w:t>
      </w:r>
      <w:r w:rsidR="00AE1882">
        <w:t>.</w:t>
      </w:r>
    </w:p>
    <w:p w14:paraId="5298DAB5" w14:textId="0EE1E1F0" w:rsidR="00EE09CF" w:rsidRPr="00943589" w:rsidRDefault="00BF53E8" w:rsidP="00085FAD">
      <w:pPr>
        <w:pStyle w:val="SingleTxt"/>
        <w:numPr>
          <w:ilvl w:val="0"/>
          <w:numId w:val="8"/>
        </w:numPr>
        <w:ind w:right="1267"/>
        <w:rPr>
          <w:b/>
          <w:bCs/>
          <w:i/>
          <w:iCs/>
        </w:rPr>
      </w:pPr>
      <w:r w:rsidRPr="00943589">
        <w:rPr>
          <w:b/>
          <w:bCs/>
          <w:i/>
          <w:iCs/>
        </w:rPr>
        <w:t>Implementation</w:t>
      </w:r>
    </w:p>
    <w:p w14:paraId="146C6C60" w14:textId="572E0B68" w:rsidR="00BF53E8" w:rsidRDefault="00BF53E8" w:rsidP="00085FAD">
      <w:pPr>
        <w:pStyle w:val="SingleTxt"/>
        <w:numPr>
          <w:ilvl w:val="0"/>
          <w:numId w:val="7"/>
        </w:numPr>
        <w:ind w:right="1267"/>
      </w:pPr>
      <w:r>
        <w:t xml:space="preserve">The establishment of a standing mechanism or body would require the preparation of statutes to determine the modalities of selection, nomination and functioning of tribunal. </w:t>
      </w:r>
      <w:r w:rsidR="00AE1882">
        <w:t>It</w:t>
      </w:r>
      <w:r>
        <w:t xml:space="preserve"> would require the preparation of an opt-in convention for their application to existing investment treaties, as suggested in the submissions referred to abov</w:t>
      </w:r>
      <w:r w:rsidR="00943589">
        <w:t>e.</w:t>
      </w:r>
    </w:p>
    <w:p w14:paraId="7B746356" w14:textId="1B54BB0D" w:rsidR="00EE09CF" w:rsidRDefault="00EE09CF" w:rsidP="00BB7478">
      <w:pPr>
        <w:pStyle w:val="SingleTxt"/>
        <w:ind w:left="1275" w:right="1267"/>
      </w:pPr>
    </w:p>
    <w:p w14:paraId="6508BD58" w14:textId="1C98B2A6" w:rsidR="00BB7478" w:rsidRDefault="00BB7478" w:rsidP="00EE09CF">
      <w:pPr>
        <w:pStyle w:val="SingleTxt"/>
        <w:ind w:left="1267" w:right="1267"/>
      </w:pPr>
    </w:p>
    <w:p w14:paraId="1599B1DB" w14:textId="24DF115C" w:rsidR="000B03D9" w:rsidRPr="00A37C16" w:rsidRDefault="000B03D9" w:rsidP="00A37C16">
      <w:pPr>
        <w:rPr>
          <w:spacing w:val="0"/>
          <w:w w:val="100"/>
          <w:kern w:val="0"/>
          <w:lang w:eastAsia="zh-CN"/>
        </w:rPr>
      </w:pPr>
    </w:p>
    <w:p w14:paraId="1CADF243" w14:textId="13DE73CD" w:rsidR="00234021" w:rsidRDefault="00234021" w:rsidP="000F791C">
      <w:pPr>
        <w:pStyle w:val="SingleTxt"/>
        <w:ind w:left="1267" w:right="1267"/>
        <w:rPr>
          <w:b/>
        </w:rPr>
      </w:pPr>
    </w:p>
    <w:p w14:paraId="580D350C" w14:textId="0DB8E255" w:rsidR="005240BE" w:rsidRDefault="005240BE" w:rsidP="000F791C">
      <w:pPr>
        <w:pStyle w:val="SingleTxt"/>
        <w:ind w:left="1267" w:right="1267"/>
        <w:rPr>
          <w:b/>
        </w:rPr>
      </w:pPr>
    </w:p>
    <w:p w14:paraId="08CF899C" w14:textId="1CDED807" w:rsidR="005240BE" w:rsidRDefault="005240BE" w:rsidP="000F791C">
      <w:pPr>
        <w:pStyle w:val="SingleTxt"/>
        <w:ind w:left="1267" w:right="1267"/>
        <w:rPr>
          <w:b/>
        </w:rPr>
      </w:pPr>
    </w:p>
    <w:p w14:paraId="2C123A6B" w14:textId="5257E559" w:rsidR="005240BE" w:rsidRDefault="005240BE" w:rsidP="000F791C">
      <w:pPr>
        <w:pStyle w:val="SingleTxt"/>
        <w:ind w:left="1267" w:right="1267"/>
        <w:rPr>
          <w:b/>
        </w:rPr>
      </w:pPr>
    </w:p>
    <w:p w14:paraId="1106764E" w14:textId="3FF54230" w:rsidR="005240BE" w:rsidRDefault="005240BE" w:rsidP="000F791C">
      <w:pPr>
        <w:pStyle w:val="SingleTxt"/>
        <w:ind w:left="1267" w:right="1267"/>
        <w:rPr>
          <w:b/>
        </w:rPr>
      </w:pPr>
    </w:p>
    <w:p w14:paraId="3EF8F997" w14:textId="708BDAA3" w:rsidR="005240BE" w:rsidRDefault="005240BE" w:rsidP="000F791C">
      <w:pPr>
        <w:pStyle w:val="SingleTxt"/>
        <w:ind w:left="1267" w:right="1267"/>
        <w:rPr>
          <w:b/>
        </w:rPr>
      </w:pPr>
    </w:p>
    <w:sectPr w:rsidR="005240BE" w:rsidSect="00EA095C">
      <w:endnotePr>
        <w:numFmt w:val="decimal"/>
      </w:endnotePr>
      <w:type w:val="continuous"/>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55646" w14:textId="77777777" w:rsidR="00245DFC" w:rsidRDefault="00245DFC" w:rsidP="00556720">
      <w:r>
        <w:separator/>
      </w:r>
    </w:p>
  </w:endnote>
  <w:endnote w:type="continuationSeparator" w:id="0">
    <w:p w14:paraId="044DF6DC" w14:textId="77777777" w:rsidR="00245DFC" w:rsidRDefault="00245DF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3B0F72" w14:paraId="3FF40092" w14:textId="77777777" w:rsidTr="00D713A4">
      <w:trPr>
        <w:jc w:val="center"/>
      </w:trPr>
      <w:tc>
        <w:tcPr>
          <w:tcW w:w="4922" w:type="dxa"/>
          <w:shd w:val="clear" w:color="auto" w:fill="auto"/>
        </w:tcPr>
        <w:p w14:paraId="53E01B9A" w14:textId="0BB8379C" w:rsidR="003B0F72" w:rsidRPr="00D713A4" w:rsidRDefault="003B0F72" w:rsidP="00D713A4">
          <w:pPr>
            <w:pStyle w:val="Footer"/>
            <w:jc w:val="right"/>
            <w:rPr>
              <w:b w:val="0"/>
              <w:w w:val="103"/>
              <w:sz w:val="14"/>
            </w:rPr>
          </w:pPr>
        </w:p>
      </w:tc>
      <w:tc>
        <w:tcPr>
          <w:tcW w:w="4923" w:type="dxa"/>
          <w:shd w:val="clear" w:color="auto" w:fill="auto"/>
        </w:tcPr>
        <w:p w14:paraId="578FBA89" w14:textId="77777777" w:rsidR="003B0F72" w:rsidRPr="00D713A4" w:rsidRDefault="003B0F72" w:rsidP="00D713A4">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w:t>
          </w:r>
          <w:r>
            <w:rPr>
              <w:w w:val="103"/>
            </w:rPr>
            <w:fldChar w:fldCharType="end"/>
          </w:r>
        </w:p>
      </w:tc>
    </w:tr>
  </w:tbl>
  <w:p w14:paraId="0EC6C2F9" w14:textId="77777777" w:rsidR="003B0F72" w:rsidRPr="00D713A4" w:rsidRDefault="003B0F72" w:rsidP="00D71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tblGrid>
    <w:tr w:rsidR="003B0F72" w14:paraId="5641231D" w14:textId="77777777" w:rsidTr="00D713A4">
      <w:trPr>
        <w:jc w:val="center"/>
      </w:trPr>
      <w:tc>
        <w:tcPr>
          <w:tcW w:w="4922" w:type="dxa"/>
          <w:shd w:val="clear" w:color="auto" w:fill="auto"/>
        </w:tcPr>
        <w:p w14:paraId="006910BB" w14:textId="77777777" w:rsidR="003B0F72" w:rsidRPr="00D713A4" w:rsidRDefault="003B0F72" w:rsidP="00D713A4">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BECE57B" w14:textId="77777777" w:rsidR="003B0F72" w:rsidRPr="00D713A4" w:rsidRDefault="003B0F72" w:rsidP="00D713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59"/>
      <w:gridCol w:w="4923"/>
    </w:tblGrid>
    <w:tr w:rsidR="003B0F72" w14:paraId="0EEFAB73" w14:textId="77777777" w:rsidTr="00D713A4">
      <w:tc>
        <w:tcPr>
          <w:tcW w:w="3859" w:type="dxa"/>
        </w:tcPr>
        <w:p w14:paraId="61D35915" w14:textId="47B2A086" w:rsidR="003B0F72" w:rsidRPr="00806EDE" w:rsidRDefault="003B0F72" w:rsidP="00D713A4">
          <w:pPr>
            <w:pStyle w:val="Footer"/>
            <w:spacing w:before="120" w:line="210" w:lineRule="atLeast"/>
            <w:rPr>
              <w:rFonts w:ascii="Barcode 3 of 9 by request" w:hAnsi="Barcode 3 of 9 by request"/>
              <w:b w:val="0"/>
              <w:i/>
              <w:iCs/>
              <w:sz w:val="24"/>
              <w:lang w:val="en-GB"/>
            </w:rPr>
          </w:pPr>
        </w:p>
      </w:tc>
      <w:tc>
        <w:tcPr>
          <w:tcW w:w="4923" w:type="dxa"/>
        </w:tcPr>
        <w:p w14:paraId="040D57D8" w14:textId="77777777" w:rsidR="003B0F72" w:rsidRDefault="003B0F72" w:rsidP="00D713A4">
          <w:pPr>
            <w:pStyle w:val="Footer"/>
            <w:jc w:val="right"/>
            <w:rPr>
              <w:b w:val="0"/>
              <w:sz w:val="20"/>
            </w:rPr>
          </w:pPr>
          <w:r>
            <w:rPr>
              <w:b w:val="0"/>
              <w:sz w:val="20"/>
            </w:rPr>
            <w:drawing>
              <wp:inline distT="0" distB="0" distL="0" distR="0" wp14:anchorId="00BB1209" wp14:editId="23AF867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929642" cy="231648"/>
                        </a:xfrm>
                        <a:prstGeom prst="rect">
                          <a:avLst/>
                        </a:prstGeom>
                      </pic:spPr>
                    </pic:pic>
                  </a:graphicData>
                </a:graphic>
              </wp:inline>
            </w:drawing>
          </w:r>
        </w:p>
      </w:tc>
    </w:tr>
  </w:tbl>
  <w:p w14:paraId="1B91142D" w14:textId="77777777" w:rsidR="003B0F72" w:rsidRPr="00D713A4" w:rsidRDefault="003B0F72" w:rsidP="00D713A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89B1F" w14:textId="77777777" w:rsidR="00245DFC" w:rsidRPr="004A4A14" w:rsidRDefault="00245DFC" w:rsidP="004A4A14">
      <w:pPr>
        <w:pStyle w:val="Footer"/>
        <w:spacing w:after="80"/>
        <w:ind w:left="792"/>
        <w:rPr>
          <w:sz w:val="16"/>
        </w:rPr>
      </w:pPr>
      <w:r w:rsidRPr="004A4A14">
        <w:rPr>
          <w:sz w:val="16"/>
        </w:rPr>
        <w:t>__________________</w:t>
      </w:r>
    </w:p>
  </w:footnote>
  <w:footnote w:type="continuationSeparator" w:id="0">
    <w:p w14:paraId="48A28D3B" w14:textId="77777777" w:rsidR="00245DFC" w:rsidRPr="004A4A14" w:rsidRDefault="00245DFC" w:rsidP="004A4A14">
      <w:pPr>
        <w:pStyle w:val="Footer"/>
        <w:spacing w:after="80"/>
        <w:ind w:left="792"/>
        <w:rPr>
          <w:sz w:val="16"/>
        </w:rPr>
      </w:pPr>
      <w:r w:rsidRPr="004A4A14">
        <w:rPr>
          <w:sz w:val="16"/>
        </w:rPr>
        <w:t>__________________</w:t>
      </w:r>
    </w:p>
  </w:footnote>
  <w:footnote w:id="1">
    <w:p w14:paraId="130E1C16" w14:textId="49BB7010" w:rsidR="003B0F72" w:rsidRPr="00125363" w:rsidRDefault="003B0F72" w:rsidP="00C95788">
      <w:pPr>
        <w:pStyle w:val="FootnoteText"/>
        <w:tabs>
          <w:tab w:val="clear" w:pos="418"/>
          <w:tab w:val="right" w:pos="1195"/>
          <w:tab w:val="left" w:pos="1267"/>
          <w:tab w:val="left" w:pos="1742"/>
          <w:tab w:val="left" w:pos="2218"/>
          <w:tab w:val="left" w:pos="2693"/>
        </w:tabs>
        <w:ind w:left="805" w:right="1259" w:hanging="578"/>
        <w:rPr>
          <w:rFonts w:asciiTheme="majorBidi" w:hAnsiTheme="majorBidi" w:cstheme="majorBidi"/>
          <w:szCs w:val="17"/>
        </w:rPr>
      </w:pPr>
      <w:r w:rsidRPr="00125363">
        <w:rPr>
          <w:rFonts w:asciiTheme="majorBidi" w:hAnsiTheme="majorBidi" w:cstheme="majorBidi"/>
          <w:szCs w:val="17"/>
        </w:rPr>
        <w:tab/>
      </w:r>
      <w:r w:rsidRPr="00125363">
        <w:rPr>
          <w:rStyle w:val="FootnoteReference"/>
          <w:rFonts w:asciiTheme="majorBidi" w:hAnsiTheme="majorBidi" w:cstheme="majorBidi"/>
          <w:szCs w:val="17"/>
        </w:rPr>
        <w:footnoteRef/>
      </w:r>
      <w:r w:rsidRPr="00125363">
        <w:rPr>
          <w:rFonts w:asciiTheme="majorBidi" w:hAnsiTheme="majorBidi" w:cstheme="majorBidi"/>
          <w:szCs w:val="17"/>
        </w:rPr>
        <w:tab/>
        <w:t xml:space="preserve">For deliberations and decisions at the thirty-eighth session, see </w:t>
      </w:r>
      <w:hyperlink r:id="rId1" w:history="1">
        <w:r w:rsidRPr="00F133CE">
          <w:rPr>
            <w:rStyle w:val="Hyperlink"/>
            <w:rFonts w:asciiTheme="majorBidi" w:hAnsiTheme="majorBidi" w:cstheme="majorBidi"/>
            <w:szCs w:val="17"/>
          </w:rPr>
          <w:t>A/CN.9/1004</w:t>
        </w:r>
      </w:hyperlink>
      <w:r w:rsidRPr="00F133CE">
        <w:rPr>
          <w:rFonts w:asciiTheme="majorBidi" w:hAnsiTheme="majorBidi" w:cstheme="majorBidi"/>
          <w:szCs w:val="17"/>
        </w:rPr>
        <w:t>;</w:t>
      </w:r>
      <w:r>
        <w:rPr>
          <w:rFonts w:asciiTheme="majorBidi" w:hAnsiTheme="majorBidi" w:cstheme="majorBidi"/>
          <w:szCs w:val="17"/>
        </w:rPr>
        <w:t xml:space="preserve"> by way of background, a</w:t>
      </w:r>
      <w:r w:rsidRPr="00A00E9D">
        <w:t>t its thirty-fourth to thirty-seventh sessions, the Working Group undertook work on the possible reform of ISDS, based on the mandate given to it by the Commission at its fiftieth session, in 2017</w:t>
      </w:r>
      <w:r>
        <w:t xml:space="preserve"> (see </w:t>
      </w:r>
      <w:r w:rsidRPr="00125363">
        <w:rPr>
          <w:rFonts w:asciiTheme="majorBidi" w:hAnsiTheme="majorBidi" w:cstheme="majorBidi"/>
          <w:i/>
          <w:iCs/>
          <w:szCs w:val="17"/>
        </w:rPr>
        <w:t>Official Records of the General Assembly, Seventy-second Session, Supplement No. 17</w:t>
      </w:r>
      <w:r w:rsidRPr="00125363">
        <w:rPr>
          <w:rFonts w:asciiTheme="majorBidi" w:hAnsiTheme="majorBidi" w:cstheme="majorBidi"/>
          <w:szCs w:val="17"/>
        </w:rPr>
        <w:t xml:space="preserve"> (</w:t>
      </w:r>
      <w:hyperlink r:id="rId2" w:history="1">
        <w:r w:rsidRPr="00125363">
          <w:rPr>
            <w:rStyle w:val="Hyperlink"/>
            <w:rFonts w:asciiTheme="majorBidi" w:hAnsiTheme="majorBidi" w:cstheme="majorBidi"/>
            <w:color w:val="auto"/>
            <w:szCs w:val="17"/>
          </w:rPr>
          <w:t>A/72/17</w:t>
        </w:r>
      </w:hyperlink>
      <w:r w:rsidRPr="00125363">
        <w:rPr>
          <w:rFonts w:asciiTheme="majorBidi" w:hAnsiTheme="majorBidi" w:cstheme="majorBidi"/>
          <w:szCs w:val="17"/>
        </w:rPr>
        <w:t>), paras. 263 and 264</w:t>
      </w:r>
      <w:r>
        <w:rPr>
          <w:rFonts w:asciiTheme="majorBidi" w:hAnsiTheme="majorBidi" w:cstheme="majorBidi"/>
          <w:szCs w:val="17"/>
        </w:rPr>
        <w:t>; f</w:t>
      </w:r>
      <w:r w:rsidRPr="00125363">
        <w:rPr>
          <w:rFonts w:asciiTheme="majorBidi" w:hAnsiTheme="majorBidi" w:cstheme="majorBidi"/>
          <w:szCs w:val="17"/>
        </w:rPr>
        <w:t xml:space="preserve">or deliberations and decisions at the thirty-fourth to thirty-seventh sessions, </w:t>
      </w:r>
      <w:r w:rsidRPr="00ED7ECC">
        <w:rPr>
          <w:rFonts w:asciiTheme="majorBidi" w:hAnsiTheme="majorBidi" w:cstheme="majorBidi"/>
          <w:spacing w:val="2"/>
          <w:szCs w:val="17"/>
        </w:rPr>
        <w:t xml:space="preserve">see </w:t>
      </w:r>
      <w:hyperlink r:id="rId3" w:history="1">
        <w:r w:rsidRPr="00ED7ECC">
          <w:rPr>
            <w:rStyle w:val="Hyperlink"/>
            <w:rFonts w:asciiTheme="majorBidi" w:hAnsiTheme="majorBidi" w:cstheme="majorBidi"/>
            <w:spacing w:val="2"/>
            <w:szCs w:val="17"/>
          </w:rPr>
          <w:t>A/CN.9/930/Rev.1</w:t>
        </w:r>
      </w:hyperlink>
      <w:r w:rsidRPr="00ED7ECC">
        <w:rPr>
          <w:rFonts w:asciiTheme="majorBidi" w:hAnsiTheme="majorBidi" w:cstheme="majorBidi"/>
          <w:spacing w:val="2"/>
          <w:szCs w:val="17"/>
        </w:rPr>
        <w:t xml:space="preserve"> and its Addendum, </w:t>
      </w:r>
      <w:hyperlink r:id="rId4" w:history="1">
        <w:r w:rsidRPr="00ED7ECC">
          <w:rPr>
            <w:rStyle w:val="Hyperlink"/>
            <w:rFonts w:asciiTheme="majorBidi" w:hAnsiTheme="majorBidi" w:cstheme="majorBidi"/>
            <w:spacing w:val="2"/>
            <w:szCs w:val="17"/>
          </w:rPr>
          <w:t>A/CN.9/935</w:t>
        </w:r>
      </w:hyperlink>
      <w:r w:rsidRPr="00ED7ECC">
        <w:rPr>
          <w:rFonts w:asciiTheme="majorBidi" w:hAnsiTheme="majorBidi" w:cstheme="majorBidi"/>
          <w:spacing w:val="2"/>
          <w:szCs w:val="17"/>
        </w:rPr>
        <w:t xml:space="preserve">, </w:t>
      </w:r>
      <w:hyperlink r:id="rId5" w:history="1">
        <w:r w:rsidRPr="00ED7ECC">
          <w:rPr>
            <w:rStyle w:val="Hyperlink"/>
            <w:rFonts w:asciiTheme="majorBidi" w:hAnsiTheme="majorBidi" w:cstheme="majorBidi"/>
            <w:spacing w:val="2"/>
            <w:szCs w:val="17"/>
          </w:rPr>
          <w:t>A/CN.9/964</w:t>
        </w:r>
      </w:hyperlink>
      <w:r w:rsidRPr="00ED7ECC">
        <w:rPr>
          <w:rFonts w:asciiTheme="majorBidi" w:hAnsiTheme="majorBidi" w:cstheme="majorBidi"/>
          <w:spacing w:val="2"/>
          <w:szCs w:val="17"/>
        </w:rPr>
        <w:t xml:space="preserve">, and </w:t>
      </w:r>
      <w:hyperlink r:id="rId6" w:history="1">
        <w:r w:rsidRPr="00ED7ECC">
          <w:rPr>
            <w:rStyle w:val="Hyperlink"/>
            <w:rFonts w:asciiTheme="majorBidi" w:hAnsiTheme="majorBidi" w:cstheme="majorBidi"/>
            <w:spacing w:val="2"/>
            <w:szCs w:val="17"/>
          </w:rPr>
          <w:t>A/CN.9/970</w:t>
        </w:r>
      </w:hyperlink>
      <w:r w:rsidRPr="00ED7ECC">
        <w:rPr>
          <w:rFonts w:asciiTheme="majorBidi" w:hAnsiTheme="majorBidi" w:cstheme="majorBidi"/>
          <w:spacing w:val="2"/>
          <w:szCs w:val="17"/>
        </w:rPr>
        <w:t>, respectively</w:t>
      </w:r>
      <w:r>
        <w:rPr>
          <w:rFonts w:asciiTheme="majorBidi" w:hAnsiTheme="majorBidi" w:cstheme="majorBidi"/>
          <w:spacing w:val="2"/>
          <w:szCs w:val="17"/>
        </w:rPr>
        <w:t>); a</w:t>
      </w:r>
      <w:r w:rsidRPr="00A00E9D">
        <w:t>t those sessions, the Working Group identified and discussed concerns regarding ISDS and considered that reform was desirable in light of the identified concerns</w:t>
      </w:r>
      <w:r>
        <w:t xml:space="preserve">; the third phase of the mandate consists in the development of ISDS reform solutions to be recommended to the Commission; </w:t>
      </w:r>
      <w:r w:rsidRPr="00125363">
        <w:rPr>
          <w:rFonts w:asciiTheme="majorBidi" w:hAnsiTheme="majorBidi" w:cstheme="majorBidi"/>
          <w:szCs w:val="17"/>
        </w:rPr>
        <w:t xml:space="preserve">document </w:t>
      </w:r>
      <w:hyperlink r:id="rId7" w:history="1">
        <w:r w:rsidRPr="002E0CC3">
          <w:rPr>
            <w:rStyle w:val="Hyperlink"/>
            <w:rFonts w:asciiTheme="majorBidi" w:hAnsiTheme="majorBidi" w:cstheme="majorBidi"/>
            <w:szCs w:val="17"/>
          </w:rPr>
          <w:t>A/CN.9/WG.III/WP.166</w:t>
        </w:r>
      </w:hyperlink>
      <w:r w:rsidRPr="00125363">
        <w:rPr>
          <w:rFonts w:asciiTheme="majorBidi" w:hAnsiTheme="majorBidi" w:cstheme="majorBidi"/>
          <w:szCs w:val="17"/>
        </w:rPr>
        <w:t xml:space="preserve"> provides an overview of reform options</w:t>
      </w:r>
      <w:r w:rsidRPr="00A00E9D">
        <w:t>.</w:t>
      </w:r>
    </w:p>
  </w:footnote>
  <w:footnote w:id="2">
    <w:p w14:paraId="1F58294C" w14:textId="019DED1A" w:rsidR="003B0F72" w:rsidRPr="00160FD8" w:rsidRDefault="003B0F72" w:rsidP="00C95788">
      <w:pPr>
        <w:pStyle w:val="FootnoteText"/>
        <w:tabs>
          <w:tab w:val="clear" w:pos="418"/>
          <w:tab w:val="right" w:pos="1195"/>
          <w:tab w:val="left" w:pos="1267"/>
          <w:tab w:val="left" w:pos="1742"/>
          <w:tab w:val="left" w:pos="2218"/>
          <w:tab w:val="left" w:pos="2693"/>
        </w:tabs>
        <w:ind w:left="805" w:right="1259" w:hanging="578"/>
        <w:rPr>
          <w:rFonts w:asciiTheme="majorBidi" w:hAnsiTheme="majorBidi" w:cstheme="majorBidi"/>
          <w:iCs/>
          <w:szCs w:val="17"/>
        </w:rPr>
      </w:pPr>
      <w:r w:rsidRPr="00125363">
        <w:rPr>
          <w:rFonts w:asciiTheme="majorBidi" w:hAnsiTheme="majorBidi" w:cstheme="majorBidi"/>
          <w:szCs w:val="17"/>
        </w:rPr>
        <w:tab/>
      </w:r>
      <w:r w:rsidRPr="00125363">
        <w:rPr>
          <w:rStyle w:val="FootnoteReference"/>
          <w:rFonts w:asciiTheme="majorBidi" w:hAnsiTheme="majorBidi" w:cstheme="majorBidi"/>
          <w:szCs w:val="17"/>
        </w:rPr>
        <w:footnoteRef/>
      </w:r>
      <w:r w:rsidRPr="00125363">
        <w:rPr>
          <w:rFonts w:asciiTheme="majorBidi" w:hAnsiTheme="majorBidi" w:cstheme="majorBidi"/>
          <w:szCs w:val="17"/>
        </w:rPr>
        <w:tab/>
        <w:t xml:space="preserve">This includes: </w:t>
      </w:r>
      <w:r>
        <w:t xml:space="preserve">the CIDS Supplemental Report on “The composition of a multilateral investment court and of an appeal mechanism for investment awards”, 15 November 2017, Gabrielle Kaufmann-Kohler and Michele Potestà (“CIDS Supplemental Report”) available at </w:t>
      </w:r>
      <w:hyperlink r:id="rId8" w:history="1">
        <w:r w:rsidR="008B4DAB" w:rsidRPr="00BA4EAE">
          <w:rPr>
            <w:rStyle w:val="Hyperlink"/>
          </w:rPr>
          <w:t>https://uncitral.un.org/sites/uncitral.un.org/files/media-documents/uncitral/en/cids_ supplemental_report.pdf</w:t>
        </w:r>
      </w:hyperlink>
      <w:r w:rsidR="008B4DAB">
        <w:t xml:space="preserve">, </w:t>
      </w:r>
      <w:r>
        <w:t xml:space="preserve">as well as the publications from members of the Academic Forum, available at </w:t>
      </w:r>
      <w:hyperlink r:id="rId9" w:history="1">
        <w:r w:rsidR="008B4DAB" w:rsidRPr="00BA4EAE">
          <w:rPr>
            <w:rStyle w:val="Hyperlink"/>
          </w:rPr>
          <w:t>https://www.cids.ch/academic-forum-concept-papers</w:t>
        </w:r>
      </w:hyperlink>
      <w:r w:rsidR="008B4DAB">
        <w:t xml:space="preserve">. </w:t>
      </w:r>
      <w:r>
        <w:t xml:space="preserve">Publications from members of the Academic Forum include Selection and Appointment in International Adjudication: Insights from Political Science, Olof Larsson, Theresa Squatrito, Øyvind Stiansen, and Taylor St John; The Quadrilemma: Appointing Adjudicators in Future Investor-State Dispute Settlement, Malcolm Langford, Daniel Behn and Mariachiara Malaguti; and Selection and Appointment of International Adjudicators: Structural Options for ISDS Reform Andrea K. Bjorklund, Marc Bungenberg, Manjiao Chi, and Catharine Titi - </w:t>
      </w:r>
      <w:r w:rsidRPr="00125363">
        <w:rPr>
          <w:rFonts w:asciiTheme="majorBidi" w:hAnsiTheme="majorBidi" w:cstheme="majorBidi"/>
          <w:szCs w:val="17"/>
        </w:rPr>
        <w:t xml:space="preserve">bibliographic references published by the Academic Forum, available under “Additional resources” at </w:t>
      </w:r>
      <w:hyperlink r:id="rId10" w:history="1">
        <w:r w:rsidRPr="00502417">
          <w:rPr>
            <w:rStyle w:val="Hyperlink"/>
            <w:rFonts w:asciiTheme="majorBidi" w:hAnsiTheme="majorBidi" w:cstheme="majorBidi"/>
            <w:szCs w:val="17"/>
          </w:rPr>
          <w:t>https://uncitral.un.org/en/library/online_resources/investor-state_dispute</w:t>
        </w:r>
      </w:hyperlink>
      <w:r>
        <w:rPr>
          <w:rFonts w:asciiTheme="majorBidi" w:hAnsiTheme="majorBidi" w:cstheme="majorBidi"/>
          <w:szCs w:val="17"/>
        </w:rPr>
        <w:t xml:space="preserve"> </w:t>
      </w:r>
      <w:r w:rsidRPr="00125363">
        <w:rPr>
          <w:rStyle w:val="Hyperlink"/>
          <w:rFonts w:asciiTheme="majorBidi" w:hAnsiTheme="majorBidi" w:cstheme="majorBidi"/>
          <w:color w:val="auto"/>
          <w:szCs w:val="17"/>
        </w:rPr>
        <w:t xml:space="preserve">and </w:t>
      </w:r>
      <w:hyperlink r:id="rId11" w:history="1">
        <w:r>
          <w:rPr>
            <w:rStyle w:val="Hyperlink"/>
            <w:rFonts w:asciiTheme="majorBidi" w:hAnsiTheme="majorBidi" w:cstheme="majorBidi"/>
            <w:szCs w:val="17"/>
          </w:rPr>
          <w:t>www.jus.uio.no/pluricourts/english/projects/leginvest/academic-forum/</w:t>
        </w:r>
      </w:hyperlink>
      <w:r w:rsidRPr="00125363">
        <w:rPr>
          <w:rFonts w:asciiTheme="majorBidi" w:hAnsiTheme="majorBidi" w:cstheme="majorBidi"/>
          <w:szCs w:val="17"/>
        </w:rPr>
        <w:t xml:space="preserve">; </w:t>
      </w:r>
      <w:r w:rsidRPr="00160FD8">
        <w:rPr>
          <w:rFonts w:asciiTheme="majorBidi" w:hAnsiTheme="majorBidi" w:cstheme="majorBidi"/>
          <w:iCs/>
          <w:szCs w:val="17"/>
        </w:rPr>
        <w:t xml:space="preserve">Reshaping the Investor-State Dispute Settlement System, Journeys for the 21st Century, edited by Jean E. Kalicki and Anna Joubin-Bret, Nijhoff International Investment Law Series, Volume: 4; From Bilateral Arbitral Tribunals and Investment Courts to a Multilateral Investment Court, Options regarding the Institutionalization of Investor-State Dispute Settlement, and Standalone Appeal Mechanism: Multilateral Investment Appeals Mechanisms, by Marc Bungenberg and August Reinisch, European Yearbook of International Economic Law. </w:t>
      </w:r>
    </w:p>
  </w:footnote>
  <w:footnote w:id="3">
    <w:p w14:paraId="6B39B4E2" w14:textId="5A8F20F4" w:rsidR="003B0F72" w:rsidRDefault="003B0F72" w:rsidP="00C95788">
      <w:pPr>
        <w:pStyle w:val="FootnoteText"/>
        <w:ind w:left="532"/>
      </w:pPr>
      <w:r>
        <w:tab/>
      </w:r>
      <w:r>
        <w:tab/>
      </w:r>
      <w:r>
        <w:rPr>
          <w:rStyle w:val="FootnoteReference"/>
        </w:rPr>
        <w:footnoteRef/>
      </w:r>
      <w:r>
        <w:t xml:space="preserve"> A/CN.9/WG.III/WP.159/Add.1, Submission from the European Union and its Member States; A/CN.9/WG.III/WP.162, Submission from the Government of Thailand; A/CN.9/WG.III/WP.163, Submission from the Governments of Chile, Israel and Japan; A/CN.9/WG.III/WP.164 and A/CN.9/WG.III/WP.178, Submissions from the Government of Costa Rica; A/CN.9/WG.III/WP.174, Submission from the Government of Turkey; A/CN.9/WG.III/WP.175, Submission from the Government of Ecuador; A/CN.9/WG.III/WP.177, Submission from the Government of China</w:t>
      </w:r>
      <w:r w:rsidR="00113F0E">
        <w:t xml:space="preserve">; </w:t>
      </w:r>
      <w:r w:rsidR="00113F0E">
        <w:rPr>
          <w:rFonts w:asciiTheme="majorBidi" w:hAnsiTheme="majorBidi" w:cstheme="majorBidi"/>
          <w:szCs w:val="17"/>
        </w:rPr>
        <w:t>A/CN.9/WG.III/WP.1</w:t>
      </w:r>
      <w:r w:rsidR="00113F0E">
        <w:rPr>
          <w:rFonts w:asciiTheme="majorBidi" w:hAnsiTheme="majorBidi" w:cstheme="majorBidi"/>
          <w:szCs w:val="17"/>
        </w:rPr>
        <w:t>95</w:t>
      </w:r>
      <w:r w:rsidR="00113F0E">
        <w:rPr>
          <w:rFonts w:asciiTheme="majorBidi" w:hAnsiTheme="majorBidi" w:cstheme="majorBidi"/>
          <w:szCs w:val="17"/>
        </w:rPr>
        <w:t xml:space="preserve">, Submission from the Government of </w:t>
      </w:r>
      <w:r w:rsidR="00113F0E">
        <w:rPr>
          <w:rFonts w:asciiTheme="majorBidi" w:hAnsiTheme="majorBidi" w:cstheme="majorBidi"/>
          <w:szCs w:val="17"/>
        </w:rPr>
        <w:t>Morocco</w:t>
      </w:r>
      <w:r>
        <w:t>.</w:t>
      </w:r>
    </w:p>
  </w:footnote>
  <w:footnote w:id="4">
    <w:p w14:paraId="080CEFD5" w14:textId="61D19D49" w:rsidR="003B0F72" w:rsidRDefault="003B0F72">
      <w:pPr>
        <w:pStyle w:val="FootnoteText"/>
      </w:pPr>
      <w:r>
        <w:tab/>
      </w:r>
      <w:r>
        <w:tab/>
      </w:r>
      <w:r>
        <w:rPr>
          <w:rStyle w:val="FootnoteReference"/>
        </w:rPr>
        <w:footnoteRef/>
      </w:r>
      <w:r>
        <w:t xml:space="preserve"> See the draft code of conduct available at </w:t>
      </w:r>
      <w:hyperlink r:id="rId12" w:history="1">
        <w:r>
          <w:rPr>
            <w:rStyle w:val="Hyperlink"/>
          </w:rPr>
          <w:t>https://uncit</w:t>
        </w:r>
        <w:bookmarkStart w:id="0" w:name="_GoBack"/>
        <w:bookmarkEnd w:id="0"/>
        <w:r>
          <w:rPr>
            <w:rStyle w:val="Hyperlink"/>
          </w:rPr>
          <w:t>ral.un.org/en/codeofconduct</w:t>
        </w:r>
      </w:hyperlink>
      <w:r>
        <w:t>.</w:t>
      </w:r>
    </w:p>
  </w:footnote>
  <w:footnote w:id="5">
    <w:p w14:paraId="05F7F7E3" w14:textId="727981A0" w:rsidR="003B0F72" w:rsidRDefault="003B0F72">
      <w:pPr>
        <w:pStyle w:val="FootnoteText"/>
      </w:pPr>
      <w:r>
        <w:tab/>
      </w:r>
      <w:r>
        <w:tab/>
      </w:r>
      <w:r>
        <w:rPr>
          <w:rStyle w:val="FootnoteReference"/>
        </w:rPr>
        <w:footnoteRef/>
      </w:r>
      <w:r>
        <w:t xml:space="preserve"> These requirements are commonly found in international adjudication, including arbitration</w:t>
      </w:r>
      <w:r w:rsidR="00944421">
        <w:t xml:space="preserve"> (f</w:t>
      </w:r>
      <w:r>
        <w:t>or instance, see article 11 of the UNCITRAL Arbitration rules</w:t>
      </w:r>
      <w:r w:rsidR="00944421">
        <w:t xml:space="preserve">). Regarding independence, impartiality and neutrality, </w:t>
      </w:r>
      <w:r>
        <w:t>see Article 2 of the International Court of Justice (ICJ) Statute, which provides that: “The Court shall be composed of a body of independent judges, elected regardless of their nationality from among persons of high moral character, who possess the qualifications required in their respective countries for appointment to the highest judicial offices, or are jurisconsults of recognized competence in international law.” Regarding linguistic competence, see</w:t>
      </w:r>
      <w:r w:rsidR="00944421">
        <w:t>,</w:t>
      </w:r>
      <w:r>
        <w:t xml:space="preserve"> for instance, Rome Statute of the International Criminal Court (ICC), 1 July 2002, Article 36 (3)(c). Regarding accountability, high moral character and personal integrity/reputation,</w:t>
      </w:r>
      <w:r>
        <w:rPr>
          <w:rStyle w:val="FootnoteReference"/>
        </w:rPr>
        <w:t xml:space="preserve"> </w:t>
      </w:r>
      <w:r>
        <w:t>see</w:t>
      </w:r>
      <w:r w:rsidRPr="00EC2AAC">
        <w:t xml:space="preserve"> </w:t>
      </w:r>
      <w:r>
        <w:t>ICSID Convention, Article 14(1) (“persons of high moral character”); see Article 2 of the</w:t>
      </w:r>
      <w:r w:rsidR="00F65F53">
        <w:t xml:space="preserve"> International Court of Justice</w:t>
      </w:r>
      <w:r>
        <w:t xml:space="preserve"> </w:t>
      </w:r>
      <w:r w:rsidR="00F65F53">
        <w:t>(</w:t>
      </w:r>
      <w:r>
        <w:t>ICJ</w:t>
      </w:r>
      <w:r w:rsidR="00F65F53">
        <w:t>)</w:t>
      </w:r>
      <w:r>
        <w:t xml:space="preserve"> Statute, (“persons of high moral character”); ECHR, Article 21(1) (“judges shall be of high moral character”);</w:t>
      </w:r>
      <w:r w:rsidR="00F65F53">
        <w:t xml:space="preserve"> International Tribunal for the Law of the Sea (</w:t>
      </w:r>
      <w:r>
        <w:t>ITLOS</w:t>
      </w:r>
      <w:r w:rsidR="00F65F53">
        <w:t>)</w:t>
      </w:r>
      <w:r>
        <w:t xml:space="preserve"> Statute, Article 2(1) (“persons enjoying the highest reputation for fairness and integrity”); African Charter on Human and Peoples’ Rights, Article 31(1) (“personalities of the highest reputation, known for their high morality, integrity, impartiality”); Rome Statute, Article 36(3)(a) (“persons of high moral character, impartiality and integrity”). Requirements may also include nationality of a contracting State, see the Court of Justice of the Cartagena Agreement, established under the Treaty Creating the Court of Justice of the Cartagena Agreement, which “shall be composed of five justices who shall be nationals of the member countries […]” (Treaty Creating the Court of Justice of the Cartagena Agreement, 28 May 1979, Article 7); See also American Convention on Human Rights, 21 November 1969 (ACHR), Article 52(1) (“The Court shall consist of seven judges, nationals of the member states of the Organization […]”); Comprehensive Economic and Trade Agreement between the EU and Canada (CETA), Article 8.27.2 (“Five of the Members of the Tribunal shall be nationals of a Member State of the European Union, five shall be nationals of Canada […]”).</w:t>
      </w:r>
    </w:p>
  </w:footnote>
  <w:footnote w:id="6">
    <w:p w14:paraId="1DADB5D4" w14:textId="77777777" w:rsidR="003B0F72" w:rsidRDefault="003B0F72" w:rsidP="00DF6114">
      <w:pPr>
        <w:pStyle w:val="FootnoteText"/>
      </w:pPr>
      <w:r>
        <w:tab/>
      </w:r>
      <w:r>
        <w:tab/>
      </w:r>
      <w:r>
        <w:rPr>
          <w:rStyle w:val="FootnoteReference"/>
        </w:rPr>
        <w:footnoteRef/>
      </w:r>
      <w:r>
        <w:t xml:space="preserve"> See the draft code of conduct available at </w:t>
      </w:r>
      <w:hyperlink r:id="rId13" w:history="1">
        <w:r>
          <w:rPr>
            <w:rStyle w:val="Hyperlink"/>
          </w:rPr>
          <w:t>https://uncitral.un.org/en/codeofconduct</w:t>
        </w:r>
      </w:hyperlink>
      <w:r>
        <w:t>.</w:t>
      </w:r>
    </w:p>
  </w:footnote>
  <w:footnote w:id="7">
    <w:p w14:paraId="2DB4831F" w14:textId="0BD617DA" w:rsidR="003B0F72" w:rsidRDefault="003B0F72">
      <w:pPr>
        <w:pStyle w:val="FootnoteText"/>
      </w:pPr>
      <w:r>
        <w:tab/>
      </w:r>
      <w:r>
        <w:tab/>
      </w:r>
      <w:r>
        <w:rPr>
          <w:rStyle w:val="FootnoteReference"/>
        </w:rPr>
        <w:footnoteRef/>
      </w:r>
      <w:r>
        <w:t xml:space="preserve"> See concept papers published by the Academic Forum, including The Quadrilemma: Appointing Adjudicators in Future Investor-State Dispute Settlement, Malcolm Langford, Daniel Behn and Mariachiara Malaguti.</w:t>
      </w:r>
    </w:p>
  </w:footnote>
  <w:footnote w:id="8">
    <w:p w14:paraId="5B22E9A4" w14:textId="77777777" w:rsidR="003B0F72" w:rsidRDefault="003B0F72" w:rsidP="00C95788">
      <w:pPr>
        <w:pStyle w:val="FootnoteText"/>
      </w:pPr>
      <w:r>
        <w:tab/>
      </w:r>
      <w:r>
        <w:tab/>
      </w:r>
      <w:r>
        <w:rPr>
          <w:rStyle w:val="FootnoteReference"/>
        </w:rPr>
        <w:footnoteRef/>
      </w:r>
      <w:r>
        <w:t xml:space="preserve"> See Selection and Appointment in International Adjudication: Insights from Political Science, Olof Larsson, Theresa Squatrito, Øyvind Stiansen, and Taylor St John.</w:t>
      </w:r>
    </w:p>
  </w:footnote>
  <w:footnote w:id="9">
    <w:p w14:paraId="3A394295" w14:textId="6C4DD092" w:rsidR="003B0F72" w:rsidRDefault="003B0F72" w:rsidP="00135AD2">
      <w:pPr>
        <w:pStyle w:val="FootnoteText"/>
      </w:pPr>
      <w:r>
        <w:tab/>
      </w:r>
      <w:r>
        <w:tab/>
      </w:r>
      <w:r>
        <w:rPr>
          <w:rStyle w:val="FootnoteReference"/>
        </w:rPr>
        <w:footnoteRef/>
      </w:r>
      <w:r>
        <w:t xml:space="preserve"> See, for example, Rome Statute of the International Criminal Court</w:t>
      </w:r>
      <w:r w:rsidR="00F65F53">
        <w:t xml:space="preserve"> (ICC)</w:t>
      </w:r>
      <w:r>
        <w:t xml:space="preserve">, 1 July 2002, Article 36(8)(a) (“The States Parties shall, in the selection of judges, take into account the need, within the membership of the Court, for: […] (ii) Equitable geographical representation […]”); See also Dispute Settlement Rules: Understanding on Rules and Procedures Governing the Settlement of Disputes, Marrakesh Agreement Establishing the World Trade Organization, Article 17(3), third sentence (“The Appellate Body membership shall be broadly representative of membership in the WTO”). See also ITLOS Statute, Arts. 2(2) and 3(2), which requires that “[i]n the Tribunal as a whole […] equitable geographical distribution shall be assured” and that “[t]here shall be no fewer than three members from each geographical group as established by the General Assembly of the United Nations”. </w:t>
      </w:r>
    </w:p>
  </w:footnote>
  <w:footnote w:id="10">
    <w:p w14:paraId="41BC1709" w14:textId="77777777" w:rsidR="003B0F72" w:rsidRDefault="003B0F72" w:rsidP="00135AD2">
      <w:pPr>
        <w:pStyle w:val="FootnoteText"/>
      </w:pPr>
      <w:r>
        <w:tab/>
      </w:r>
      <w:r>
        <w:tab/>
      </w:r>
      <w:r>
        <w:rPr>
          <w:rStyle w:val="FootnoteReference"/>
        </w:rPr>
        <w:footnoteRef/>
      </w:r>
      <w:r>
        <w:t xml:space="preserve"> At the WTO, developing countries may request that panels deciding disputes between developed and developing countries include panellists from developing countries (see Dispute Settlement Rules: Understanding on Rules and Procedures Governing the Settlement of Disputes, Marrakesh Agreement Establishing the World Trade Organization, Art. 8(10), providing that: “When a dispute is between a developing country Member and a developed country Member the panel shall, if the developing country Member so requests, include at least one panellist from a developing country Member”).</w:t>
      </w:r>
    </w:p>
  </w:footnote>
  <w:footnote w:id="11">
    <w:p w14:paraId="67CC83FE" w14:textId="77777777" w:rsidR="003B0F72" w:rsidRDefault="003B0F72" w:rsidP="00135AD2">
      <w:pPr>
        <w:pStyle w:val="FootnoteText"/>
      </w:pPr>
      <w:r>
        <w:tab/>
      </w:r>
      <w:r>
        <w:tab/>
      </w:r>
      <w:r>
        <w:rPr>
          <w:rStyle w:val="FootnoteReference"/>
        </w:rPr>
        <w:footnoteRef/>
      </w:r>
      <w:r>
        <w:t xml:space="preserve"> Although there is no reference in the ICSID Convention to such criterion among those that are to be taken into account by the Chairman in his or her selection of the members of the Panels of Conciliation and Arbitration, during the preparatory works of the Convention the Charmain’s power to designate Panel members was generally seen as desirable to ensure “fair representation on the Panels of qualified persons from both investing and receiving countries ”. See the comment of the delegate from the Netherlands at the Geneva Consultative Meetings of Legal Experts held between 17–22 February 1964 in ICSID (1968), History of the ICSID Convention: Documents concerning the Origin and Formulation of the Convention, Vol. II-1 (“History of the ICSID Convention, Vol. II-1”), p. 382.</w:t>
      </w:r>
    </w:p>
  </w:footnote>
  <w:footnote w:id="12">
    <w:p w14:paraId="2BF08B4E" w14:textId="1CC8ADBB" w:rsidR="003B0F72" w:rsidRDefault="003B0F72" w:rsidP="00135AD2">
      <w:pPr>
        <w:pStyle w:val="FootnoteText"/>
      </w:pPr>
      <w:r>
        <w:tab/>
      </w:r>
      <w:r>
        <w:tab/>
      </w:r>
      <w:r>
        <w:rPr>
          <w:rStyle w:val="FootnoteReference"/>
        </w:rPr>
        <w:footnoteRef/>
      </w:r>
      <w:r>
        <w:t xml:space="preserve"> See, for example, the </w:t>
      </w:r>
      <w:r w:rsidR="003040D7">
        <w:t>International Court of Justice (</w:t>
      </w:r>
      <w:r>
        <w:t>ICJ</w:t>
      </w:r>
      <w:r w:rsidR="003040D7">
        <w:t>)</w:t>
      </w:r>
      <w:r>
        <w:t xml:space="preserve"> Statute, Article 9 (“At every election, the electors shall bear in mind […] that in the body as a whole the representation of the main forms of civilization and of the principal legal systems of the world should be assured”); ITLOS, Article 2(2) (“In the Tribunal as a whole the representation of the principal legal systems of the world and equitable geographical distribution shall be assured”); Rome Statute of the International Criminal Court, 1 July 2002, Article 36(8)(a) (“The States Parties shall, in the selection of judges, take into account the need, within the membership of the Court, for: (i) The representation of the principal legal systems of the world […]”); Protocol on the African Court, Article 14(2) (“representation of the main regions of Africa and of their principal legal traditions”); the Treaty on the Harmonization of Business Law in Africa, 17 October 2008, Common Court of Justice and Arbitration of the OHADA, Article 31; and ICSID Convention, Article 14(2) (“The Chairman, in designating persons to serve on the Panels, shall in addition pay due regard to the importance of assuring representation on the Panels of the principal legal systems of the world and of the main forms of economic activity”).</w:t>
      </w:r>
    </w:p>
  </w:footnote>
  <w:footnote w:id="13">
    <w:p w14:paraId="461CF59E" w14:textId="77777777" w:rsidR="003B0F72" w:rsidRDefault="003B0F72" w:rsidP="00135AD2">
      <w:pPr>
        <w:pStyle w:val="FootnoteText"/>
      </w:pPr>
      <w:r>
        <w:tab/>
      </w:r>
      <w:r>
        <w:tab/>
      </w:r>
      <w:r>
        <w:rPr>
          <w:rStyle w:val="FootnoteReference"/>
        </w:rPr>
        <w:footnoteRef/>
      </w:r>
      <w:r>
        <w:t xml:space="preserve"> Protocol on the African Court, Art. 12(2).</w:t>
      </w:r>
    </w:p>
  </w:footnote>
  <w:footnote w:id="14">
    <w:p w14:paraId="19D8E098" w14:textId="0AE87F77" w:rsidR="003B0F72" w:rsidRDefault="003B0F72">
      <w:pPr>
        <w:pStyle w:val="FootnoteText"/>
      </w:pPr>
      <w:r>
        <w:tab/>
      </w:r>
      <w:r>
        <w:tab/>
      </w:r>
      <w:r>
        <w:rPr>
          <w:rStyle w:val="FootnoteReference"/>
        </w:rPr>
        <w:footnoteRef/>
      </w:r>
      <w:r>
        <w:t xml:space="preserve"> See the Arbitration Pledge, available at </w:t>
      </w:r>
      <w:hyperlink r:id="rId14" w:history="1">
        <w:r>
          <w:rPr>
            <w:rStyle w:val="Hyperlink"/>
          </w:rPr>
          <w:t>http://www.arbitrationpledge.com/</w:t>
        </w:r>
      </w:hyperlink>
      <w:r>
        <w:t>. See also a reference to the Pledge in A/CN.9/WG.III/WP.164 and A/CN.9/WG.III/WP.178, Submissions from the Government of Costa Rica.</w:t>
      </w:r>
    </w:p>
  </w:footnote>
  <w:footnote w:id="15">
    <w:p w14:paraId="33C3648B" w14:textId="77777777" w:rsidR="003B0F72" w:rsidRDefault="003B0F72" w:rsidP="00116A26">
      <w:pPr>
        <w:pStyle w:val="FootnoteText"/>
      </w:pPr>
      <w:r>
        <w:tab/>
      </w:r>
      <w:r>
        <w:tab/>
      </w:r>
      <w:r>
        <w:rPr>
          <w:rStyle w:val="FootnoteReference"/>
        </w:rPr>
        <w:footnoteRef/>
      </w:r>
      <w:r>
        <w:t xml:space="preserve"> See Supplemental CIDS Report, at paras. 68–104. </w:t>
      </w:r>
    </w:p>
  </w:footnote>
  <w:footnote w:id="16">
    <w:p w14:paraId="5AAA4AF1" w14:textId="7B82F950" w:rsidR="003B0F72" w:rsidRDefault="003B0F72" w:rsidP="001D1693">
      <w:pPr>
        <w:pStyle w:val="FootnoteText"/>
      </w:pPr>
      <w:r>
        <w:tab/>
      </w:r>
      <w:r>
        <w:tab/>
      </w:r>
      <w:r>
        <w:rPr>
          <w:rStyle w:val="FootnoteReference"/>
        </w:rPr>
        <w:footnoteRef/>
      </w:r>
      <w:r>
        <w:t xml:space="preserve"> A/CN.9/WG.III/WP.177, Submission from the Government of China.</w:t>
      </w:r>
    </w:p>
  </w:footnote>
  <w:footnote w:id="17">
    <w:p w14:paraId="2BB5B04C" w14:textId="77777777" w:rsidR="003B0F72" w:rsidRDefault="003B0F72" w:rsidP="001818A1">
      <w:pPr>
        <w:pStyle w:val="FootnoteText"/>
      </w:pPr>
      <w:r>
        <w:tab/>
      </w:r>
      <w:r>
        <w:tab/>
      </w:r>
      <w:r>
        <w:rPr>
          <w:rStyle w:val="FootnoteReference"/>
        </w:rPr>
        <w:footnoteRef/>
      </w:r>
      <w:r>
        <w:t xml:space="preserve"> See also proposals contained in submissions from governments: A/CN.9/WG.III/WP.162, Submission from the Government of Thailand; A/CN.9/WG.III/WP.163, Submission from the Governments of Chile, Israel and Japan; A/CN.9/WG.III/WP.164 and A/CN.9/WG.III/WP.178, Submissions from the Government of Costa Rica; A/CN.9/WG.III/WP.174, Submission from the Government of Turkey</w:t>
      </w:r>
    </w:p>
  </w:footnote>
  <w:footnote w:id="18">
    <w:p w14:paraId="16686B90" w14:textId="1C1CB6FE" w:rsidR="003B0F72" w:rsidRDefault="003B0F72">
      <w:pPr>
        <w:pStyle w:val="FootnoteText"/>
      </w:pPr>
      <w:r>
        <w:tab/>
      </w:r>
      <w:r>
        <w:tab/>
      </w:r>
      <w:r>
        <w:rPr>
          <w:rStyle w:val="FootnoteReference"/>
        </w:rPr>
        <w:footnoteRef/>
      </w:r>
      <w:r>
        <w:t xml:space="preserve"> </w:t>
      </w:r>
      <w:r w:rsidR="00B76528">
        <w:t xml:space="preserve">See, for instance, the </w:t>
      </w:r>
      <w:r>
        <w:t>Dutch model BIT, which require</w:t>
      </w:r>
      <w:r w:rsidR="00B76528">
        <w:t>s</w:t>
      </w:r>
      <w:r>
        <w:t xml:space="preserve"> appointments</w:t>
      </w:r>
      <w:r w:rsidR="00B76528">
        <w:t xml:space="preserve"> to</w:t>
      </w:r>
      <w:r>
        <w:t xml:space="preserve"> be made by institutions, rather than by the parties.</w:t>
      </w:r>
    </w:p>
  </w:footnote>
  <w:footnote w:id="19">
    <w:p w14:paraId="61701533" w14:textId="2675B872" w:rsidR="003B0F72" w:rsidRDefault="003B0F72" w:rsidP="00F70F67">
      <w:pPr>
        <w:pStyle w:val="FootnoteText"/>
      </w:pPr>
      <w:r>
        <w:tab/>
      </w:r>
      <w:r>
        <w:tab/>
      </w:r>
      <w:r>
        <w:rPr>
          <w:rStyle w:val="FootnoteReference"/>
        </w:rPr>
        <w:footnoteRef/>
      </w:r>
      <w:r>
        <w:t xml:space="preserve"> See also the OECD Consultation Paper on Appointing Authorities and the Selection of Arbitrators in ISDS, available at </w:t>
      </w:r>
      <w:hyperlink r:id="rId15" w:history="1">
        <w:r w:rsidRPr="001C2330">
          <w:rPr>
            <w:rStyle w:val="Hyperlink"/>
          </w:rPr>
          <w:t>http://www.oecd.org/investment/Consultation-ISDS-appointingauthorities-arbitration.htm</w:t>
        </w:r>
      </w:hyperlink>
      <w:r>
        <w:t xml:space="preserve">. </w:t>
      </w:r>
    </w:p>
  </w:footnote>
  <w:footnote w:id="20">
    <w:p w14:paraId="2E0CE1CE" w14:textId="77777777" w:rsidR="003B0F72" w:rsidRPr="00AD1E73" w:rsidRDefault="003B0F72" w:rsidP="00AD1E73">
      <w:pPr>
        <w:pStyle w:val="FootnoteText"/>
        <w:ind w:left="929"/>
        <w:rPr>
          <w:lang w:val="en-US"/>
        </w:rPr>
      </w:pPr>
      <w:r>
        <w:rPr>
          <w:rStyle w:val="FootnoteReference"/>
        </w:rPr>
        <w:footnoteRef/>
      </w:r>
      <w:r w:rsidRPr="00AD1E73">
        <w:rPr>
          <w:lang w:val="en-US"/>
        </w:rPr>
        <w:t xml:space="preserve"> On this question, see </w:t>
      </w:r>
      <w:r>
        <w:rPr>
          <w:lang w:val="en-US"/>
        </w:rPr>
        <w:t xml:space="preserve">Jan Paulsson, Moral Hazard in International Dispute Resolution, </w:t>
      </w:r>
      <w:r w:rsidRPr="00AD1E73">
        <w:rPr>
          <w:lang w:val="en-US"/>
        </w:rPr>
        <w:t>Inaugural Lecture as Holder of the</w:t>
      </w:r>
    </w:p>
    <w:p w14:paraId="2F883E10" w14:textId="098FA436" w:rsidR="003B0F72" w:rsidRPr="00AD1E73" w:rsidRDefault="003B0F72" w:rsidP="00AD1E73">
      <w:pPr>
        <w:pStyle w:val="FootnoteText"/>
        <w:ind w:left="929"/>
        <w:rPr>
          <w:lang w:val="en-US"/>
        </w:rPr>
      </w:pPr>
      <w:r w:rsidRPr="00AD1E73">
        <w:rPr>
          <w:lang w:val="en-US"/>
        </w:rPr>
        <w:t>Michael R. Klein Distinguished Scholar Chair</w:t>
      </w:r>
      <w:r>
        <w:rPr>
          <w:lang w:val="en-US"/>
        </w:rPr>
        <w:t xml:space="preserve"> </w:t>
      </w:r>
      <w:r w:rsidRPr="00AD1E73">
        <w:rPr>
          <w:lang w:val="en-US"/>
        </w:rPr>
        <w:t>University of Miami School of Law</w:t>
      </w:r>
      <w:r>
        <w:rPr>
          <w:lang w:val="en-US"/>
        </w:rPr>
        <w:t xml:space="preserve">, </w:t>
      </w:r>
      <w:r w:rsidRPr="00AD1E73">
        <w:rPr>
          <w:lang w:val="en-US"/>
        </w:rPr>
        <w:t>29 April 2010</w:t>
      </w:r>
      <w:r>
        <w:rPr>
          <w:lang w:val="en-US"/>
        </w:rPr>
        <w:t xml:space="preserve">, available at </w:t>
      </w:r>
      <w:r w:rsidRPr="00AD1E73">
        <w:rPr>
          <w:lang w:val="en-US"/>
        </w:rPr>
        <w:t xml:space="preserve">  </w:t>
      </w:r>
      <w:hyperlink r:id="rId16" w:history="1">
        <w:r w:rsidRPr="00AD1E73">
          <w:rPr>
            <w:rStyle w:val="Hyperlink"/>
            <w:lang w:val="en-US"/>
          </w:rPr>
          <w:t>https://www.arbitration-icca.org/media/0/12773749999020/paulsson_moral_hazard.pdf</w:t>
        </w:r>
      </w:hyperlink>
    </w:p>
  </w:footnote>
  <w:footnote w:id="21">
    <w:p w14:paraId="28D853BA" w14:textId="2E5D293A" w:rsidR="003B0F72" w:rsidRDefault="003B0F72">
      <w:pPr>
        <w:pStyle w:val="FootnoteText"/>
      </w:pPr>
      <w:r w:rsidRPr="00AD1E73">
        <w:rPr>
          <w:lang w:val="en-US"/>
        </w:rPr>
        <w:tab/>
      </w:r>
      <w:r w:rsidRPr="00AD1E73">
        <w:rPr>
          <w:lang w:val="en-US"/>
        </w:rPr>
        <w:tab/>
      </w:r>
      <w:r>
        <w:rPr>
          <w:rStyle w:val="FootnoteReference"/>
        </w:rPr>
        <w:footnoteRef/>
      </w:r>
      <w:r>
        <w:t xml:space="preserve"> In its submission (available at </w:t>
      </w:r>
      <w:hyperlink r:id="rId17" w:history="1">
        <w:r>
          <w:rPr>
            <w:rStyle w:val="Hyperlink"/>
          </w:rPr>
          <w:t>https://uncitral.un.org/sites/uncitral.un.org/files/media-documents/uncitral/en/pca_mechanisms_for_selection_and_appointment.pdf</w:t>
        </w:r>
      </w:hyperlink>
      <w:r>
        <w:t xml:space="preserve">), the PCA indicated </w:t>
      </w:r>
      <w:r w:rsidR="00B76528">
        <w:t xml:space="preserve">that </w:t>
      </w:r>
      <w:r>
        <w:t>the list procedure</w:t>
      </w:r>
      <w:r w:rsidR="00B76528">
        <w:t xml:space="preserve"> is</w:t>
      </w:r>
      <w:r>
        <w:t xml:space="preserve"> usually followed by the Secretary-General of the PCA as per the UNCITRAL Arbitration </w:t>
      </w:r>
      <w:r w:rsidR="00F149C4">
        <w:t>R</w:t>
      </w:r>
      <w:r>
        <w:t>ules (Article 8(2)) and the PCA Rules (Article 8(2)). It also presented alternative mechanisms</w:t>
      </w:r>
      <w:r w:rsidR="00B76528">
        <w:t>, including</w:t>
      </w:r>
      <w:r>
        <w:t xml:space="preserve">: </w:t>
      </w:r>
      <w:r w:rsidRPr="000E6BB0">
        <w:t>List-procedure excluding “strikes”</w:t>
      </w:r>
      <w:r>
        <w:t xml:space="preserve"> (the disputing parties are limited to ranking candidates on the list and/or commenting on the relative qualifications and suitability of candidates</w:t>
      </w:r>
      <w:r w:rsidRPr="000E6BB0">
        <w:t>); List-procedure involving nomination by the disputing parties</w:t>
      </w:r>
      <w:r>
        <w:t xml:space="preserve"> (the list-procedure is conducted on the basis of names supplied separately by each disputing party as well as names identified by the Secretary-General); </w:t>
      </w:r>
      <w:r w:rsidRPr="000E6BB0">
        <w:t>List-procedure on the basis of a list composed by the co-arbitrators; Appointment in consultation with the party-appointed arbitrators</w:t>
      </w:r>
      <w:r>
        <w:t xml:space="preserve">; List-procedure on the basis of an open (recommendatory) list; Appointment on the basis of matching proposals by the disputing parties (the disputing parties separately submit lists of candidates ranked in order of preference; in the event of matches of names on the disputing parties’ lists, the disputing parties are deemed to have agreed on the candidate with the best joint ranking); Appointment based on proposals from the disputing parties (each disputing party nominates an agreed number of candidates, accompanied by written observations; the Secretary-General then selects one candidate for appointment, taking the disputing parties’ views into account); Appointment based on names jointly submitted by the disputing parties; Appointment on the basis of a closed (mandatory) roster constituted by the treaty </w:t>
      </w:r>
      <w:r w:rsidR="00F149C4">
        <w:t>P</w:t>
      </w:r>
      <w:r>
        <w:t xml:space="preserve">arties; Appointment at the discretion of the Secretary-General; Appointment by agreement of the disputing parties, based on suggestions from the Secretary-General.  </w:t>
      </w:r>
    </w:p>
  </w:footnote>
  <w:footnote w:id="22">
    <w:p w14:paraId="7201E37D" w14:textId="06701271" w:rsidR="003B0F72" w:rsidRDefault="003B0F72">
      <w:pPr>
        <w:pStyle w:val="FootnoteText"/>
      </w:pPr>
      <w:r>
        <w:tab/>
      </w:r>
      <w:r>
        <w:tab/>
      </w:r>
      <w:r>
        <w:rPr>
          <w:rStyle w:val="FootnoteReference"/>
        </w:rPr>
        <w:footnoteRef/>
      </w:r>
      <w:r>
        <w:t xml:space="preserve"> See, for instance the project </w:t>
      </w:r>
      <w:r w:rsidRPr="00BD4795">
        <w:t>Arbitrator Intelligence</w:t>
      </w:r>
      <w:r>
        <w:t>, which r</w:t>
      </w:r>
      <w:r w:rsidRPr="00BD4795">
        <w:t>eports contain data and feedback about international arbitrators and arbitrations. This information and related analytics</w:t>
      </w:r>
      <w:r w:rsidR="00756018">
        <w:t xml:space="preserve"> are</w:t>
      </w:r>
      <w:r>
        <w:t xml:space="preserve"> meant to </w:t>
      </w:r>
      <w:r w:rsidRPr="00BD4795">
        <w:t>enable users to make better-informed decisions about arbitrator selection and case strategy</w:t>
      </w:r>
      <w:r>
        <w:t xml:space="preserve">, available at </w:t>
      </w:r>
      <w:hyperlink r:id="rId18" w:history="1">
        <w:r>
          <w:rPr>
            <w:rStyle w:val="Hyperlink"/>
          </w:rPr>
          <w:t>https://arbitratorintelligence.com/</w:t>
        </w:r>
      </w:hyperlink>
      <w:r>
        <w:t>.</w:t>
      </w:r>
    </w:p>
  </w:footnote>
  <w:footnote w:id="23">
    <w:p w14:paraId="3C56690C" w14:textId="77777777" w:rsidR="003B0F72" w:rsidRDefault="003B0F72" w:rsidP="00815C4A">
      <w:pPr>
        <w:pStyle w:val="FootnoteText"/>
      </w:pPr>
      <w:r>
        <w:tab/>
      </w:r>
      <w:r>
        <w:tab/>
      </w:r>
      <w:r>
        <w:rPr>
          <w:rStyle w:val="FootnoteReference"/>
        </w:rPr>
        <w:footnoteRef/>
      </w:r>
      <w:r>
        <w:t xml:space="preserve"> For instance, ICSID has both a roster of 10 Members of the Panel of Arbitrators and a List of Designations by its Member States, designated for a term of 5 years, renewable. A Member State may nominate up to 8 individuals who do not need to have the same citizenship as the State appointing them; The PCA maintains a roster called the Members of the Permanent Court of Arbitration, composed of designations by Member States of the PCA of up to 4 individuals, who do not need to have the same citizenship as the State appointing them. </w:t>
      </w:r>
    </w:p>
  </w:footnote>
  <w:footnote w:id="24">
    <w:p w14:paraId="5A08D503" w14:textId="61F5CA7D" w:rsidR="003B0F72" w:rsidRDefault="003B0F72" w:rsidP="00815C4A">
      <w:pPr>
        <w:pStyle w:val="FootnoteText"/>
      </w:pPr>
      <w:r>
        <w:tab/>
      </w:r>
      <w:r>
        <w:tab/>
      </w:r>
      <w:r>
        <w:rPr>
          <w:rStyle w:val="FootnoteReference"/>
        </w:rPr>
        <w:footnoteRef/>
      </w:r>
      <w:r>
        <w:t xml:space="preserve"> See, for instance, US Mexico Canada Agreement (USMCA) in the State-to-State context (calling for the establishment of a roster of up to 30 individuals by the date of the entry into force of the agreement, to be selected by consensus and to serve for a minimum of three years or until the Parties constitute a new roster);  the Comprehensive and Progressive Agreement for Trans-Pacific Partnership (CPTPP) (establishment by Parties of a roster of at least 15 individuals, in effect for a minimum of three years or until the parties constitute a new roster, to be used for the selection of panel chairs; each party can nominate up to two individuals for the roster, and may include up to one national of any party among its nominations; appointment on the roster is made by consensus</w:t>
      </w:r>
      <w:r w:rsidR="00F149C4">
        <w:t>)</w:t>
      </w:r>
      <w:r>
        <w:t>; see also NAFTA, on the establishment “by consensus” of a roster of arbitrators from whom the appointing authority (the Secretary-General of ICSID) would appoint presiding arbitrators in the absence of party agreement</w:t>
      </w:r>
      <w:r w:rsidR="00756018">
        <w:t>; t</w:t>
      </w:r>
      <w:r>
        <w:t xml:space="preserve">he roster envisaged by NAFTA Chapter 11 has never been constituted; </w:t>
      </w:r>
      <w:r w:rsidR="00756018">
        <w:t>i</w:t>
      </w:r>
      <w:r>
        <w:t>n the WTO system, first-instance panels are formed on an ad hoc basis</w:t>
      </w:r>
      <w:r w:rsidR="00756018">
        <w:t>, t</w:t>
      </w:r>
      <w:r>
        <w:t xml:space="preserve">here is an indicative roster of panellists composed of persons nominated by WTO </w:t>
      </w:r>
      <w:r w:rsidR="00756018">
        <w:t>M</w:t>
      </w:r>
      <w:r>
        <w:t xml:space="preserve">ember </w:t>
      </w:r>
      <w:r w:rsidR="00756018">
        <w:t>S</w:t>
      </w:r>
      <w:r>
        <w:t xml:space="preserve">tates, but persons do not need to be selected from that list.  </w:t>
      </w:r>
    </w:p>
  </w:footnote>
  <w:footnote w:id="25">
    <w:p w14:paraId="70C4F26A" w14:textId="61F52642" w:rsidR="00756018" w:rsidRDefault="00756018">
      <w:pPr>
        <w:pStyle w:val="FootnoteText"/>
      </w:pPr>
      <w:r>
        <w:tab/>
      </w:r>
      <w:r>
        <w:tab/>
      </w:r>
      <w:r>
        <w:rPr>
          <w:rStyle w:val="FootnoteReference"/>
        </w:rPr>
        <w:footnoteRef/>
      </w:r>
      <w:r>
        <w:t xml:space="preserve"> Selection and Appointment of International Adjudicators: Structural Options for ISDS Reform Andrea K. Bjorklund, Marc Bungenberg, Manjiao Chi, and Catharine Titi. </w:t>
      </w:r>
    </w:p>
  </w:footnote>
  <w:footnote w:id="26">
    <w:p w14:paraId="56B135F9" w14:textId="68CF885E" w:rsidR="003B0F72" w:rsidRDefault="003B0F72">
      <w:pPr>
        <w:pStyle w:val="FootnoteText"/>
      </w:pPr>
      <w:r>
        <w:tab/>
      </w:r>
      <w:r>
        <w:tab/>
      </w:r>
      <w:r>
        <w:rPr>
          <w:rStyle w:val="FootnoteReference"/>
        </w:rPr>
        <w:footnoteRef/>
      </w:r>
      <w:r>
        <w:t xml:space="preserve"> A number of institutions in addition to ICSID and the PCA main rosters or list of arbitrators, such as the International Court of Arbitration at the International Chamber of Commerce (ICC), the Arbitration Institute of the Stockholm Chamber of Commerce (SCC), the London Court of International Arbitration (LCIA), the Singapore International Arbitration Centre (SIAC) and the Beijing International Arbitration Centre (BIAC).</w:t>
      </w:r>
    </w:p>
  </w:footnote>
  <w:footnote w:id="27">
    <w:p w14:paraId="4CDB41A2" w14:textId="608BE2B4" w:rsidR="003B0F72" w:rsidRDefault="003B0F72" w:rsidP="003A21D8">
      <w:pPr>
        <w:pStyle w:val="FootnoteText"/>
      </w:pPr>
      <w:r>
        <w:tab/>
      </w:r>
      <w:r>
        <w:tab/>
      </w:r>
      <w:r>
        <w:rPr>
          <w:rStyle w:val="FootnoteReference"/>
        </w:rPr>
        <w:footnoteRef/>
      </w:r>
      <w:r>
        <w:t xml:space="preserve"> Ad hoc and permanent mechanisms can also co-exist within the same dispute settlement framework (see CIDS Supplemental Report, para. 12). For example, in the World Trade Organization (WTO), disputes are decided first by ad hoc panels and then, if there is an appeal, by the standing Appellate Body of the WTO (WTO AB). At Mercosur, a complaining State must first bring its grievances before an “ad hoc arbitral tribunal”, to be composed by the disputing parties from closed lists (Treaty Establishing a Common Market between the Argentine Republic, the Federal Republic of Brazil, the Republic of Paraguay and the Eastern Republic of Uruguay (“MERCOSUR”), 26 March 1991</w:t>
      </w:r>
      <w:r w:rsidR="00F149C4">
        <w:t>)</w:t>
      </w:r>
      <w:r>
        <w:t>.</w:t>
      </w:r>
    </w:p>
  </w:footnote>
  <w:footnote w:id="28">
    <w:p w14:paraId="6BD6EE07" w14:textId="20E1A1B6" w:rsidR="003B0F72" w:rsidRDefault="003B0F72">
      <w:pPr>
        <w:pStyle w:val="FootnoteText"/>
      </w:pPr>
      <w:r>
        <w:tab/>
      </w:r>
      <w:r>
        <w:tab/>
      </w:r>
      <w:r>
        <w:rPr>
          <w:rStyle w:val="FootnoteReference"/>
        </w:rPr>
        <w:footnoteRef/>
      </w:r>
      <w:r>
        <w:t xml:space="preserve"> The Quadrilemma: Appointing Adjudicators in Future Investor-State Dispute Settlement, Malcolm Langford, Daniel Behn and Mariachiara Malaguti</w:t>
      </w:r>
    </w:p>
  </w:footnote>
  <w:footnote w:id="29">
    <w:p w14:paraId="1742512F" w14:textId="77777777" w:rsidR="003B0F72" w:rsidRDefault="003B0F72" w:rsidP="00F80944">
      <w:pPr>
        <w:pStyle w:val="FootnoteText"/>
      </w:pPr>
      <w:r>
        <w:tab/>
      </w:r>
      <w:r>
        <w:tab/>
      </w:r>
      <w:r>
        <w:rPr>
          <w:rStyle w:val="FootnoteReference"/>
        </w:rPr>
        <w:footnoteRef/>
      </w:r>
      <w:r>
        <w:t xml:space="preserve"> As an illustration, at ICSID, the ICSID Secretary-General nominates and selects 10 individuals to be on its Panel of Arbitrators (this list contains 5 women and 5 men, who have sat as an arbitrator in an ISDS case); and the Contracting States to ICSID nominate up to 8 individuals to be on a list or roster (not all Contracting States have made nominations and not all Contracting States have nominated the maximum number of individuals).</w:t>
      </w:r>
    </w:p>
  </w:footnote>
  <w:footnote w:id="30">
    <w:p w14:paraId="294B6270" w14:textId="4B0A9641" w:rsidR="00D20961" w:rsidRDefault="00D20961">
      <w:pPr>
        <w:pStyle w:val="FootnoteText"/>
      </w:pPr>
      <w:r>
        <w:tab/>
      </w:r>
      <w:r>
        <w:tab/>
      </w:r>
      <w:r>
        <w:rPr>
          <w:rStyle w:val="FootnoteReference"/>
        </w:rPr>
        <w:footnoteRef/>
      </w:r>
      <w:r>
        <w:t xml:space="preserve"> See the NAFTA Chapter 11 experiences.</w:t>
      </w:r>
    </w:p>
  </w:footnote>
  <w:footnote w:id="31">
    <w:p w14:paraId="6C6579B0" w14:textId="77777777" w:rsidR="00D20961" w:rsidRDefault="00D20961" w:rsidP="00D20961">
      <w:pPr>
        <w:pStyle w:val="FootnoteText"/>
      </w:pPr>
      <w:r>
        <w:tab/>
      </w:r>
      <w:r>
        <w:tab/>
      </w:r>
      <w:r>
        <w:rPr>
          <w:rStyle w:val="FootnoteReference"/>
        </w:rPr>
        <w:footnoteRef/>
      </w:r>
      <w:r>
        <w:t xml:space="preserve"> See Selection and Appointment in International Adjudication: Insights from Political Science, Olof Larsson, Theresa Squatrito, Øyvind Stiansen, and Taylor St John.</w:t>
      </w:r>
    </w:p>
  </w:footnote>
  <w:footnote w:id="32">
    <w:p w14:paraId="5875A4CE" w14:textId="1D83FC6E" w:rsidR="003B0F72" w:rsidRDefault="003B0F72">
      <w:pPr>
        <w:pStyle w:val="FootnoteText"/>
      </w:pPr>
      <w:r>
        <w:tab/>
      </w:r>
      <w:r>
        <w:tab/>
      </w:r>
      <w:r>
        <w:rPr>
          <w:rStyle w:val="FootnoteReference"/>
        </w:rPr>
        <w:footnoteRef/>
      </w:r>
      <w:r>
        <w:t xml:space="preserve"> See also proposal contained in a submission: A/CN.9/WG.III/WP.159/Add.1, Submission from the European Union and its Member States</w:t>
      </w:r>
    </w:p>
  </w:footnote>
  <w:footnote w:id="33">
    <w:p w14:paraId="1567D317" w14:textId="173C9D92" w:rsidR="003B0F72" w:rsidRDefault="003B0F72" w:rsidP="00925736">
      <w:pPr>
        <w:pStyle w:val="FootnoteText"/>
      </w:pPr>
      <w:r>
        <w:tab/>
      </w:r>
      <w:r>
        <w:tab/>
      </w:r>
      <w:r>
        <w:rPr>
          <w:rStyle w:val="FootnoteReference"/>
        </w:rPr>
        <w:footnoteRef/>
      </w:r>
      <w:r>
        <w:t xml:space="preserve"> See, for instance, Dispute Settlement Rules: Understanding on Rules and Procedures Governing the Settlement of Disputes, Marrakesh Agreement Establishing the World Trade Organization, Annex 2, 15 April 1994, Articles 17(1) and 17(2); European Convention for the Protection of Human Rights and Fundamental Freedoms (ECHR), 4 November 1950, as amended by Protocol Nos. 11 and 14, as from its entry into force on 1 June 2010, Articles 20–23; it may be noted that at the International Court of Justice (ICJ), the composition of the Court may be influenced by disputing parties only in limited circumstances, namely through the appointment of a judge ad hoc and by the constitution of a chamber to decide particular cases:</w:t>
      </w:r>
      <w:r w:rsidRPr="00925736">
        <w:t xml:space="preserve"> </w:t>
      </w:r>
      <w:r>
        <w:t>Statute of the International Court of Justice (“ICJ Statute”), Article</w:t>
      </w:r>
      <w:r w:rsidR="00F149C4">
        <w:t>s</w:t>
      </w:r>
      <w:r>
        <w:t xml:space="preserve"> </w:t>
      </w:r>
      <w:r w:rsidR="00F149C4">
        <w:t xml:space="preserve">26(2) and </w:t>
      </w:r>
      <w:r>
        <w:t>31(2).</w:t>
      </w:r>
    </w:p>
  </w:footnote>
  <w:footnote w:id="34">
    <w:p w14:paraId="0A67D1A1" w14:textId="1553B89F" w:rsidR="003B0F72" w:rsidRDefault="003B0F72" w:rsidP="00D60EFC">
      <w:pPr>
        <w:pStyle w:val="FootnoteText"/>
      </w:pPr>
      <w:r>
        <w:tab/>
      </w:r>
      <w:r>
        <w:tab/>
      </w:r>
      <w:r>
        <w:rPr>
          <w:rStyle w:val="FootnoteReference"/>
        </w:rPr>
        <w:footnoteRef/>
      </w:r>
      <w:r>
        <w:t xml:space="preserve"> See CIDS Supplemental Report, paras. 21–27; see also Selection and Appointment in International Adjudication: Insights from Political Science, Olof Larsson, Theresa Squatrito, Øyvind Stiansen, and Taylor St John. </w:t>
      </w:r>
    </w:p>
  </w:footnote>
  <w:footnote w:id="35">
    <w:p w14:paraId="3C835C53" w14:textId="31D3CA9C" w:rsidR="003B0F72" w:rsidRDefault="003B0F72" w:rsidP="00CB1666">
      <w:pPr>
        <w:pStyle w:val="FootnoteText"/>
      </w:pPr>
      <w:r>
        <w:tab/>
      </w:r>
      <w:r>
        <w:tab/>
      </w:r>
      <w:r>
        <w:rPr>
          <w:rStyle w:val="FootnoteReference"/>
        </w:rPr>
        <w:footnoteRef/>
      </w:r>
      <w:r>
        <w:t xml:space="preserve"> Examples of full representation include regional courts such as the Court of Justice of the European Union (CJEU) and the ECHR (Art. 20); examples of selective representation courts include the Protocol to the African Charter on Human and Peoples’ Rights on the Establishment of an African Court of Human and Peoples’ Rights (“Protocol on the African Court”), Article 11; Agreement Establishing the Caribbean Court of Justice, 14 February 2001, Art. IV; American Convention on Human Rights (ACHR), 21 November 1969, Article 52; Statute of the Inter-American Court of Human Rights (“IACHR Statute”), October 1979, OAS Res No. 448, Article 4.  </w:t>
      </w:r>
    </w:p>
  </w:footnote>
  <w:footnote w:id="36">
    <w:p w14:paraId="2F402441" w14:textId="1BF9BDCA" w:rsidR="003B0F72" w:rsidRDefault="003B0F72">
      <w:pPr>
        <w:pStyle w:val="FootnoteText"/>
      </w:pPr>
      <w:r>
        <w:tab/>
      </w:r>
      <w:r>
        <w:tab/>
      </w:r>
      <w:r>
        <w:rPr>
          <w:rStyle w:val="FootnoteReference"/>
        </w:rPr>
        <w:footnoteRef/>
      </w:r>
      <w:r>
        <w:t xml:space="preserve"> See information on the activity of the court</w:t>
      </w:r>
      <w:r w:rsidR="00FA7559">
        <w:t xml:space="preserve"> and caseload</w:t>
      </w:r>
      <w:r>
        <w:t xml:space="preserve"> at </w:t>
      </w:r>
      <w:hyperlink r:id="rId19" w:history="1">
        <w:r>
          <w:rPr>
            <w:rStyle w:val="Hyperlink"/>
          </w:rPr>
          <w:t>https://www.icj-cij.org/files/annual-reports/2017-2018-en.pdf</w:t>
        </w:r>
      </w:hyperlink>
      <w:r>
        <w:t>.</w:t>
      </w:r>
    </w:p>
  </w:footnote>
  <w:footnote w:id="37">
    <w:p w14:paraId="125E8B27" w14:textId="3E2ABB23" w:rsidR="003B0F72" w:rsidRDefault="003B0F72">
      <w:pPr>
        <w:pStyle w:val="FootnoteText"/>
      </w:pPr>
      <w:r>
        <w:tab/>
      </w:r>
      <w:r>
        <w:tab/>
      </w:r>
      <w:r>
        <w:rPr>
          <w:rStyle w:val="FootnoteReference"/>
        </w:rPr>
        <w:footnoteRef/>
      </w:r>
      <w:r>
        <w:t xml:space="preserve"> For an average of 1,2 cases per year. </w:t>
      </w:r>
    </w:p>
  </w:footnote>
  <w:footnote w:id="38">
    <w:p w14:paraId="5BB88958" w14:textId="6D465A0B" w:rsidR="003B0F72" w:rsidRDefault="003B0F72">
      <w:pPr>
        <w:pStyle w:val="FootnoteText"/>
      </w:pPr>
      <w:r>
        <w:tab/>
      </w:r>
      <w:r>
        <w:tab/>
      </w:r>
      <w:r>
        <w:rPr>
          <w:rStyle w:val="FootnoteReference"/>
        </w:rPr>
        <w:footnoteRef/>
      </w:r>
      <w:r>
        <w:t xml:space="preserve"> Four full representation courts have ad hoc systems to ensure a national can preside over disputes for each respondent </w:t>
      </w:r>
      <w:r w:rsidR="001B4C02">
        <w:t>S</w:t>
      </w:r>
      <w:r>
        <w:t xml:space="preserve">tate: </w:t>
      </w:r>
      <w:r w:rsidR="00FA7559" w:rsidRPr="00FA7559">
        <w:t xml:space="preserve">Andean Tribunal of Justice </w:t>
      </w:r>
      <w:r w:rsidR="00FA7559">
        <w:t>(</w:t>
      </w:r>
      <w:r>
        <w:t>ATJ</w:t>
      </w:r>
      <w:r w:rsidR="00FA7559">
        <w:t>)</w:t>
      </w:r>
      <w:r>
        <w:t xml:space="preserve">, Central American Court of Justice (CACJ), Economic Court of the Commonwealth of Independent States (ECCIS), and </w:t>
      </w:r>
      <w:r w:rsidR="00FA7559">
        <w:t>European court of Human Rights (</w:t>
      </w:r>
      <w:r>
        <w:t>ECtHR</w:t>
      </w:r>
      <w:r w:rsidR="00FA7559">
        <w:t>)</w:t>
      </w:r>
      <w:r w:rsidR="002E289A">
        <w:t>; f</w:t>
      </w:r>
      <w:r>
        <w:t xml:space="preserve">or a different approach, see the International Tribunal for the Law of the Sea (ITLOS) Statute </w:t>
      </w:r>
      <w:r w:rsidR="002E289A">
        <w:t>providing</w:t>
      </w:r>
      <w:r>
        <w:t xml:space="preserve"> that each party is able to appoint one member to the ad hoc chamber of the Seabed Dispute Chambers, while the third arbitrator is agreed upon by both parties; “Members of the ad hoc chamber must not be in the service of, or nationals of, any of the parties to the dispute” (Article 36(3) of the ITLOS Statute).</w:t>
      </w:r>
    </w:p>
  </w:footnote>
  <w:footnote w:id="39">
    <w:p w14:paraId="25623BB7" w14:textId="40B2F0C8" w:rsidR="003B0F72" w:rsidRDefault="003B0F72">
      <w:pPr>
        <w:pStyle w:val="FootnoteText"/>
      </w:pPr>
      <w:r>
        <w:tab/>
      </w:r>
      <w:r>
        <w:tab/>
      </w:r>
      <w:r>
        <w:rPr>
          <w:rStyle w:val="FootnoteReference"/>
        </w:rPr>
        <w:footnoteRef/>
      </w:r>
      <w:r>
        <w:t xml:space="preserve"> </w:t>
      </w:r>
      <w:r w:rsidR="002E289A">
        <w:t>See the Court of the</w:t>
      </w:r>
      <w:r>
        <w:t xml:space="preserve"> Economic Community of West African States (ECOWAS), where the positions</w:t>
      </w:r>
      <w:r w:rsidR="002E289A">
        <w:t xml:space="preserve"> of the seven judges</w:t>
      </w:r>
      <w:r>
        <w:t xml:space="preserve"> rotate among the 15 ECOWAS </w:t>
      </w:r>
      <w:r w:rsidR="002E289A">
        <w:t>S</w:t>
      </w:r>
      <w:r>
        <w:t>tates.</w:t>
      </w:r>
    </w:p>
  </w:footnote>
  <w:footnote w:id="40">
    <w:p w14:paraId="5A8AF5F8" w14:textId="4D7A08F2" w:rsidR="003B0F72" w:rsidRDefault="003B0F72">
      <w:pPr>
        <w:pStyle w:val="FootnoteText"/>
      </w:pPr>
      <w:r>
        <w:tab/>
      </w:r>
      <w:r>
        <w:tab/>
      </w:r>
      <w:r>
        <w:rPr>
          <w:rStyle w:val="FootnoteReference"/>
        </w:rPr>
        <w:footnoteRef/>
      </w:r>
      <w:r>
        <w:t xml:space="preserve"> See</w:t>
      </w:r>
      <w:r w:rsidR="002E289A">
        <w:t>,</w:t>
      </w:r>
      <w:r>
        <w:t xml:space="preserve"> for example</w:t>
      </w:r>
      <w:r w:rsidR="002E289A">
        <w:t>,</w:t>
      </w:r>
      <w:r>
        <w:t xml:space="preserve"> the Declaration of the Government of the Democratic and Popular Republic of Algeria Concerning the Settlement of Claims by the Government of the United States of America and the Government of the Islamic Republic of Iran, 19 January 1981, Article III(1), first sentence (“The Tribunal shall consist of nine members or such larger multiple of three as Iran and the United States may agree are necessary to conduct its business expeditiously”); Rome Statute of the International Criminal Court, 1 July 2002, Article 36(2) (“The Presidency, acting on behalf of the Court, may propose an increase in the number of judges specified in paragraph 1 [i.e., 18 judges], indicating the reasons why this is considered necessary and appropriate ”).</w:t>
      </w:r>
    </w:p>
  </w:footnote>
  <w:footnote w:id="41">
    <w:p w14:paraId="5055BCB9" w14:textId="3D0BA5BD" w:rsidR="003B0F72" w:rsidRDefault="003B0F72">
      <w:pPr>
        <w:pStyle w:val="FootnoteText"/>
      </w:pPr>
      <w:r>
        <w:tab/>
      </w:r>
      <w:r>
        <w:tab/>
      </w:r>
      <w:r>
        <w:rPr>
          <w:rStyle w:val="FootnoteReference"/>
        </w:rPr>
        <w:footnoteRef/>
      </w:r>
      <w:r>
        <w:t xml:space="preserve"> </w:t>
      </w:r>
      <w:r w:rsidR="00BD59F2">
        <w:t>For revision clauses found in international courts, se</w:t>
      </w:r>
      <w:r>
        <w:t>e for instance, Iran – United States Claims Tribunal, Claims Settlement Declaration, Art. III(1), first sentence (“The Tribunal shall consist of nine members or such larger multiple of three as Iran and the United States may agree are necessary to conduct its business expeditiously”, emphasis added); Rome Statute, Art. 36(2) (“The Presidency, acting on behalf of the Court, may propose an increase in the number of judges specified in paragraph 1 [i.e., 18 judges], indicating the reasons why this is considered necessary and appropriate”); CETA, Art. 8.27.3 (“The CETA Joint Committee may decide to increase or to decrease the number of the Members of the Tribunal by multiples of three. […]”); EU-Vietnam FTA, Art. 12(3) (“The Trade Committee may decide to increase or decrease the number of the Members of the Tribunal by multiples of three. […]”).</w:t>
      </w:r>
    </w:p>
  </w:footnote>
  <w:footnote w:id="42">
    <w:p w14:paraId="7197973D" w14:textId="04C94961" w:rsidR="003B0F72" w:rsidRDefault="003B0F72">
      <w:pPr>
        <w:pStyle w:val="FootnoteText"/>
      </w:pPr>
      <w:r>
        <w:tab/>
      </w:r>
      <w:r>
        <w:tab/>
      </w:r>
      <w:r>
        <w:rPr>
          <w:rStyle w:val="FootnoteReference"/>
        </w:rPr>
        <w:footnoteRef/>
      </w:r>
      <w:r>
        <w:t xml:space="preserve"> The most relevant types of international bodies are intergovernmental organs (such as the Assembly of State Parties for the ICC) or an international parliamentary assembly (such as the Council of Europe’s Parliamentary Assembly for the ECtHR). ICJ judges require a majority in both the UN General Assembly and in the UN Security Council.</w:t>
      </w:r>
    </w:p>
  </w:footnote>
  <w:footnote w:id="43">
    <w:p w14:paraId="7376969F" w14:textId="6588CA33" w:rsidR="003B0F72" w:rsidRDefault="003B0F72">
      <w:pPr>
        <w:pStyle w:val="FootnoteText"/>
      </w:pPr>
      <w:r>
        <w:tab/>
      </w:r>
      <w:r>
        <w:tab/>
      </w:r>
      <w:r>
        <w:rPr>
          <w:rStyle w:val="FootnoteReference"/>
        </w:rPr>
        <w:footnoteRef/>
      </w:r>
      <w:r>
        <w:t xml:space="preserve"> For example, </w:t>
      </w:r>
      <w:r w:rsidR="002E289A">
        <w:t xml:space="preserve">direct appointment by States for </w:t>
      </w:r>
      <w:r>
        <w:t>four of the five judges on the Permanent Review Tribunal for Mercosur</w:t>
      </w:r>
      <w:r w:rsidR="002E289A">
        <w:t>;</w:t>
      </w:r>
      <w:r>
        <w:t xml:space="preserve"> </w:t>
      </w:r>
      <w:r w:rsidR="002E289A">
        <w:t>as well as for t</w:t>
      </w:r>
      <w:r>
        <w:t xml:space="preserve">he </w:t>
      </w:r>
      <w:r w:rsidR="002E289A">
        <w:t>Economic Court of the Commonwealth of Independent States (</w:t>
      </w:r>
      <w:r>
        <w:t>ECCIS</w:t>
      </w:r>
      <w:r w:rsidR="002E289A">
        <w:t>)</w:t>
      </w:r>
      <w:r>
        <w:t>.</w:t>
      </w:r>
    </w:p>
  </w:footnote>
  <w:footnote w:id="44">
    <w:p w14:paraId="622C8555" w14:textId="4471E49A" w:rsidR="003B0F72" w:rsidRDefault="003B0F72">
      <w:pPr>
        <w:pStyle w:val="FootnoteText"/>
      </w:pPr>
      <w:r>
        <w:tab/>
      </w:r>
      <w:r>
        <w:tab/>
      </w:r>
      <w:r>
        <w:rPr>
          <w:rStyle w:val="FootnoteReference"/>
        </w:rPr>
        <w:footnoteRef/>
      </w:r>
      <w:r>
        <w:t xml:space="preserve"> </w:t>
      </w:r>
      <w:r w:rsidR="00226187">
        <w:t>See, f</w:t>
      </w:r>
      <w:r>
        <w:t xml:space="preserve">or instance, </w:t>
      </w:r>
      <w:r w:rsidR="00226187">
        <w:t>selection of judges for the African Court on Human and People’s Rights by M</w:t>
      </w:r>
      <w:r>
        <w:t xml:space="preserve">ember </w:t>
      </w:r>
      <w:r w:rsidR="00226187">
        <w:t>S</w:t>
      </w:r>
      <w:r>
        <w:t>tates of the African Union</w:t>
      </w:r>
      <w:r w:rsidR="00226187">
        <w:t>; election of ICJ judges by th</w:t>
      </w:r>
      <w:r>
        <w:t>e UN General Assembly</w:t>
      </w:r>
      <w:r w:rsidR="00226187">
        <w:t>;</w:t>
      </w:r>
      <w:r>
        <w:t xml:space="preserve"> </w:t>
      </w:r>
      <w:r w:rsidR="00226187">
        <w:t>j</w:t>
      </w:r>
      <w:r>
        <w:t xml:space="preserve">udges at ITLOS are selected by the </w:t>
      </w:r>
      <w:r w:rsidR="00226187">
        <w:t>S</w:t>
      </w:r>
      <w:r>
        <w:t xml:space="preserve">tate </w:t>
      </w:r>
      <w:r w:rsidR="00226187">
        <w:t>P</w:t>
      </w:r>
      <w:r>
        <w:t xml:space="preserve">arties of the Convention of the Law of the Sea, even if they do not in general accept ITLOS as a forum for dispute settlement. </w:t>
      </w:r>
    </w:p>
  </w:footnote>
  <w:footnote w:id="45">
    <w:p w14:paraId="50D0B426" w14:textId="77777777" w:rsidR="009E36D4" w:rsidRDefault="009E36D4" w:rsidP="009E36D4">
      <w:pPr>
        <w:pStyle w:val="FootnoteText"/>
      </w:pPr>
      <w:r>
        <w:tab/>
      </w:r>
      <w:r>
        <w:tab/>
      </w:r>
      <w:r>
        <w:rPr>
          <w:rStyle w:val="FootnoteReference"/>
        </w:rPr>
        <w:footnoteRef/>
      </w:r>
      <w:r>
        <w:t xml:space="preserve"> For example, an “Article 255 Panel” was established to assess nominated candidates for the CJEU in 2010. The panel merely issues recommendations, and it is composed of “seven persons chosen from among former members of the Court of Justice and the General Court, members of national supreme courts and lawyers of recognised competence, one of whom shall be proposed by the European Parliament” (Article 255 of the Treaty on the Functioning of the European Union).</w:t>
      </w:r>
    </w:p>
  </w:footnote>
  <w:footnote w:id="46">
    <w:p w14:paraId="5080EB0B" w14:textId="069255AD" w:rsidR="003B0F72" w:rsidRDefault="00F149C4" w:rsidP="00F149C4">
      <w:pPr>
        <w:pStyle w:val="FootnoteText"/>
      </w:pPr>
      <w:r>
        <w:rPr>
          <w:sz w:val="18"/>
          <w:szCs w:val="18"/>
        </w:rPr>
        <w:tab/>
      </w:r>
      <w:r>
        <w:rPr>
          <w:sz w:val="18"/>
          <w:szCs w:val="18"/>
        </w:rPr>
        <w:tab/>
      </w:r>
      <w:r w:rsidR="003B0F72" w:rsidRPr="002C5797">
        <w:rPr>
          <w:rStyle w:val="FootnoteReference"/>
          <w:sz w:val="18"/>
          <w:szCs w:val="18"/>
        </w:rPr>
        <w:footnoteRef/>
      </w:r>
      <w:r w:rsidR="003B0F72" w:rsidRPr="002C5797">
        <w:rPr>
          <w:sz w:val="18"/>
          <w:szCs w:val="18"/>
        </w:rPr>
        <w:t xml:space="preserve"> </w:t>
      </w:r>
      <w:r w:rsidR="003B0F72" w:rsidRPr="00F149C4">
        <w:t>For most selection processes, the assumption has been that governments represent views from a broad range of stakeholders when they make appointment decisions</w:t>
      </w:r>
      <w:r w:rsidR="00A939F4">
        <w:t>; it is</w:t>
      </w:r>
      <w:r w:rsidR="003B0F72" w:rsidRPr="00F149C4">
        <w:t xml:space="preserve"> worth noting that even if non-state actors are not formally involved in the selection process, they </w:t>
      </w:r>
      <w:r w:rsidR="00A939F4">
        <w:t xml:space="preserve">may </w:t>
      </w:r>
      <w:r w:rsidR="003B0F72" w:rsidRPr="00F149C4">
        <w:t>play informal roles</w:t>
      </w:r>
      <w:r>
        <w:t xml:space="preserve"> (such as </w:t>
      </w:r>
      <w:r w:rsidR="003B0F72" w:rsidRPr="00F149C4">
        <w:t>scrutinizing proposed candidates to make sure that they have the desired</w:t>
      </w:r>
      <w:r w:rsidR="003B0F72" w:rsidRPr="002C5797">
        <w:rPr>
          <w:sz w:val="18"/>
          <w:szCs w:val="18"/>
        </w:rPr>
        <w:t xml:space="preserve"> backgrounds </w:t>
      </w:r>
      <w:r w:rsidR="003B0F72" w:rsidRPr="00F149C4">
        <w:t>and</w:t>
      </w:r>
      <w:r w:rsidR="003B0F72" w:rsidRPr="002C5797">
        <w:rPr>
          <w:sz w:val="18"/>
          <w:szCs w:val="18"/>
        </w:rPr>
        <w:t xml:space="preserve"> qualifications</w:t>
      </w:r>
      <w:r>
        <w:rPr>
          <w:sz w:val="18"/>
          <w:szCs w:val="18"/>
        </w:rPr>
        <w:t>)</w:t>
      </w:r>
      <w:r w:rsidR="003B0F72">
        <w:t>.</w:t>
      </w:r>
    </w:p>
  </w:footnote>
  <w:footnote w:id="47">
    <w:p w14:paraId="38FA416E" w14:textId="052F97C5" w:rsidR="003B0F72" w:rsidRDefault="003B0F72" w:rsidP="00135351">
      <w:pPr>
        <w:pStyle w:val="FootnoteText"/>
      </w:pPr>
      <w:r>
        <w:tab/>
      </w:r>
      <w:r>
        <w:tab/>
      </w:r>
      <w:r>
        <w:rPr>
          <w:rStyle w:val="FootnoteReference"/>
        </w:rPr>
        <w:footnoteRef/>
      </w:r>
      <w:r>
        <w:t xml:space="preserve"> The Quadrilemma: Appointing Adjudicators in Future Investor-State Dispute Settlement, Malcolm Langford, Daniel Behn and Mariachiara Malaguti, which discusses the effect of appellate body on the selection and appointment of adjudicators</w:t>
      </w:r>
    </w:p>
  </w:footnote>
  <w:footnote w:id="48">
    <w:p w14:paraId="4CC97642" w14:textId="332AE1B6" w:rsidR="003B0F72" w:rsidRDefault="003B0F72">
      <w:pPr>
        <w:pStyle w:val="FootnoteText"/>
      </w:pPr>
      <w:r>
        <w:tab/>
      </w:r>
      <w:r>
        <w:tab/>
      </w:r>
      <w:r>
        <w:rPr>
          <w:rStyle w:val="FootnoteReference"/>
        </w:rPr>
        <w:footnoteRef/>
      </w:r>
      <w:r>
        <w:t xml:space="preserve"> For instance,  WTO AB, CETA.</w:t>
      </w:r>
    </w:p>
  </w:footnote>
  <w:footnote w:id="49">
    <w:p w14:paraId="7BAD94F8" w14:textId="2BDB67A5" w:rsidR="001B4C02" w:rsidRDefault="001B4C02">
      <w:pPr>
        <w:pStyle w:val="FootnoteText"/>
      </w:pPr>
      <w:r>
        <w:tab/>
      </w:r>
      <w:r>
        <w:tab/>
      </w:r>
      <w:r>
        <w:rPr>
          <w:rStyle w:val="FootnoteReference"/>
        </w:rPr>
        <w:footnoteRef/>
      </w:r>
      <w:r>
        <w:t xml:space="preserve"> According to </w:t>
      </w:r>
      <w:r w:rsidRPr="001B4C02">
        <w:t xml:space="preserve">Article 31 of the </w:t>
      </w:r>
      <w:r w:rsidR="00724EFA">
        <w:t xml:space="preserve">International Court of Justice (ICJ) </w:t>
      </w:r>
      <w:r w:rsidRPr="001B4C02">
        <w:t>statute</w:t>
      </w:r>
      <w:r>
        <w:t xml:space="preserve">, </w:t>
      </w:r>
      <w:r w:rsidRPr="001B4C02">
        <w:t xml:space="preserve"> any party to </w:t>
      </w:r>
      <w:r>
        <w:t>a</w:t>
      </w:r>
      <w:r w:rsidRPr="001B4C02">
        <w:t xml:space="preserve"> case (if it does not have one of that party's nationals sitting on the court) </w:t>
      </w:r>
      <w:r>
        <w:t>may</w:t>
      </w:r>
      <w:r w:rsidRPr="001B4C02">
        <w:t xml:space="preserve"> select one additional person to sit as a judge on that case only. </w:t>
      </w:r>
    </w:p>
  </w:footnote>
  <w:footnote w:id="50">
    <w:p w14:paraId="0C0AE1CD" w14:textId="273CB11D" w:rsidR="002B6D8B" w:rsidRDefault="002B6D8B">
      <w:pPr>
        <w:pStyle w:val="FootnoteText"/>
      </w:pPr>
      <w:r>
        <w:tab/>
      </w:r>
      <w:r>
        <w:tab/>
      </w:r>
      <w:r>
        <w:rPr>
          <w:rStyle w:val="FootnoteReference"/>
        </w:rPr>
        <w:footnoteRef/>
      </w:r>
      <w:r>
        <w:t xml:space="preserve"> See, for instance, </w:t>
      </w:r>
      <w:r w:rsidR="00724EFA">
        <w:t>International Criminal Tribunal for the Former Yugoslavia (</w:t>
      </w:r>
      <w:r>
        <w:t>ICTY</w:t>
      </w:r>
      <w:r w:rsidR="00724EFA">
        <w:t>)</w:t>
      </w:r>
      <w:r>
        <w:t xml:space="preserve"> and the WTO AB.</w:t>
      </w:r>
    </w:p>
  </w:footnote>
  <w:footnote w:id="51">
    <w:p w14:paraId="4C237370" w14:textId="3E2DB948" w:rsidR="00BD59F2" w:rsidRDefault="00BD59F2">
      <w:pPr>
        <w:pStyle w:val="FootnoteText"/>
      </w:pPr>
      <w:r>
        <w:tab/>
      </w:r>
      <w:r>
        <w:tab/>
      </w:r>
      <w:r>
        <w:rPr>
          <w:rStyle w:val="FootnoteReference"/>
        </w:rPr>
        <w:footnoteRef/>
      </w:r>
      <w:r>
        <w:t xml:space="preserve"> See, for instance, the </w:t>
      </w:r>
      <w:r w:rsidR="002B6D8B">
        <w:t>African Court of Human and Peoples’ Rights</w:t>
      </w:r>
      <w:r>
        <w:t xml:space="preserve">, the Inter-American Court of Human Rights (IACHR), as well as in the filed of international arbitration, ICSID panels. </w:t>
      </w:r>
    </w:p>
  </w:footnote>
  <w:footnote w:id="52">
    <w:p w14:paraId="762A0D50" w14:textId="4BED9604" w:rsidR="00BD59F2" w:rsidRDefault="00BD59F2">
      <w:pPr>
        <w:pStyle w:val="FootnoteText"/>
      </w:pPr>
      <w:r>
        <w:tab/>
      </w:r>
      <w:r>
        <w:tab/>
      </w:r>
      <w:r>
        <w:rPr>
          <w:rStyle w:val="FootnoteReference"/>
        </w:rPr>
        <w:footnoteRef/>
      </w:r>
      <w:r>
        <w:t xml:space="preserve"> See, the International Court of Justice (ICJ), European Court of Human Rights (ECtHR ), International Tribunal </w:t>
      </w:r>
      <w:r w:rsidR="00724EFA">
        <w:t>for</w:t>
      </w:r>
      <w:r>
        <w:t xml:space="preserve"> the Law of the Sea (ITLOS)</w:t>
      </w:r>
      <w:r w:rsidR="00F65F53">
        <w:t>.</w:t>
      </w:r>
    </w:p>
  </w:footnote>
  <w:footnote w:id="53">
    <w:p w14:paraId="4C989A95" w14:textId="0C714BF7" w:rsidR="002B6D8B" w:rsidRDefault="002B6D8B">
      <w:pPr>
        <w:pStyle w:val="FootnoteText"/>
      </w:pPr>
      <w:r>
        <w:tab/>
      </w:r>
      <w:r>
        <w:tab/>
      </w:r>
      <w:r>
        <w:rPr>
          <w:rStyle w:val="FootnoteReference"/>
        </w:rPr>
        <w:footnoteRef/>
      </w:r>
      <w:r>
        <w:t xml:space="preserve"> The Caribbean Court</w:t>
      </w:r>
      <w:r w:rsidR="00724EFA">
        <w:t xml:space="preserve"> of Justice</w:t>
      </w:r>
      <w:r>
        <w:t>, which provides “until [a judge] attains the age of seventy-two years”.</w:t>
      </w:r>
    </w:p>
  </w:footnote>
  <w:footnote w:id="54">
    <w:p w14:paraId="0D14371E" w14:textId="47E3BCD5" w:rsidR="009E36D4" w:rsidRDefault="009E36D4">
      <w:pPr>
        <w:pStyle w:val="FootnoteText"/>
      </w:pPr>
      <w:r>
        <w:tab/>
      </w:r>
      <w:r>
        <w:tab/>
      </w:r>
      <w:r>
        <w:rPr>
          <w:rStyle w:val="FootnoteReference"/>
        </w:rPr>
        <w:footnoteRef/>
      </w:r>
      <w:r>
        <w:t xml:space="preserve"> It may be noted that certain courts also provide for age limitations (see CIDS Supplemental Report, para. 164).</w:t>
      </w:r>
    </w:p>
  </w:footnote>
  <w:footnote w:id="55">
    <w:p w14:paraId="36CC8D86" w14:textId="5443E870" w:rsidR="003B0F72" w:rsidRDefault="003B0F72" w:rsidP="00864691">
      <w:pPr>
        <w:pStyle w:val="FootnoteText"/>
      </w:pPr>
      <w:r>
        <w:tab/>
      </w:r>
      <w:r>
        <w:tab/>
      </w:r>
      <w:r>
        <w:rPr>
          <w:rStyle w:val="FootnoteReference"/>
        </w:rPr>
        <w:footnoteRef/>
      </w:r>
      <w:r>
        <w:t xml:space="preserve"> Those with explicitly non-renewable terms of judicial office are: East African Court of Justice (EACJ), </w:t>
      </w:r>
      <w:r w:rsidR="00A939F4">
        <w:t>the European Court of Human Rights (</w:t>
      </w:r>
      <w:r>
        <w:t>ECtHR</w:t>
      </w:r>
      <w:r w:rsidR="00A939F4">
        <w:t>)</w:t>
      </w:r>
      <w:r>
        <w:t>,</w:t>
      </w:r>
      <w:r w:rsidR="00A939F4">
        <w:t xml:space="preserve"> the Economic Community of West Africa (ECOWAS) Court of Justice</w:t>
      </w:r>
      <w:r>
        <w:t xml:space="preserve">, </w:t>
      </w:r>
      <w:r w:rsidR="00A939F4">
        <w:t>the International Criminal Court (</w:t>
      </w:r>
      <w:r>
        <w:t>ICC</w:t>
      </w:r>
      <w:r w:rsidR="00A939F4">
        <w:t>)</w:t>
      </w:r>
      <w:r>
        <w:t>, and the Organization for the Harmonization of Business Law in Africa Common Court of Justice and Arbitration (OHADA CCJA)</w:t>
      </w:r>
      <w:r w:rsidR="00A939F4">
        <w:t>.</w:t>
      </w:r>
    </w:p>
  </w:footnote>
  <w:footnote w:id="56">
    <w:p w14:paraId="4B78B0A4" w14:textId="172A39A6" w:rsidR="001B4C02" w:rsidRDefault="001B4C02">
      <w:pPr>
        <w:pStyle w:val="FootnoteText"/>
      </w:pPr>
      <w:r>
        <w:tab/>
      </w:r>
      <w:r>
        <w:tab/>
      </w:r>
      <w:r>
        <w:rPr>
          <w:rStyle w:val="FootnoteReference"/>
        </w:rPr>
        <w:footnoteRef/>
      </w:r>
      <w:r>
        <w:t xml:space="preserve"> For instance, when the judicial terms on the </w:t>
      </w:r>
      <w:r w:rsidR="002B6D8B">
        <w:t>European Court of Human Rights (</w:t>
      </w:r>
      <w:r>
        <w:t>ECtHR</w:t>
      </w:r>
      <w:r w:rsidR="002B6D8B">
        <w:t>)</w:t>
      </w:r>
      <w:r>
        <w:t xml:space="preserve"> were made non-renewable in 2010, they were also extended from six to nine-years.</w:t>
      </w:r>
    </w:p>
  </w:footnote>
  <w:footnote w:id="57">
    <w:p w14:paraId="0350BF8E" w14:textId="4C38FBAF" w:rsidR="002B6D8B" w:rsidRDefault="002B6D8B">
      <w:pPr>
        <w:pStyle w:val="FootnoteText"/>
      </w:pPr>
      <w:r>
        <w:tab/>
      </w:r>
      <w:r>
        <w:tab/>
      </w:r>
      <w:r>
        <w:rPr>
          <w:rStyle w:val="FootnoteReference"/>
        </w:rPr>
        <w:footnoteRef/>
      </w:r>
      <w:r>
        <w:t xml:space="preserve"> Terms are renewable at the International Court of Justice (ICJ), the International Tribunal </w:t>
      </w:r>
      <w:r w:rsidR="00724EFA">
        <w:t>for</w:t>
      </w:r>
      <w:r>
        <w:t xml:space="preserve"> the Law of the Sea (ITLOS</w:t>
      </w:r>
      <w:r w:rsidR="00A939F4">
        <w:t>)</w:t>
      </w:r>
      <w:r>
        <w:t xml:space="preserve">, </w:t>
      </w:r>
      <w:r w:rsidR="00724EFA">
        <w:t>International Criminal Tribunal for the Former Yugoslavia (</w:t>
      </w:r>
      <w:r>
        <w:t>ICTY</w:t>
      </w:r>
      <w:r w:rsidR="00724EFA">
        <w:t>)</w:t>
      </w:r>
      <w:r>
        <w:t>, the African Court of Human and Peoples’ Rights, WTO AB.</w:t>
      </w:r>
    </w:p>
  </w:footnote>
  <w:footnote w:id="58">
    <w:p w14:paraId="3118AB75" w14:textId="5325CB59" w:rsidR="002B6D8B" w:rsidRDefault="002B6D8B">
      <w:pPr>
        <w:pStyle w:val="FootnoteText"/>
      </w:pPr>
      <w:r>
        <w:tab/>
      </w:r>
      <w:r>
        <w:tab/>
      </w:r>
      <w:r>
        <w:rPr>
          <w:rStyle w:val="FootnoteReference"/>
        </w:rPr>
        <w:footnoteRef/>
      </w:r>
      <w:r>
        <w:t xml:space="preserve"> See, for instance, the Inter-American Court of Human Rights (IACHR</w:t>
      </w:r>
      <w:r w:rsidR="00724EFA">
        <w:t>), the</w:t>
      </w:r>
      <w:r w:rsidRPr="002B6D8B">
        <w:t xml:space="preserve"> </w:t>
      </w:r>
      <w:r>
        <w:t>African Court of Human and Peoples’ Rights, the WTO AB.</w:t>
      </w:r>
    </w:p>
  </w:footnote>
  <w:footnote w:id="59">
    <w:p w14:paraId="5023221D" w14:textId="386245FC" w:rsidR="003B0F72" w:rsidRDefault="001B4C02">
      <w:pPr>
        <w:pStyle w:val="FootnoteText"/>
      </w:pPr>
      <w:r>
        <w:tab/>
      </w:r>
      <w:r>
        <w:tab/>
      </w:r>
      <w:r w:rsidR="003B0F72">
        <w:rPr>
          <w:rStyle w:val="FootnoteReference"/>
        </w:rPr>
        <w:footnoteRef/>
      </w:r>
      <w:r w:rsidR="003B0F72">
        <w:t xml:space="preserve"> For instance, in the ECtHR</w:t>
      </w:r>
      <w:r>
        <w:t>,</w:t>
      </w:r>
      <w:r w:rsidR="003B0F72">
        <w:t xml:space="preserve"> any judge can request the removal of another judge and the decision on removal has to be taken by a two-third majority of the judges.</w:t>
      </w:r>
    </w:p>
  </w:footnote>
  <w:footnote w:id="60">
    <w:p w14:paraId="6A950C64" w14:textId="41CC9494" w:rsidR="003B0F72" w:rsidRDefault="003B0F72">
      <w:pPr>
        <w:pStyle w:val="FootnoteText"/>
      </w:pPr>
      <w:r>
        <w:tab/>
      </w:r>
      <w:r>
        <w:tab/>
      </w:r>
      <w:r>
        <w:rPr>
          <w:rStyle w:val="FootnoteReference"/>
        </w:rPr>
        <w:footnoteRef/>
      </w:r>
      <w:r>
        <w:t xml:space="preserve"> The courts that features </w:t>
      </w:r>
      <w:r w:rsidR="001B4C02">
        <w:t>such</w:t>
      </w:r>
      <w:r>
        <w:t xml:space="preserve"> removal procedure are the Central African Economic and Monetary Community Court of Justice (CEMAC CJ), </w:t>
      </w:r>
      <w:r w:rsidR="00A939F4">
        <w:t>the Economic Community of West Africa (ECOWAS) Court of Justice, the</w:t>
      </w:r>
      <w:r>
        <w:t xml:space="preserve"> </w:t>
      </w:r>
      <w:r w:rsidR="00A939F4">
        <w:t>Inter-American Court of Human Rights (IACHR)</w:t>
      </w:r>
      <w:r>
        <w:t xml:space="preserve">, and </w:t>
      </w:r>
      <w:r w:rsidR="00A939F4">
        <w:t>the International Criminal Court (</w:t>
      </w:r>
      <w:r>
        <w:t>ICC</w:t>
      </w:r>
      <w:r w:rsidR="00A939F4">
        <w:t>)</w:t>
      </w:r>
      <w:r>
        <w:t xml:space="preserve">. The courts where </w:t>
      </w:r>
      <w:r w:rsidR="008E7EC1">
        <w:t>S</w:t>
      </w:r>
      <w:r>
        <w:t xml:space="preserve">tates control the removal of judges </w:t>
      </w:r>
      <w:r w:rsidR="00C31A15">
        <w:t>include the</w:t>
      </w:r>
      <w:r>
        <w:t xml:space="preserve"> Common Market for Eastern and Southern Africa </w:t>
      </w:r>
      <w:r w:rsidR="00A939F4">
        <w:t xml:space="preserve">(COMESA) </w:t>
      </w:r>
      <w:r>
        <w:t>Court of Justice,</w:t>
      </w:r>
      <w:r w:rsidR="00C31A15">
        <w:t xml:space="preserve"> the East African </w:t>
      </w:r>
      <w:r w:rsidR="00A939F4">
        <w:t>C</w:t>
      </w:r>
      <w:r w:rsidR="00C31A15">
        <w:t>ourt of Justice</w:t>
      </w:r>
      <w:r>
        <w:t xml:space="preserve"> </w:t>
      </w:r>
      <w:r w:rsidR="00C31A15">
        <w:t>(</w:t>
      </w:r>
      <w:r>
        <w:t>EACJ</w:t>
      </w:r>
      <w:r w:rsidR="00C31A15">
        <w:t>)</w:t>
      </w:r>
      <w:r>
        <w:t xml:space="preserve">. </w:t>
      </w:r>
    </w:p>
  </w:footnote>
  <w:footnote w:id="61">
    <w:p w14:paraId="1C602FC5" w14:textId="0101D591" w:rsidR="003B0F72" w:rsidRDefault="003B0F72">
      <w:pPr>
        <w:pStyle w:val="FootnoteText"/>
      </w:pPr>
      <w:r>
        <w:tab/>
      </w:r>
      <w:r>
        <w:tab/>
      </w:r>
      <w:r>
        <w:rPr>
          <w:rStyle w:val="FootnoteReference"/>
        </w:rPr>
        <w:footnoteRef/>
      </w:r>
      <w:r>
        <w:t xml:space="preserve"> See Supplemental CIDS Report, at paras. 183–198.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3B0F72" w14:paraId="2D9A3933" w14:textId="77777777" w:rsidTr="00D713A4">
      <w:trPr>
        <w:trHeight w:hRule="exact" w:val="864"/>
        <w:jc w:val="center"/>
      </w:trPr>
      <w:tc>
        <w:tcPr>
          <w:tcW w:w="4882" w:type="dxa"/>
          <w:shd w:val="clear" w:color="auto" w:fill="auto"/>
          <w:vAlign w:val="bottom"/>
        </w:tcPr>
        <w:p w14:paraId="50631D98" w14:textId="2AC515DD" w:rsidR="003B0F72" w:rsidRPr="00D713A4" w:rsidRDefault="003B0F72" w:rsidP="00D713A4">
          <w:pPr>
            <w:pStyle w:val="Header"/>
            <w:spacing w:after="80"/>
            <w:rPr>
              <w:b/>
            </w:rPr>
          </w:pPr>
        </w:p>
      </w:tc>
      <w:tc>
        <w:tcPr>
          <w:tcW w:w="4923" w:type="dxa"/>
          <w:shd w:val="clear" w:color="auto" w:fill="auto"/>
          <w:vAlign w:val="bottom"/>
        </w:tcPr>
        <w:p w14:paraId="0573268A" w14:textId="77777777" w:rsidR="003B0F72" w:rsidRDefault="003B0F72" w:rsidP="00D713A4">
          <w:pPr>
            <w:pStyle w:val="Header"/>
          </w:pPr>
        </w:p>
      </w:tc>
    </w:tr>
  </w:tbl>
  <w:p w14:paraId="109134CB" w14:textId="77777777" w:rsidR="003B0F72" w:rsidRPr="00D713A4" w:rsidRDefault="003B0F72" w:rsidP="00D71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3B0F72" w14:paraId="7B3A0C73" w14:textId="77777777" w:rsidTr="00D713A4">
      <w:trPr>
        <w:trHeight w:hRule="exact" w:val="864"/>
        <w:jc w:val="center"/>
      </w:trPr>
      <w:tc>
        <w:tcPr>
          <w:tcW w:w="4882" w:type="dxa"/>
          <w:shd w:val="clear" w:color="auto" w:fill="auto"/>
          <w:vAlign w:val="bottom"/>
        </w:tcPr>
        <w:p w14:paraId="631E2399" w14:textId="77777777" w:rsidR="003B0F72" w:rsidRDefault="003B0F72" w:rsidP="00D713A4">
          <w:pPr>
            <w:pStyle w:val="Header"/>
          </w:pPr>
        </w:p>
      </w:tc>
      <w:tc>
        <w:tcPr>
          <w:tcW w:w="4923" w:type="dxa"/>
          <w:shd w:val="clear" w:color="auto" w:fill="auto"/>
          <w:vAlign w:val="bottom"/>
        </w:tcPr>
        <w:p w14:paraId="1648A04B" w14:textId="34A4AC31" w:rsidR="003B0F72" w:rsidRPr="00D713A4" w:rsidRDefault="003B0F72" w:rsidP="00D713A4">
          <w:pPr>
            <w:pStyle w:val="Header"/>
            <w:spacing w:after="80"/>
            <w:jc w:val="right"/>
            <w:rPr>
              <w:b/>
            </w:rPr>
          </w:pPr>
        </w:p>
      </w:tc>
    </w:tr>
  </w:tbl>
  <w:p w14:paraId="7CFC823F" w14:textId="77777777" w:rsidR="003B0F72" w:rsidRPr="00D713A4" w:rsidRDefault="003B0F72" w:rsidP="00D71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00"/>
      <w:gridCol w:w="11"/>
    </w:tblGrid>
    <w:tr w:rsidR="003B0F72" w14:paraId="223CCA97" w14:textId="77777777" w:rsidTr="00D713A4">
      <w:trPr>
        <w:trHeight w:hRule="exact" w:val="864"/>
      </w:trPr>
      <w:tc>
        <w:tcPr>
          <w:tcW w:w="1267" w:type="dxa"/>
          <w:tcBorders>
            <w:bottom w:val="single" w:sz="4" w:space="0" w:color="auto"/>
          </w:tcBorders>
          <w:shd w:val="clear" w:color="auto" w:fill="auto"/>
          <w:vAlign w:val="bottom"/>
        </w:tcPr>
        <w:p w14:paraId="437626EF" w14:textId="77777777" w:rsidR="003B0F72" w:rsidRDefault="003B0F72" w:rsidP="00D713A4">
          <w:pPr>
            <w:pStyle w:val="Header"/>
            <w:spacing w:after="120"/>
          </w:pPr>
        </w:p>
      </w:tc>
      <w:tc>
        <w:tcPr>
          <w:tcW w:w="1872" w:type="dxa"/>
          <w:tcBorders>
            <w:bottom w:val="single" w:sz="4" w:space="0" w:color="auto"/>
          </w:tcBorders>
          <w:shd w:val="clear" w:color="auto" w:fill="auto"/>
          <w:vAlign w:val="bottom"/>
        </w:tcPr>
        <w:p w14:paraId="26C07FEF" w14:textId="77777777" w:rsidR="003B0F72" w:rsidRPr="00D713A4" w:rsidRDefault="003B0F72" w:rsidP="00D713A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1F8B6E3" w14:textId="77777777" w:rsidR="003B0F72" w:rsidRDefault="003B0F72" w:rsidP="00D713A4">
          <w:pPr>
            <w:pStyle w:val="Header"/>
            <w:spacing w:after="120"/>
          </w:pPr>
        </w:p>
      </w:tc>
      <w:tc>
        <w:tcPr>
          <w:tcW w:w="6466" w:type="dxa"/>
          <w:gridSpan w:val="4"/>
          <w:tcBorders>
            <w:bottom w:val="single" w:sz="4" w:space="0" w:color="auto"/>
          </w:tcBorders>
          <w:shd w:val="clear" w:color="auto" w:fill="auto"/>
          <w:vAlign w:val="bottom"/>
        </w:tcPr>
        <w:p w14:paraId="7D8CEBBE" w14:textId="43AF3E57" w:rsidR="003B0F72" w:rsidRPr="00D713A4" w:rsidRDefault="003B0F72" w:rsidP="00D713A4">
          <w:pPr>
            <w:spacing w:after="80" w:line="240" w:lineRule="auto"/>
            <w:jc w:val="right"/>
            <w:rPr>
              <w:position w:val="-4"/>
            </w:rPr>
          </w:pPr>
          <w:r>
            <w:rPr>
              <w:position w:val="-4"/>
              <w:sz w:val="40"/>
            </w:rPr>
            <w:t>A</w:t>
          </w:r>
          <w:r>
            <w:rPr>
              <w:position w:val="-4"/>
            </w:rPr>
            <w:t>/CN.9/WG.III/WP.---</w:t>
          </w:r>
        </w:p>
      </w:tc>
    </w:tr>
    <w:tr w:rsidR="003B0F72" w:rsidRPr="00D713A4" w14:paraId="71E09A5C" w14:textId="77777777" w:rsidTr="00D713A4">
      <w:trPr>
        <w:gridAfter w:val="1"/>
        <w:wAfter w:w="11" w:type="dxa"/>
        <w:trHeight w:hRule="exact" w:val="2880"/>
      </w:trPr>
      <w:tc>
        <w:tcPr>
          <w:tcW w:w="1267" w:type="dxa"/>
          <w:tcBorders>
            <w:top w:val="single" w:sz="4" w:space="0" w:color="auto"/>
            <w:bottom w:val="single" w:sz="12" w:space="0" w:color="auto"/>
          </w:tcBorders>
          <w:shd w:val="clear" w:color="auto" w:fill="auto"/>
        </w:tcPr>
        <w:p w14:paraId="1134D25C" w14:textId="77777777" w:rsidR="003B0F72" w:rsidRPr="00D713A4" w:rsidRDefault="003B0F72" w:rsidP="00D713A4">
          <w:pPr>
            <w:pStyle w:val="Header"/>
            <w:spacing w:before="120"/>
            <w:jc w:val="center"/>
          </w:pPr>
          <w:r>
            <w:t xml:space="preserve"> </w:t>
          </w:r>
          <w:r>
            <w:drawing>
              <wp:inline distT="0" distB="0" distL="0" distR="0" wp14:anchorId="06681333" wp14:editId="61B5347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276BC2F" w14:textId="77777777" w:rsidR="003B0F72" w:rsidRPr="00D713A4" w:rsidRDefault="003B0F72" w:rsidP="00D713A4">
          <w:pPr>
            <w:pStyle w:val="XLarge"/>
            <w:spacing w:before="109" w:line="390" w:lineRule="atLeast"/>
          </w:pPr>
          <w:r>
            <w:t>General Assembly</w:t>
          </w:r>
        </w:p>
      </w:tc>
      <w:tc>
        <w:tcPr>
          <w:tcW w:w="245" w:type="dxa"/>
          <w:tcBorders>
            <w:top w:val="single" w:sz="4" w:space="0" w:color="auto"/>
            <w:bottom w:val="single" w:sz="12" w:space="0" w:color="auto"/>
          </w:tcBorders>
          <w:shd w:val="clear" w:color="auto" w:fill="auto"/>
        </w:tcPr>
        <w:p w14:paraId="101E29B9" w14:textId="77777777" w:rsidR="003B0F72" w:rsidRPr="00D713A4" w:rsidRDefault="003B0F72" w:rsidP="00D713A4">
          <w:pPr>
            <w:pStyle w:val="Header"/>
            <w:spacing w:before="109"/>
          </w:pPr>
        </w:p>
      </w:tc>
      <w:tc>
        <w:tcPr>
          <w:tcW w:w="3100" w:type="dxa"/>
          <w:tcBorders>
            <w:top w:val="single" w:sz="4" w:space="0" w:color="auto"/>
            <w:bottom w:val="single" w:sz="12" w:space="0" w:color="auto"/>
          </w:tcBorders>
          <w:shd w:val="clear" w:color="auto" w:fill="auto"/>
        </w:tcPr>
        <w:p w14:paraId="70335F18" w14:textId="77777777" w:rsidR="003B0F72" w:rsidRDefault="003B0F72" w:rsidP="00D713A4">
          <w:pPr>
            <w:pStyle w:val="Distribution"/>
            <w:rPr>
              <w:color w:val="010000"/>
            </w:rPr>
          </w:pPr>
          <w:r>
            <w:rPr>
              <w:color w:val="010000"/>
            </w:rPr>
            <w:t>Distr.: Limited</w:t>
          </w:r>
        </w:p>
        <w:p w14:paraId="7DD40118" w14:textId="5DF23093" w:rsidR="003B0F72" w:rsidRDefault="003B0F72" w:rsidP="00D713A4">
          <w:pPr>
            <w:pStyle w:val="Publication"/>
            <w:rPr>
              <w:color w:val="010000"/>
            </w:rPr>
          </w:pPr>
          <w:r>
            <w:rPr>
              <w:color w:val="010000"/>
            </w:rPr>
            <w:t>-----------</w:t>
          </w:r>
        </w:p>
        <w:p w14:paraId="493AECC8" w14:textId="77777777" w:rsidR="003B0F72" w:rsidRDefault="003B0F72" w:rsidP="00D713A4"/>
        <w:p w14:paraId="749A8042" w14:textId="77777777" w:rsidR="003B0F72" w:rsidRDefault="003B0F72" w:rsidP="00D713A4">
          <w:pPr>
            <w:pStyle w:val="Original"/>
            <w:rPr>
              <w:color w:val="010000"/>
            </w:rPr>
          </w:pPr>
          <w:r>
            <w:rPr>
              <w:color w:val="010000"/>
            </w:rPr>
            <w:t>Original: English</w:t>
          </w:r>
        </w:p>
        <w:p w14:paraId="66374861" w14:textId="77777777" w:rsidR="003B0F72" w:rsidRPr="00D713A4" w:rsidRDefault="003B0F72" w:rsidP="00D713A4"/>
      </w:tc>
    </w:tr>
  </w:tbl>
  <w:sdt>
    <w:sdtPr>
      <w:rPr>
        <w:sz w:val="2"/>
      </w:rPr>
      <w:id w:val="1255630998"/>
      <w:docPartObj>
        <w:docPartGallery w:val="Watermarks"/>
        <w:docPartUnique/>
      </w:docPartObj>
    </w:sdtPr>
    <w:sdtEndPr/>
    <w:sdtContent>
      <w:p w14:paraId="508EB58E" w14:textId="046761E4" w:rsidR="003B0F72" w:rsidRPr="00D713A4" w:rsidRDefault="00245DFC" w:rsidP="00D713A4">
        <w:pPr>
          <w:pStyle w:val="Header"/>
          <w:rPr>
            <w:sz w:val="2"/>
          </w:rPr>
        </w:pPr>
        <w:r>
          <w:rPr>
            <w:sz w:val="2"/>
          </w:rPr>
          <w:pict w14:anchorId="60246A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83337"/>
    <w:multiLevelType w:val="multilevel"/>
    <w:tmpl w:val="EDC68CD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15952F7C"/>
    <w:multiLevelType w:val="hybridMultilevel"/>
    <w:tmpl w:val="18F25D92"/>
    <w:lvl w:ilvl="0" w:tplc="0A047E5A">
      <w:start w:val="1"/>
      <w:numFmt w:val="decimal"/>
      <w:lvlText w:val="%1."/>
      <w:lvlJc w:val="left"/>
      <w:pPr>
        <w:ind w:left="1627" w:hanging="360"/>
      </w:pPr>
      <w:rPr>
        <w:rFonts w:hint="default"/>
        <w:b/>
        <w:bCs w:val="0"/>
      </w:rPr>
    </w:lvl>
    <w:lvl w:ilvl="1" w:tplc="10000019">
      <w:start w:val="1"/>
      <w:numFmt w:val="lowerLetter"/>
      <w:lvlText w:val="%2."/>
      <w:lvlJc w:val="left"/>
      <w:pPr>
        <w:ind w:left="2203" w:hanging="360"/>
      </w:pPr>
    </w:lvl>
    <w:lvl w:ilvl="2" w:tplc="1000001B" w:tentative="1">
      <w:start w:val="1"/>
      <w:numFmt w:val="lowerRoman"/>
      <w:lvlText w:val="%3."/>
      <w:lvlJc w:val="right"/>
      <w:pPr>
        <w:ind w:left="3067" w:hanging="180"/>
      </w:pPr>
    </w:lvl>
    <w:lvl w:ilvl="3" w:tplc="1000000F" w:tentative="1">
      <w:start w:val="1"/>
      <w:numFmt w:val="decimal"/>
      <w:lvlText w:val="%4."/>
      <w:lvlJc w:val="left"/>
      <w:pPr>
        <w:ind w:left="3787" w:hanging="360"/>
      </w:pPr>
    </w:lvl>
    <w:lvl w:ilvl="4" w:tplc="10000019" w:tentative="1">
      <w:start w:val="1"/>
      <w:numFmt w:val="lowerLetter"/>
      <w:lvlText w:val="%5."/>
      <w:lvlJc w:val="left"/>
      <w:pPr>
        <w:ind w:left="4507" w:hanging="360"/>
      </w:pPr>
    </w:lvl>
    <w:lvl w:ilvl="5" w:tplc="1000001B" w:tentative="1">
      <w:start w:val="1"/>
      <w:numFmt w:val="lowerRoman"/>
      <w:lvlText w:val="%6."/>
      <w:lvlJc w:val="right"/>
      <w:pPr>
        <w:ind w:left="5227" w:hanging="180"/>
      </w:pPr>
    </w:lvl>
    <w:lvl w:ilvl="6" w:tplc="1000000F" w:tentative="1">
      <w:start w:val="1"/>
      <w:numFmt w:val="decimal"/>
      <w:lvlText w:val="%7."/>
      <w:lvlJc w:val="left"/>
      <w:pPr>
        <w:ind w:left="5947" w:hanging="360"/>
      </w:pPr>
    </w:lvl>
    <w:lvl w:ilvl="7" w:tplc="10000019" w:tentative="1">
      <w:start w:val="1"/>
      <w:numFmt w:val="lowerLetter"/>
      <w:lvlText w:val="%8."/>
      <w:lvlJc w:val="left"/>
      <w:pPr>
        <w:ind w:left="6667" w:hanging="360"/>
      </w:pPr>
    </w:lvl>
    <w:lvl w:ilvl="8" w:tplc="1000001B" w:tentative="1">
      <w:start w:val="1"/>
      <w:numFmt w:val="lowerRoman"/>
      <w:lvlText w:val="%9."/>
      <w:lvlJc w:val="right"/>
      <w:pPr>
        <w:ind w:left="7387" w:hanging="180"/>
      </w:pPr>
    </w:lvl>
  </w:abstractNum>
  <w:abstractNum w:abstractNumId="2" w15:restartNumberingAfterBreak="0">
    <w:nsid w:val="1E991858"/>
    <w:multiLevelType w:val="hybridMultilevel"/>
    <w:tmpl w:val="7F462324"/>
    <w:lvl w:ilvl="0" w:tplc="6A9ECB60">
      <w:start w:val="1"/>
      <w:numFmt w:val="lowerLetter"/>
      <w:lvlText w:val="%1."/>
      <w:lvlJc w:val="left"/>
      <w:pPr>
        <w:ind w:left="2563" w:hanging="360"/>
      </w:pPr>
      <w:rPr>
        <w:rFonts w:hint="default"/>
        <w:b/>
        <w:bCs/>
        <w:i/>
        <w:iCs/>
      </w:rPr>
    </w:lvl>
    <w:lvl w:ilvl="1" w:tplc="10000019">
      <w:start w:val="1"/>
      <w:numFmt w:val="lowerLetter"/>
      <w:lvlText w:val="%2."/>
      <w:lvlJc w:val="left"/>
      <w:pPr>
        <w:ind w:left="3283" w:hanging="360"/>
      </w:pPr>
    </w:lvl>
    <w:lvl w:ilvl="2" w:tplc="9E92BA56">
      <w:start w:val="1"/>
      <w:numFmt w:val="lowerRoman"/>
      <w:lvlText w:val="(%3)"/>
      <w:lvlJc w:val="left"/>
      <w:pPr>
        <w:ind w:left="4543" w:hanging="720"/>
      </w:pPr>
      <w:rPr>
        <w:rFonts w:hint="default"/>
      </w:rPr>
    </w:lvl>
    <w:lvl w:ilvl="3" w:tplc="1000000F" w:tentative="1">
      <w:start w:val="1"/>
      <w:numFmt w:val="decimal"/>
      <w:lvlText w:val="%4."/>
      <w:lvlJc w:val="left"/>
      <w:pPr>
        <w:ind w:left="4723" w:hanging="360"/>
      </w:pPr>
    </w:lvl>
    <w:lvl w:ilvl="4" w:tplc="10000019" w:tentative="1">
      <w:start w:val="1"/>
      <w:numFmt w:val="lowerLetter"/>
      <w:lvlText w:val="%5."/>
      <w:lvlJc w:val="left"/>
      <w:pPr>
        <w:ind w:left="5443" w:hanging="360"/>
      </w:pPr>
    </w:lvl>
    <w:lvl w:ilvl="5" w:tplc="1000001B" w:tentative="1">
      <w:start w:val="1"/>
      <w:numFmt w:val="lowerRoman"/>
      <w:lvlText w:val="%6."/>
      <w:lvlJc w:val="right"/>
      <w:pPr>
        <w:ind w:left="6163" w:hanging="180"/>
      </w:pPr>
    </w:lvl>
    <w:lvl w:ilvl="6" w:tplc="1000000F" w:tentative="1">
      <w:start w:val="1"/>
      <w:numFmt w:val="decimal"/>
      <w:lvlText w:val="%7."/>
      <w:lvlJc w:val="left"/>
      <w:pPr>
        <w:ind w:left="6883" w:hanging="360"/>
      </w:pPr>
    </w:lvl>
    <w:lvl w:ilvl="7" w:tplc="10000019" w:tentative="1">
      <w:start w:val="1"/>
      <w:numFmt w:val="lowerLetter"/>
      <w:lvlText w:val="%8."/>
      <w:lvlJc w:val="left"/>
      <w:pPr>
        <w:ind w:left="7603" w:hanging="360"/>
      </w:pPr>
    </w:lvl>
    <w:lvl w:ilvl="8" w:tplc="1000001B" w:tentative="1">
      <w:start w:val="1"/>
      <w:numFmt w:val="lowerRoman"/>
      <w:lvlText w:val="%9."/>
      <w:lvlJc w:val="right"/>
      <w:pPr>
        <w:ind w:left="8323" w:hanging="180"/>
      </w:pPr>
    </w:lvl>
  </w:abstractNum>
  <w:abstractNum w:abstractNumId="3"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15:restartNumberingAfterBreak="0">
    <w:nsid w:val="235D5A63"/>
    <w:multiLevelType w:val="hybridMultilevel"/>
    <w:tmpl w:val="02C6C384"/>
    <w:lvl w:ilvl="0" w:tplc="9B4A0B9E">
      <w:start w:val="1"/>
      <w:numFmt w:val="bullet"/>
      <w:lvlText w:val="-"/>
      <w:lvlJc w:val="left"/>
      <w:pPr>
        <w:ind w:left="1635" w:hanging="360"/>
      </w:pPr>
      <w:rPr>
        <w:rFonts w:ascii="Times New Roman" w:eastAsiaTheme="minorHAnsi" w:hAnsi="Times New Roman" w:cs="Times New Roman" w:hint="default"/>
      </w:rPr>
    </w:lvl>
    <w:lvl w:ilvl="1" w:tplc="10000003" w:tentative="1">
      <w:start w:val="1"/>
      <w:numFmt w:val="bullet"/>
      <w:lvlText w:val="o"/>
      <w:lvlJc w:val="left"/>
      <w:pPr>
        <w:ind w:left="2355" w:hanging="360"/>
      </w:pPr>
      <w:rPr>
        <w:rFonts w:ascii="Courier New" w:hAnsi="Courier New" w:cs="Courier New" w:hint="default"/>
      </w:rPr>
    </w:lvl>
    <w:lvl w:ilvl="2" w:tplc="10000005" w:tentative="1">
      <w:start w:val="1"/>
      <w:numFmt w:val="bullet"/>
      <w:lvlText w:val=""/>
      <w:lvlJc w:val="left"/>
      <w:pPr>
        <w:ind w:left="3075" w:hanging="360"/>
      </w:pPr>
      <w:rPr>
        <w:rFonts w:ascii="Wingdings" w:hAnsi="Wingdings" w:hint="default"/>
      </w:rPr>
    </w:lvl>
    <w:lvl w:ilvl="3" w:tplc="10000001" w:tentative="1">
      <w:start w:val="1"/>
      <w:numFmt w:val="bullet"/>
      <w:lvlText w:val=""/>
      <w:lvlJc w:val="left"/>
      <w:pPr>
        <w:ind w:left="3795" w:hanging="360"/>
      </w:pPr>
      <w:rPr>
        <w:rFonts w:ascii="Symbol" w:hAnsi="Symbol" w:hint="default"/>
      </w:rPr>
    </w:lvl>
    <w:lvl w:ilvl="4" w:tplc="10000003" w:tentative="1">
      <w:start w:val="1"/>
      <w:numFmt w:val="bullet"/>
      <w:lvlText w:val="o"/>
      <w:lvlJc w:val="left"/>
      <w:pPr>
        <w:ind w:left="4515" w:hanging="360"/>
      </w:pPr>
      <w:rPr>
        <w:rFonts w:ascii="Courier New" w:hAnsi="Courier New" w:cs="Courier New" w:hint="default"/>
      </w:rPr>
    </w:lvl>
    <w:lvl w:ilvl="5" w:tplc="10000005" w:tentative="1">
      <w:start w:val="1"/>
      <w:numFmt w:val="bullet"/>
      <w:lvlText w:val=""/>
      <w:lvlJc w:val="left"/>
      <w:pPr>
        <w:ind w:left="5235" w:hanging="360"/>
      </w:pPr>
      <w:rPr>
        <w:rFonts w:ascii="Wingdings" w:hAnsi="Wingdings" w:hint="default"/>
      </w:rPr>
    </w:lvl>
    <w:lvl w:ilvl="6" w:tplc="10000001" w:tentative="1">
      <w:start w:val="1"/>
      <w:numFmt w:val="bullet"/>
      <w:lvlText w:val=""/>
      <w:lvlJc w:val="left"/>
      <w:pPr>
        <w:ind w:left="5955" w:hanging="360"/>
      </w:pPr>
      <w:rPr>
        <w:rFonts w:ascii="Symbol" w:hAnsi="Symbol" w:hint="default"/>
      </w:rPr>
    </w:lvl>
    <w:lvl w:ilvl="7" w:tplc="10000003" w:tentative="1">
      <w:start w:val="1"/>
      <w:numFmt w:val="bullet"/>
      <w:lvlText w:val="o"/>
      <w:lvlJc w:val="left"/>
      <w:pPr>
        <w:ind w:left="6675" w:hanging="360"/>
      </w:pPr>
      <w:rPr>
        <w:rFonts w:ascii="Courier New" w:hAnsi="Courier New" w:cs="Courier New" w:hint="default"/>
      </w:rPr>
    </w:lvl>
    <w:lvl w:ilvl="8" w:tplc="10000005" w:tentative="1">
      <w:start w:val="1"/>
      <w:numFmt w:val="bullet"/>
      <w:lvlText w:val=""/>
      <w:lvlJc w:val="left"/>
      <w:pPr>
        <w:ind w:left="7395" w:hanging="360"/>
      </w:pPr>
      <w:rPr>
        <w:rFonts w:ascii="Wingdings" w:hAnsi="Wingdings" w:hint="default"/>
      </w:rPr>
    </w:lvl>
  </w:abstractNum>
  <w:abstractNum w:abstractNumId="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49EB003F"/>
    <w:multiLevelType w:val="singleLevel"/>
    <w:tmpl w:val="25E8AAE6"/>
    <w:lvl w:ilvl="0">
      <w:start w:val="1"/>
      <w:numFmt w:val="decimal"/>
      <w:lvlRestart w:val="0"/>
      <w:lvlText w:val="%1."/>
      <w:lvlJc w:val="left"/>
      <w:pPr>
        <w:ind w:left="1275" w:firstLine="0"/>
      </w:pPr>
      <w:rPr>
        <w:b w:val="0"/>
        <w:bCs w:val="0"/>
        <w:i w:val="0"/>
        <w:iCs w:val="0"/>
        <w:spacing w:val="0"/>
        <w:w w:val="100"/>
      </w:rPr>
    </w:lvl>
  </w:abstractNum>
  <w:abstractNum w:abstractNumId="7"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0"/>
  </w:num>
  <w:num w:numId="6">
    <w:abstractNumId w:val="1"/>
  </w:num>
  <w:num w:numId="7">
    <w:abstractNumId w:val="6"/>
  </w:num>
  <w:num w:numId="8">
    <w:abstractNumId w:val="2"/>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050"/>
    <o:shapelayout v:ext="edit">
      <o:idmap v:ext="edit" data="2"/>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1357*"/>
    <w:docVar w:name="CreationDt" w:val="02/12/2019 11:32:56"/>
    <w:docVar w:name="DocCategory" w:val="Doc"/>
    <w:docVar w:name="DocType" w:val="Final"/>
    <w:docVar w:name="DutyStation" w:val="Vienna"/>
    <w:docVar w:name="FooterJN" w:val="V.19-11357"/>
    <w:docVar w:name="jobn" w:val="V.19-11357 (E)"/>
    <w:docVar w:name="jobnDT" w:val="V.19-11357 (E)   021219"/>
    <w:docVar w:name="jobnDTDT" w:val="V.19-11357 (E)   021219   021219"/>
    <w:docVar w:name="JobNo" w:val="V.1911357E"/>
    <w:docVar w:name="JobNo2" w:val="1911357E"/>
    <w:docVar w:name="LocalDrive" w:val="0"/>
    <w:docVar w:name="OandT" w:val="MJL"/>
    <w:docVar w:name="sss1" w:val="A/CN.9/WG.III/WP.185"/>
    <w:docVar w:name="sss2" w:val="-"/>
    <w:docVar w:name="Symbol1" w:val="A/CN.9/WG.III/WP.185"/>
    <w:docVar w:name="Symbol2" w:val="-"/>
  </w:docVars>
  <w:rsids>
    <w:rsidRoot w:val="00260577"/>
    <w:rsid w:val="00004C5C"/>
    <w:rsid w:val="000100B0"/>
    <w:rsid w:val="00010686"/>
    <w:rsid w:val="00012805"/>
    <w:rsid w:val="0001325F"/>
    <w:rsid w:val="000146D9"/>
    <w:rsid w:val="00016626"/>
    <w:rsid w:val="00017FCF"/>
    <w:rsid w:val="00024D1E"/>
    <w:rsid w:val="00025632"/>
    <w:rsid w:val="000356E5"/>
    <w:rsid w:val="000406D1"/>
    <w:rsid w:val="0004070E"/>
    <w:rsid w:val="000408AB"/>
    <w:rsid w:val="00041142"/>
    <w:rsid w:val="000421C9"/>
    <w:rsid w:val="000427A1"/>
    <w:rsid w:val="000556CF"/>
    <w:rsid w:val="00055A17"/>
    <w:rsid w:val="00057279"/>
    <w:rsid w:val="000648E1"/>
    <w:rsid w:val="00075EEC"/>
    <w:rsid w:val="00076B29"/>
    <w:rsid w:val="000773D1"/>
    <w:rsid w:val="00082985"/>
    <w:rsid w:val="00085FAD"/>
    <w:rsid w:val="000863E0"/>
    <w:rsid w:val="000916CB"/>
    <w:rsid w:val="00092F8A"/>
    <w:rsid w:val="000B03D9"/>
    <w:rsid w:val="000B1AEE"/>
    <w:rsid w:val="000B2FCB"/>
    <w:rsid w:val="000B3288"/>
    <w:rsid w:val="000B72E5"/>
    <w:rsid w:val="000B7B13"/>
    <w:rsid w:val="000C4C9C"/>
    <w:rsid w:val="000C5D8E"/>
    <w:rsid w:val="000D0BC2"/>
    <w:rsid w:val="000D7564"/>
    <w:rsid w:val="000D77B3"/>
    <w:rsid w:val="000E0F8C"/>
    <w:rsid w:val="000E2CC3"/>
    <w:rsid w:val="000E6525"/>
    <w:rsid w:val="000E6BB0"/>
    <w:rsid w:val="000F0FC5"/>
    <w:rsid w:val="000F791C"/>
    <w:rsid w:val="00104D6B"/>
    <w:rsid w:val="00106084"/>
    <w:rsid w:val="00110685"/>
    <w:rsid w:val="00113F0E"/>
    <w:rsid w:val="00115198"/>
    <w:rsid w:val="00116A26"/>
    <w:rsid w:val="0011766D"/>
    <w:rsid w:val="0012177C"/>
    <w:rsid w:val="00125363"/>
    <w:rsid w:val="00135351"/>
    <w:rsid w:val="00135AD2"/>
    <w:rsid w:val="0014196F"/>
    <w:rsid w:val="001457A2"/>
    <w:rsid w:val="00151555"/>
    <w:rsid w:val="001550E3"/>
    <w:rsid w:val="001575C4"/>
    <w:rsid w:val="00160FD8"/>
    <w:rsid w:val="001624AE"/>
    <w:rsid w:val="00165BF9"/>
    <w:rsid w:val="00172658"/>
    <w:rsid w:val="0017389C"/>
    <w:rsid w:val="0017545D"/>
    <w:rsid w:val="0018064B"/>
    <w:rsid w:val="001818A1"/>
    <w:rsid w:val="00183126"/>
    <w:rsid w:val="00183B3C"/>
    <w:rsid w:val="001847D4"/>
    <w:rsid w:val="00186F93"/>
    <w:rsid w:val="001927C8"/>
    <w:rsid w:val="00192843"/>
    <w:rsid w:val="001A052F"/>
    <w:rsid w:val="001A207A"/>
    <w:rsid w:val="001A3C38"/>
    <w:rsid w:val="001A4A22"/>
    <w:rsid w:val="001A655A"/>
    <w:rsid w:val="001B4C02"/>
    <w:rsid w:val="001B4E06"/>
    <w:rsid w:val="001C0739"/>
    <w:rsid w:val="001C22A4"/>
    <w:rsid w:val="001C2F5A"/>
    <w:rsid w:val="001C4E60"/>
    <w:rsid w:val="001C5811"/>
    <w:rsid w:val="001C66B8"/>
    <w:rsid w:val="001D0B80"/>
    <w:rsid w:val="001D1693"/>
    <w:rsid w:val="001D6E5C"/>
    <w:rsid w:val="001D79B0"/>
    <w:rsid w:val="001F02B9"/>
    <w:rsid w:val="001F03A2"/>
    <w:rsid w:val="001F3B30"/>
    <w:rsid w:val="002007C7"/>
    <w:rsid w:val="00200F9C"/>
    <w:rsid w:val="00201732"/>
    <w:rsid w:val="00204FFE"/>
    <w:rsid w:val="0020530D"/>
    <w:rsid w:val="0020548E"/>
    <w:rsid w:val="002115AD"/>
    <w:rsid w:val="00214645"/>
    <w:rsid w:val="00223C2C"/>
    <w:rsid w:val="0022507F"/>
    <w:rsid w:val="002256AF"/>
    <w:rsid w:val="00226187"/>
    <w:rsid w:val="00231AC7"/>
    <w:rsid w:val="00234021"/>
    <w:rsid w:val="00237505"/>
    <w:rsid w:val="00237A2B"/>
    <w:rsid w:val="00245DFC"/>
    <w:rsid w:val="00260577"/>
    <w:rsid w:val="002619AF"/>
    <w:rsid w:val="0026530F"/>
    <w:rsid w:val="002655C8"/>
    <w:rsid w:val="002706A2"/>
    <w:rsid w:val="00272D89"/>
    <w:rsid w:val="00273B94"/>
    <w:rsid w:val="00284D83"/>
    <w:rsid w:val="00286A98"/>
    <w:rsid w:val="00291D74"/>
    <w:rsid w:val="00292F72"/>
    <w:rsid w:val="002A6431"/>
    <w:rsid w:val="002B0380"/>
    <w:rsid w:val="002B145F"/>
    <w:rsid w:val="002B56DD"/>
    <w:rsid w:val="002B5856"/>
    <w:rsid w:val="002B6D8B"/>
    <w:rsid w:val="002C0599"/>
    <w:rsid w:val="002C5797"/>
    <w:rsid w:val="002C633D"/>
    <w:rsid w:val="002C6992"/>
    <w:rsid w:val="002D5AB8"/>
    <w:rsid w:val="002E09A8"/>
    <w:rsid w:val="002E0CC3"/>
    <w:rsid w:val="002E1EBE"/>
    <w:rsid w:val="002E289A"/>
    <w:rsid w:val="002F654A"/>
    <w:rsid w:val="00300B6A"/>
    <w:rsid w:val="00301E2F"/>
    <w:rsid w:val="0030405F"/>
    <w:rsid w:val="003040D7"/>
    <w:rsid w:val="0030575A"/>
    <w:rsid w:val="00305F7B"/>
    <w:rsid w:val="00306F4A"/>
    <w:rsid w:val="0031698A"/>
    <w:rsid w:val="00320CB0"/>
    <w:rsid w:val="00321DBF"/>
    <w:rsid w:val="00324708"/>
    <w:rsid w:val="003248ED"/>
    <w:rsid w:val="00324E4E"/>
    <w:rsid w:val="003279B1"/>
    <w:rsid w:val="00345C4E"/>
    <w:rsid w:val="003466DB"/>
    <w:rsid w:val="00346E64"/>
    <w:rsid w:val="00353547"/>
    <w:rsid w:val="0035365B"/>
    <w:rsid w:val="00354C03"/>
    <w:rsid w:val="003578DD"/>
    <w:rsid w:val="00360872"/>
    <w:rsid w:val="003613E1"/>
    <w:rsid w:val="00362F8B"/>
    <w:rsid w:val="00371A3B"/>
    <w:rsid w:val="00372B38"/>
    <w:rsid w:val="00376B2A"/>
    <w:rsid w:val="0038030F"/>
    <w:rsid w:val="00380F47"/>
    <w:rsid w:val="003835E2"/>
    <w:rsid w:val="00386109"/>
    <w:rsid w:val="003928F8"/>
    <w:rsid w:val="00396566"/>
    <w:rsid w:val="003A0A16"/>
    <w:rsid w:val="003A21D8"/>
    <w:rsid w:val="003B046C"/>
    <w:rsid w:val="003B0F72"/>
    <w:rsid w:val="003B1CFD"/>
    <w:rsid w:val="003B1F7A"/>
    <w:rsid w:val="003B77CC"/>
    <w:rsid w:val="003C3A5B"/>
    <w:rsid w:val="003D159A"/>
    <w:rsid w:val="003E2F0D"/>
    <w:rsid w:val="003E3B08"/>
    <w:rsid w:val="003E723B"/>
    <w:rsid w:val="003F25BA"/>
    <w:rsid w:val="003F650E"/>
    <w:rsid w:val="00401633"/>
    <w:rsid w:val="004042DD"/>
    <w:rsid w:val="00407B3D"/>
    <w:rsid w:val="0041033E"/>
    <w:rsid w:val="00414C15"/>
    <w:rsid w:val="004164A1"/>
    <w:rsid w:val="00424AFB"/>
    <w:rsid w:val="00425DBE"/>
    <w:rsid w:val="004303DD"/>
    <w:rsid w:val="004362BC"/>
    <w:rsid w:val="0044179B"/>
    <w:rsid w:val="00447FF6"/>
    <w:rsid w:val="00450F51"/>
    <w:rsid w:val="00452512"/>
    <w:rsid w:val="004532FE"/>
    <w:rsid w:val="00456565"/>
    <w:rsid w:val="00463F8C"/>
    <w:rsid w:val="00465EFA"/>
    <w:rsid w:val="00473E7F"/>
    <w:rsid w:val="004741C5"/>
    <w:rsid w:val="00480590"/>
    <w:rsid w:val="004856CD"/>
    <w:rsid w:val="00485727"/>
    <w:rsid w:val="00485CA6"/>
    <w:rsid w:val="00491A8F"/>
    <w:rsid w:val="00492ED8"/>
    <w:rsid w:val="00493716"/>
    <w:rsid w:val="00493CF5"/>
    <w:rsid w:val="004942C0"/>
    <w:rsid w:val="004A09BE"/>
    <w:rsid w:val="004A199E"/>
    <w:rsid w:val="004A4A14"/>
    <w:rsid w:val="004A6554"/>
    <w:rsid w:val="004B0115"/>
    <w:rsid w:val="004B0B18"/>
    <w:rsid w:val="004B4BA1"/>
    <w:rsid w:val="004B4C46"/>
    <w:rsid w:val="004B5116"/>
    <w:rsid w:val="004B676F"/>
    <w:rsid w:val="004C5EFD"/>
    <w:rsid w:val="004C63D6"/>
    <w:rsid w:val="004C72B9"/>
    <w:rsid w:val="004D17DB"/>
    <w:rsid w:val="004E68FD"/>
    <w:rsid w:val="004E7D85"/>
    <w:rsid w:val="004F4100"/>
    <w:rsid w:val="0050597E"/>
    <w:rsid w:val="00510C2A"/>
    <w:rsid w:val="00515D56"/>
    <w:rsid w:val="005179C9"/>
    <w:rsid w:val="00520FE3"/>
    <w:rsid w:val="005240BE"/>
    <w:rsid w:val="00525648"/>
    <w:rsid w:val="00526BDB"/>
    <w:rsid w:val="00530658"/>
    <w:rsid w:val="00531A94"/>
    <w:rsid w:val="005344B7"/>
    <w:rsid w:val="005376A2"/>
    <w:rsid w:val="0054091E"/>
    <w:rsid w:val="0054291B"/>
    <w:rsid w:val="005449AE"/>
    <w:rsid w:val="00552C37"/>
    <w:rsid w:val="0055364C"/>
    <w:rsid w:val="005549B9"/>
    <w:rsid w:val="00556720"/>
    <w:rsid w:val="005743B5"/>
    <w:rsid w:val="00575C54"/>
    <w:rsid w:val="00580859"/>
    <w:rsid w:val="005A2966"/>
    <w:rsid w:val="005B0110"/>
    <w:rsid w:val="005B1D18"/>
    <w:rsid w:val="005B24F6"/>
    <w:rsid w:val="005C156E"/>
    <w:rsid w:val="005C49C8"/>
    <w:rsid w:val="005D3DAA"/>
    <w:rsid w:val="005D3ECD"/>
    <w:rsid w:val="005E4D29"/>
    <w:rsid w:val="005F0F13"/>
    <w:rsid w:val="005F24D2"/>
    <w:rsid w:val="005F2F1C"/>
    <w:rsid w:val="005F4024"/>
    <w:rsid w:val="0060037D"/>
    <w:rsid w:val="00600E91"/>
    <w:rsid w:val="006013ED"/>
    <w:rsid w:val="00612565"/>
    <w:rsid w:val="006127ED"/>
    <w:rsid w:val="006137E4"/>
    <w:rsid w:val="0061383D"/>
    <w:rsid w:val="00634B86"/>
    <w:rsid w:val="00636929"/>
    <w:rsid w:val="0064252E"/>
    <w:rsid w:val="006429C9"/>
    <w:rsid w:val="0064429B"/>
    <w:rsid w:val="006449C3"/>
    <w:rsid w:val="00645D69"/>
    <w:rsid w:val="00651750"/>
    <w:rsid w:val="0065469E"/>
    <w:rsid w:val="00661F39"/>
    <w:rsid w:val="0066281B"/>
    <w:rsid w:val="006660CF"/>
    <w:rsid w:val="00674235"/>
    <w:rsid w:val="00680599"/>
    <w:rsid w:val="00687781"/>
    <w:rsid w:val="006947FB"/>
    <w:rsid w:val="006952D5"/>
    <w:rsid w:val="006A0DA6"/>
    <w:rsid w:val="006A168D"/>
    <w:rsid w:val="006A586E"/>
    <w:rsid w:val="006C1ABF"/>
    <w:rsid w:val="006C3B20"/>
    <w:rsid w:val="006C4086"/>
    <w:rsid w:val="006C451B"/>
    <w:rsid w:val="006D2AC8"/>
    <w:rsid w:val="006D49A7"/>
    <w:rsid w:val="006D6278"/>
    <w:rsid w:val="006E2FA3"/>
    <w:rsid w:val="006E424D"/>
    <w:rsid w:val="006E43C9"/>
    <w:rsid w:val="006F0311"/>
    <w:rsid w:val="006F56D7"/>
    <w:rsid w:val="006F7ED5"/>
    <w:rsid w:val="00703995"/>
    <w:rsid w:val="00707CAD"/>
    <w:rsid w:val="007108C9"/>
    <w:rsid w:val="00712CD3"/>
    <w:rsid w:val="007205CF"/>
    <w:rsid w:val="00723E65"/>
    <w:rsid w:val="00724EFA"/>
    <w:rsid w:val="00732063"/>
    <w:rsid w:val="00736A68"/>
    <w:rsid w:val="00741AB0"/>
    <w:rsid w:val="00747697"/>
    <w:rsid w:val="00751819"/>
    <w:rsid w:val="00752D50"/>
    <w:rsid w:val="00756018"/>
    <w:rsid w:val="007603B4"/>
    <w:rsid w:val="00761777"/>
    <w:rsid w:val="00762623"/>
    <w:rsid w:val="00764DD9"/>
    <w:rsid w:val="0077140F"/>
    <w:rsid w:val="007741B6"/>
    <w:rsid w:val="00775C51"/>
    <w:rsid w:val="00776F76"/>
    <w:rsid w:val="00777887"/>
    <w:rsid w:val="00791727"/>
    <w:rsid w:val="00791D24"/>
    <w:rsid w:val="00795549"/>
    <w:rsid w:val="007A17E5"/>
    <w:rsid w:val="007A4C14"/>
    <w:rsid w:val="007A620C"/>
    <w:rsid w:val="007B6B02"/>
    <w:rsid w:val="007C16E8"/>
    <w:rsid w:val="007D5561"/>
    <w:rsid w:val="007E4AC0"/>
    <w:rsid w:val="007E4F49"/>
    <w:rsid w:val="007E5DE0"/>
    <w:rsid w:val="007F1EE6"/>
    <w:rsid w:val="007F6891"/>
    <w:rsid w:val="00804E1A"/>
    <w:rsid w:val="00805D83"/>
    <w:rsid w:val="00806EDE"/>
    <w:rsid w:val="008071F0"/>
    <w:rsid w:val="00811400"/>
    <w:rsid w:val="00811989"/>
    <w:rsid w:val="00815C4A"/>
    <w:rsid w:val="00822471"/>
    <w:rsid w:val="0083424E"/>
    <w:rsid w:val="008412BC"/>
    <w:rsid w:val="0084374D"/>
    <w:rsid w:val="00844A79"/>
    <w:rsid w:val="00846D29"/>
    <w:rsid w:val="0085153A"/>
    <w:rsid w:val="008548DD"/>
    <w:rsid w:val="00854B42"/>
    <w:rsid w:val="00854CD5"/>
    <w:rsid w:val="00855FFA"/>
    <w:rsid w:val="00861B25"/>
    <w:rsid w:val="00861D5F"/>
    <w:rsid w:val="00864691"/>
    <w:rsid w:val="00865407"/>
    <w:rsid w:val="008723C3"/>
    <w:rsid w:val="00877DC8"/>
    <w:rsid w:val="00884AA6"/>
    <w:rsid w:val="008865E7"/>
    <w:rsid w:val="00890662"/>
    <w:rsid w:val="0089085F"/>
    <w:rsid w:val="00892D79"/>
    <w:rsid w:val="008930DE"/>
    <w:rsid w:val="00896B7E"/>
    <w:rsid w:val="008A156F"/>
    <w:rsid w:val="008B0F04"/>
    <w:rsid w:val="008B4DAB"/>
    <w:rsid w:val="008C3C2B"/>
    <w:rsid w:val="008D2B8B"/>
    <w:rsid w:val="008E7EC1"/>
    <w:rsid w:val="008F1C5D"/>
    <w:rsid w:val="00901165"/>
    <w:rsid w:val="009033B0"/>
    <w:rsid w:val="00903DC7"/>
    <w:rsid w:val="00910AFB"/>
    <w:rsid w:val="00911647"/>
    <w:rsid w:val="0091572E"/>
    <w:rsid w:val="00917974"/>
    <w:rsid w:val="0092317A"/>
    <w:rsid w:val="00924397"/>
    <w:rsid w:val="00925736"/>
    <w:rsid w:val="00942E91"/>
    <w:rsid w:val="00943589"/>
    <w:rsid w:val="00944421"/>
    <w:rsid w:val="009460C5"/>
    <w:rsid w:val="0094628D"/>
    <w:rsid w:val="00947922"/>
    <w:rsid w:val="009517EC"/>
    <w:rsid w:val="00953499"/>
    <w:rsid w:val="00956D0D"/>
    <w:rsid w:val="0096038C"/>
    <w:rsid w:val="00963DBA"/>
    <w:rsid w:val="00967E6E"/>
    <w:rsid w:val="0097171C"/>
    <w:rsid w:val="00972A05"/>
    <w:rsid w:val="00986D8C"/>
    <w:rsid w:val="0098764F"/>
    <w:rsid w:val="00990D8F"/>
    <w:rsid w:val="00995D7C"/>
    <w:rsid w:val="00996D96"/>
    <w:rsid w:val="009A0399"/>
    <w:rsid w:val="009A38FE"/>
    <w:rsid w:val="009B0E59"/>
    <w:rsid w:val="009B1583"/>
    <w:rsid w:val="009B175B"/>
    <w:rsid w:val="009C397A"/>
    <w:rsid w:val="009D06CA"/>
    <w:rsid w:val="009D16E2"/>
    <w:rsid w:val="009D56B0"/>
    <w:rsid w:val="009D7DD8"/>
    <w:rsid w:val="009E1969"/>
    <w:rsid w:val="009E36D4"/>
    <w:rsid w:val="009F5D8C"/>
    <w:rsid w:val="009F7100"/>
    <w:rsid w:val="009F75B0"/>
    <w:rsid w:val="00A0005E"/>
    <w:rsid w:val="00A00E9D"/>
    <w:rsid w:val="00A02395"/>
    <w:rsid w:val="00A05F27"/>
    <w:rsid w:val="00A20AC0"/>
    <w:rsid w:val="00A244EE"/>
    <w:rsid w:val="00A25F3F"/>
    <w:rsid w:val="00A26730"/>
    <w:rsid w:val="00A30DCB"/>
    <w:rsid w:val="00A37C16"/>
    <w:rsid w:val="00A54D93"/>
    <w:rsid w:val="00A66E71"/>
    <w:rsid w:val="00A67B69"/>
    <w:rsid w:val="00A73452"/>
    <w:rsid w:val="00A737E3"/>
    <w:rsid w:val="00A77942"/>
    <w:rsid w:val="00A81678"/>
    <w:rsid w:val="00A8324B"/>
    <w:rsid w:val="00A92109"/>
    <w:rsid w:val="00A939F4"/>
    <w:rsid w:val="00A93A73"/>
    <w:rsid w:val="00A967CE"/>
    <w:rsid w:val="00AA2145"/>
    <w:rsid w:val="00AA2E74"/>
    <w:rsid w:val="00AA31F4"/>
    <w:rsid w:val="00AA4693"/>
    <w:rsid w:val="00AA7F11"/>
    <w:rsid w:val="00AB2BAB"/>
    <w:rsid w:val="00AB2F82"/>
    <w:rsid w:val="00AB30A7"/>
    <w:rsid w:val="00AB4143"/>
    <w:rsid w:val="00AB5446"/>
    <w:rsid w:val="00AB772D"/>
    <w:rsid w:val="00AC617F"/>
    <w:rsid w:val="00AD165C"/>
    <w:rsid w:val="00AD1E73"/>
    <w:rsid w:val="00AD4494"/>
    <w:rsid w:val="00AD7C27"/>
    <w:rsid w:val="00AE0115"/>
    <w:rsid w:val="00AE0741"/>
    <w:rsid w:val="00AE1882"/>
    <w:rsid w:val="00AE3FAC"/>
    <w:rsid w:val="00AE72A3"/>
    <w:rsid w:val="00AF1332"/>
    <w:rsid w:val="00AF2513"/>
    <w:rsid w:val="00B02A3A"/>
    <w:rsid w:val="00B04DC6"/>
    <w:rsid w:val="00B14CE0"/>
    <w:rsid w:val="00B2197D"/>
    <w:rsid w:val="00B223AD"/>
    <w:rsid w:val="00B25FC4"/>
    <w:rsid w:val="00B26123"/>
    <w:rsid w:val="00B27E12"/>
    <w:rsid w:val="00B27E2C"/>
    <w:rsid w:val="00B32963"/>
    <w:rsid w:val="00B40842"/>
    <w:rsid w:val="00B4192E"/>
    <w:rsid w:val="00B43164"/>
    <w:rsid w:val="00B47376"/>
    <w:rsid w:val="00B47962"/>
    <w:rsid w:val="00B47C0D"/>
    <w:rsid w:val="00B51CBB"/>
    <w:rsid w:val="00B76528"/>
    <w:rsid w:val="00B80E49"/>
    <w:rsid w:val="00B82238"/>
    <w:rsid w:val="00B834B7"/>
    <w:rsid w:val="00B9030E"/>
    <w:rsid w:val="00B92471"/>
    <w:rsid w:val="00BA666B"/>
    <w:rsid w:val="00BB5C7D"/>
    <w:rsid w:val="00BB7478"/>
    <w:rsid w:val="00BC5973"/>
    <w:rsid w:val="00BD12B3"/>
    <w:rsid w:val="00BD4795"/>
    <w:rsid w:val="00BD59F2"/>
    <w:rsid w:val="00BD6829"/>
    <w:rsid w:val="00BE196B"/>
    <w:rsid w:val="00BE287A"/>
    <w:rsid w:val="00BE6BB3"/>
    <w:rsid w:val="00BF286A"/>
    <w:rsid w:val="00BF53E8"/>
    <w:rsid w:val="00BF5B27"/>
    <w:rsid w:val="00BF6BE0"/>
    <w:rsid w:val="00C06319"/>
    <w:rsid w:val="00C06A5C"/>
    <w:rsid w:val="00C12CE8"/>
    <w:rsid w:val="00C22A98"/>
    <w:rsid w:val="00C24D58"/>
    <w:rsid w:val="00C25091"/>
    <w:rsid w:val="00C31A15"/>
    <w:rsid w:val="00C34324"/>
    <w:rsid w:val="00C4013D"/>
    <w:rsid w:val="00C4099B"/>
    <w:rsid w:val="00C442C4"/>
    <w:rsid w:val="00C46DB5"/>
    <w:rsid w:val="00C47374"/>
    <w:rsid w:val="00C47A96"/>
    <w:rsid w:val="00C55576"/>
    <w:rsid w:val="00C621A8"/>
    <w:rsid w:val="00C621DE"/>
    <w:rsid w:val="00C779E4"/>
    <w:rsid w:val="00C8288E"/>
    <w:rsid w:val="00C956B2"/>
    <w:rsid w:val="00C95788"/>
    <w:rsid w:val="00C95DBE"/>
    <w:rsid w:val="00CA0DF2"/>
    <w:rsid w:val="00CA1507"/>
    <w:rsid w:val="00CA2344"/>
    <w:rsid w:val="00CA4CB8"/>
    <w:rsid w:val="00CB1666"/>
    <w:rsid w:val="00CB7F9D"/>
    <w:rsid w:val="00CC1C3E"/>
    <w:rsid w:val="00CC7725"/>
    <w:rsid w:val="00CC79C1"/>
    <w:rsid w:val="00CD0858"/>
    <w:rsid w:val="00CD4ABE"/>
    <w:rsid w:val="00CD4AC4"/>
    <w:rsid w:val="00CE1D53"/>
    <w:rsid w:val="00CF02F7"/>
    <w:rsid w:val="00CF3844"/>
    <w:rsid w:val="00D00473"/>
    <w:rsid w:val="00D01197"/>
    <w:rsid w:val="00D06EA3"/>
    <w:rsid w:val="00D06FA2"/>
    <w:rsid w:val="00D10CC3"/>
    <w:rsid w:val="00D13AFA"/>
    <w:rsid w:val="00D20961"/>
    <w:rsid w:val="00D20C1B"/>
    <w:rsid w:val="00D31B6F"/>
    <w:rsid w:val="00D42682"/>
    <w:rsid w:val="00D526E8"/>
    <w:rsid w:val="00D5323A"/>
    <w:rsid w:val="00D54E71"/>
    <w:rsid w:val="00D56B9E"/>
    <w:rsid w:val="00D57539"/>
    <w:rsid w:val="00D60EFC"/>
    <w:rsid w:val="00D634C0"/>
    <w:rsid w:val="00D6486C"/>
    <w:rsid w:val="00D67FB0"/>
    <w:rsid w:val="00D713A4"/>
    <w:rsid w:val="00D85651"/>
    <w:rsid w:val="00D92FB1"/>
    <w:rsid w:val="00D93637"/>
    <w:rsid w:val="00D94A42"/>
    <w:rsid w:val="00D94E89"/>
    <w:rsid w:val="00DA22AA"/>
    <w:rsid w:val="00DA3DB6"/>
    <w:rsid w:val="00DA53F8"/>
    <w:rsid w:val="00DB3351"/>
    <w:rsid w:val="00DB60C8"/>
    <w:rsid w:val="00DC2807"/>
    <w:rsid w:val="00DC346B"/>
    <w:rsid w:val="00DC36BD"/>
    <w:rsid w:val="00DC7B16"/>
    <w:rsid w:val="00DD19AF"/>
    <w:rsid w:val="00DD3217"/>
    <w:rsid w:val="00DD3B55"/>
    <w:rsid w:val="00DD42F7"/>
    <w:rsid w:val="00DD4497"/>
    <w:rsid w:val="00DD76BD"/>
    <w:rsid w:val="00DE3584"/>
    <w:rsid w:val="00DE4187"/>
    <w:rsid w:val="00DF18EA"/>
    <w:rsid w:val="00DF32EE"/>
    <w:rsid w:val="00DF6114"/>
    <w:rsid w:val="00E03E40"/>
    <w:rsid w:val="00E0795F"/>
    <w:rsid w:val="00E2010D"/>
    <w:rsid w:val="00E219F7"/>
    <w:rsid w:val="00E24877"/>
    <w:rsid w:val="00E32ED7"/>
    <w:rsid w:val="00E33745"/>
    <w:rsid w:val="00E338FE"/>
    <w:rsid w:val="00E40EF8"/>
    <w:rsid w:val="00E46725"/>
    <w:rsid w:val="00E559CA"/>
    <w:rsid w:val="00E56379"/>
    <w:rsid w:val="00E60C08"/>
    <w:rsid w:val="00E6317A"/>
    <w:rsid w:val="00E64586"/>
    <w:rsid w:val="00E6626B"/>
    <w:rsid w:val="00E7014C"/>
    <w:rsid w:val="00E870C2"/>
    <w:rsid w:val="00E9087A"/>
    <w:rsid w:val="00E92D60"/>
    <w:rsid w:val="00E953FB"/>
    <w:rsid w:val="00E954EC"/>
    <w:rsid w:val="00EA095C"/>
    <w:rsid w:val="00EA3935"/>
    <w:rsid w:val="00EA5945"/>
    <w:rsid w:val="00EA6D67"/>
    <w:rsid w:val="00EC1B4D"/>
    <w:rsid w:val="00EC2AAC"/>
    <w:rsid w:val="00EC5937"/>
    <w:rsid w:val="00ED1461"/>
    <w:rsid w:val="00ED3A2F"/>
    <w:rsid w:val="00ED41A4"/>
    <w:rsid w:val="00ED42F5"/>
    <w:rsid w:val="00ED49CB"/>
    <w:rsid w:val="00ED5AA7"/>
    <w:rsid w:val="00ED6D1C"/>
    <w:rsid w:val="00ED7ECC"/>
    <w:rsid w:val="00EE09CF"/>
    <w:rsid w:val="00EE52DB"/>
    <w:rsid w:val="00EF037D"/>
    <w:rsid w:val="00EF1691"/>
    <w:rsid w:val="00EF56E4"/>
    <w:rsid w:val="00EF777D"/>
    <w:rsid w:val="00F04C14"/>
    <w:rsid w:val="00F07D42"/>
    <w:rsid w:val="00F108BC"/>
    <w:rsid w:val="00F10A33"/>
    <w:rsid w:val="00F12660"/>
    <w:rsid w:val="00F133CE"/>
    <w:rsid w:val="00F145E7"/>
    <w:rsid w:val="00F149C4"/>
    <w:rsid w:val="00F27BF6"/>
    <w:rsid w:val="00F30184"/>
    <w:rsid w:val="00F3060C"/>
    <w:rsid w:val="00F3652A"/>
    <w:rsid w:val="00F467EA"/>
    <w:rsid w:val="00F54A81"/>
    <w:rsid w:val="00F5593E"/>
    <w:rsid w:val="00F63CAE"/>
    <w:rsid w:val="00F641F1"/>
    <w:rsid w:val="00F654B7"/>
    <w:rsid w:val="00F65F53"/>
    <w:rsid w:val="00F70F67"/>
    <w:rsid w:val="00F734DC"/>
    <w:rsid w:val="00F74758"/>
    <w:rsid w:val="00F7600D"/>
    <w:rsid w:val="00F767D5"/>
    <w:rsid w:val="00F80944"/>
    <w:rsid w:val="00F828CB"/>
    <w:rsid w:val="00F8317C"/>
    <w:rsid w:val="00F843C9"/>
    <w:rsid w:val="00F8600E"/>
    <w:rsid w:val="00F86DBB"/>
    <w:rsid w:val="00F9327D"/>
    <w:rsid w:val="00F94BC6"/>
    <w:rsid w:val="00F9525D"/>
    <w:rsid w:val="00F9525F"/>
    <w:rsid w:val="00F977C3"/>
    <w:rsid w:val="00F978C7"/>
    <w:rsid w:val="00FA0B8A"/>
    <w:rsid w:val="00FA2DDA"/>
    <w:rsid w:val="00FA46E2"/>
    <w:rsid w:val="00FA6517"/>
    <w:rsid w:val="00FA7559"/>
    <w:rsid w:val="00FB0098"/>
    <w:rsid w:val="00FB12B2"/>
    <w:rsid w:val="00FB686D"/>
    <w:rsid w:val="00FC49F5"/>
    <w:rsid w:val="00FC5DC2"/>
    <w:rsid w:val="00FC767D"/>
    <w:rsid w:val="00FD3E49"/>
    <w:rsid w:val="00FD5AE5"/>
    <w:rsid w:val="00FD61D2"/>
    <w:rsid w:val="00FE2A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C72B20"/>
  <w15:chartTrackingRefBased/>
  <w15:docId w15:val="{54F14813-BE35-4F45-AB8E-87E52DCB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575A"/>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numPr>
        <w:ilvl w:val="7"/>
        <w:numId w:val="5"/>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numPr>
        <w:ilvl w:val="8"/>
        <w:numId w:val="5"/>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30575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SingleTxt"/>
    <w:rsid w:val="0030575A"/>
    <w:pPr>
      <w:spacing w:line="300" w:lineRule="exact"/>
      <w:ind w:left="0" w:right="0" w:firstLine="0"/>
    </w:pPr>
    <w:rPr>
      <w:spacing w:val="-2"/>
      <w:sz w:val="28"/>
    </w:rPr>
  </w:style>
  <w:style w:type="paragraph" w:customStyle="1" w:styleId="HM">
    <w:name w:val="_ H __M"/>
    <w:basedOn w:val="HCh"/>
    <w:next w:val="Normal"/>
    <w:rsid w:val="0030575A"/>
    <w:pPr>
      <w:spacing w:line="360" w:lineRule="exact"/>
    </w:pPr>
    <w:rPr>
      <w:spacing w:val="-3"/>
      <w:w w:val="99"/>
      <w:sz w:val="34"/>
    </w:rPr>
  </w:style>
  <w:style w:type="paragraph" w:customStyle="1" w:styleId="H23">
    <w:name w:val="_ H_2/3"/>
    <w:basedOn w:val="H1"/>
    <w:next w:val="SingleTxt"/>
    <w:rsid w:val="0030575A"/>
    <w:pPr>
      <w:spacing w:line="240" w:lineRule="exact"/>
      <w:outlineLvl w:val="1"/>
    </w:pPr>
    <w:rPr>
      <w:spacing w:val="2"/>
      <w:sz w:val="20"/>
    </w:rPr>
  </w:style>
  <w:style w:type="paragraph" w:customStyle="1" w:styleId="H4">
    <w:name w:val="_ H_4"/>
    <w:basedOn w:val="Normal"/>
    <w:next w:val="SingleTxt"/>
    <w:rsid w:val="0030575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30575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30575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0575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30575A"/>
    <w:pPr>
      <w:spacing w:line="540" w:lineRule="exact"/>
    </w:pPr>
    <w:rPr>
      <w:spacing w:val="-8"/>
      <w:w w:val="96"/>
      <w:sz w:val="57"/>
    </w:rPr>
  </w:style>
  <w:style w:type="paragraph" w:customStyle="1" w:styleId="SS">
    <w:name w:val="__S_S"/>
    <w:basedOn w:val="HCh"/>
    <w:next w:val="Normal"/>
    <w:rsid w:val="0030575A"/>
    <w:pPr>
      <w:ind w:left="1267" w:right="1267"/>
    </w:pPr>
  </w:style>
  <w:style w:type="paragraph" w:customStyle="1" w:styleId="SingleTxt">
    <w:name w:val="__Single Txt"/>
    <w:basedOn w:val="Normal"/>
    <w:link w:val="SingleTxtChar"/>
    <w:qFormat/>
    <w:rsid w:val="0030575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30575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30575A"/>
    <w:pPr>
      <w:keepNext w:val="0"/>
      <w:keepLines w:val="0"/>
    </w:pPr>
  </w:style>
  <w:style w:type="paragraph" w:customStyle="1" w:styleId="AgendaTitleH2">
    <w:name w:val="Agenda_Title_H2"/>
    <w:basedOn w:val="TitleH1"/>
    <w:next w:val="Normal"/>
    <w:qFormat/>
    <w:rsid w:val="0030575A"/>
    <w:pPr>
      <w:keepNext/>
      <w:keepLines/>
      <w:spacing w:line="240" w:lineRule="exact"/>
      <w:ind w:left="0" w:firstLine="0"/>
      <w:outlineLvl w:val="1"/>
    </w:pPr>
    <w:rPr>
      <w:sz w:val="20"/>
    </w:rPr>
  </w:style>
  <w:style w:type="paragraph" w:styleId="BalloonText">
    <w:name w:val="Balloon Text"/>
    <w:basedOn w:val="Normal"/>
    <w:link w:val="BalloonTextChar"/>
    <w:semiHidden/>
    <w:rsid w:val="0030575A"/>
    <w:rPr>
      <w:rFonts w:ascii="Tahoma" w:hAnsi="Tahoma" w:cs="Tahoma"/>
      <w:sz w:val="16"/>
      <w:szCs w:val="16"/>
    </w:rPr>
  </w:style>
  <w:style w:type="character" w:customStyle="1" w:styleId="BalloonTextChar">
    <w:name w:val="Balloon Text Char"/>
    <w:basedOn w:val="DefaultParagraphFont"/>
    <w:link w:val="BalloonText"/>
    <w:semiHidden/>
    <w:rsid w:val="0030575A"/>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30575A"/>
    <w:pPr>
      <w:numPr>
        <w:numId w:val="3"/>
      </w:numPr>
      <w:spacing w:after="120"/>
      <w:ind w:right="1267"/>
      <w:jc w:val="both"/>
    </w:pPr>
  </w:style>
  <w:style w:type="paragraph" w:customStyle="1" w:styleId="Bullet2">
    <w:name w:val="Bullet 2"/>
    <w:basedOn w:val="Normal"/>
    <w:qFormat/>
    <w:rsid w:val="003A0A16"/>
    <w:pPr>
      <w:numPr>
        <w:numId w:val="1"/>
      </w:numPr>
      <w:spacing w:after="120"/>
      <w:ind w:right="1264"/>
      <w:jc w:val="both"/>
    </w:pPr>
  </w:style>
  <w:style w:type="paragraph" w:customStyle="1" w:styleId="Bullet3">
    <w:name w:val="Bullet 3"/>
    <w:basedOn w:val="SingleTxt"/>
    <w:qFormat/>
    <w:rsid w:val="0030575A"/>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30575A"/>
    <w:rPr>
      <w:sz w:val="6"/>
    </w:rPr>
  </w:style>
  <w:style w:type="paragraph" w:customStyle="1" w:styleId="Distribution">
    <w:name w:val="Distribution"/>
    <w:next w:val="Normal"/>
    <w:rsid w:val="0030575A"/>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30575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OOTNOTES,Fo,Footnote Text Char Char,Footnote Text Char Char1 Char Char,Footnote Text Char Char1 Char Char Char Char,Footnote Text Char1 Char Char,Footnote Text Char1 Char Char Char Char,fn,Footnote Text Char1"/>
    <w:basedOn w:val="Normal"/>
    <w:link w:val="FootnoteTextChar"/>
    <w:uiPriority w:val="99"/>
    <w:qFormat/>
    <w:rsid w:val="0030575A"/>
    <w:pPr>
      <w:widowControl w:val="0"/>
      <w:tabs>
        <w:tab w:val="right" w:pos="418"/>
      </w:tabs>
      <w:spacing w:line="210" w:lineRule="exact"/>
      <w:ind w:left="475" w:hanging="475"/>
    </w:pPr>
    <w:rPr>
      <w:spacing w:val="5"/>
      <w:sz w:val="17"/>
    </w:rPr>
  </w:style>
  <w:style w:type="character" w:customStyle="1" w:styleId="FootnoteTextChar">
    <w:name w:val="Footnote Text Char"/>
    <w:aliases w:val="FOOTNOTES Char,Fo Char,Footnote Text Char Char Char,Footnote Text Char Char1 Char Char Char,Footnote Text Char Char1 Char Char Char Char Char,Footnote Text Char1 Char Char Char,Footnote Text Char1 Char Char Char Char Char,fn Char"/>
    <w:basedOn w:val="DefaultParagraphFont"/>
    <w:link w:val="FootnoteText"/>
    <w:uiPriority w:val="99"/>
    <w:qFormat/>
    <w:rsid w:val="0030575A"/>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30575A"/>
  </w:style>
  <w:style w:type="character" w:customStyle="1" w:styleId="EndnoteTextChar">
    <w:name w:val="Endnote Text Char"/>
    <w:basedOn w:val="DefaultParagraphFont"/>
    <w:link w:val="EndnoteText"/>
    <w:semiHidden/>
    <w:rsid w:val="0030575A"/>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30575A"/>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30575A"/>
    <w:rPr>
      <w:rFonts w:ascii="Times New Roman" w:eastAsiaTheme="minorHAnsi" w:hAnsi="Times New Roman" w:cs="Times New Roman"/>
      <w:b/>
      <w:noProof/>
      <w:sz w:val="17"/>
      <w:szCs w:val="20"/>
      <w:lang w:val="en-US" w:eastAsia="en-US"/>
    </w:rPr>
  </w:style>
  <w:style w:type="character" w:styleId="FootnoteReference">
    <w:name w:val="footnote reference"/>
    <w:aliases w:val="de nota al pie,BVI fnr,Footnote,Footnote number,Ref,Ref. de nota al pie,Referencia nota al pie,ftref,Знак сноски 1, de nota al pie"/>
    <w:uiPriority w:val="99"/>
    <w:qFormat/>
    <w:rsid w:val="0030575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30575A"/>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30575A"/>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30575A"/>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2"/>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30575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30575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30575A"/>
    <w:pPr>
      <w:tabs>
        <w:tab w:val="right" w:pos="9965"/>
      </w:tabs>
      <w:spacing w:line="210" w:lineRule="exact"/>
    </w:pPr>
    <w:rPr>
      <w:spacing w:val="5"/>
      <w:w w:val="104"/>
      <w:sz w:val="17"/>
    </w:rPr>
  </w:style>
  <w:style w:type="paragraph" w:customStyle="1" w:styleId="SmallX">
    <w:name w:val="SmallX"/>
    <w:basedOn w:val="Small"/>
    <w:next w:val="Normal"/>
    <w:rsid w:val="0030575A"/>
    <w:pPr>
      <w:spacing w:line="180" w:lineRule="exact"/>
      <w:jc w:val="right"/>
    </w:pPr>
    <w:rPr>
      <w:spacing w:val="6"/>
      <w:w w:val="106"/>
      <w:sz w:val="14"/>
    </w:rPr>
  </w:style>
  <w:style w:type="paragraph" w:customStyle="1" w:styleId="TitleHCH">
    <w:name w:val="Title_H_CH"/>
    <w:basedOn w:val="Normal"/>
    <w:next w:val="SingleTxt"/>
    <w:qFormat/>
    <w:rsid w:val="0030575A"/>
  </w:style>
  <w:style w:type="paragraph" w:customStyle="1" w:styleId="TitleH2">
    <w:name w:val="Title_H2"/>
    <w:basedOn w:val="H23"/>
    <w:qFormat/>
    <w:rsid w:val="0030575A"/>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30575A"/>
    <w:pPr>
      <w:spacing w:line="390" w:lineRule="exact"/>
    </w:pPr>
    <w:rPr>
      <w:spacing w:val="-4"/>
      <w:w w:val="98"/>
      <w:sz w:val="40"/>
    </w:rPr>
  </w:style>
  <w:style w:type="character" w:styleId="Hyperlink">
    <w:name w:val="Hyperlink"/>
    <w:basedOn w:val="DefaultParagraphFont"/>
    <w:rsid w:val="0030575A"/>
    <w:rPr>
      <w:color w:val="0000FF" w:themeColor="hyperlink"/>
      <w:u w:val="none"/>
    </w:rPr>
  </w:style>
  <w:style w:type="paragraph" w:styleId="PlainText">
    <w:name w:val="Plain Text"/>
    <w:basedOn w:val="Normal"/>
    <w:link w:val="PlainTextChar"/>
    <w:rsid w:val="0030575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30575A"/>
    <w:rPr>
      <w:rFonts w:ascii="Courier New" w:eastAsia="Times New Roman" w:hAnsi="Courier New" w:cs="Times New Roman"/>
      <w:sz w:val="20"/>
      <w:szCs w:val="20"/>
      <w:lang w:val="en-US" w:eastAsia="en-GB"/>
    </w:rPr>
  </w:style>
  <w:style w:type="paragraph" w:customStyle="1" w:styleId="ReleaseDate0">
    <w:name w:val="Release Date"/>
    <w:next w:val="Footer"/>
    <w:rsid w:val="0030575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30575A"/>
    <w:pPr>
      <w:ind w:left="0" w:firstLine="0"/>
    </w:pPr>
    <w:rPr>
      <w:spacing w:val="4"/>
    </w:rPr>
  </w:style>
  <w:style w:type="table" w:styleId="TableGrid">
    <w:name w:val="Table Grid"/>
    <w:basedOn w:val="TableNormal"/>
    <w:rsid w:val="0030575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D713A4"/>
    <w:pPr>
      <w:spacing w:line="240" w:lineRule="auto"/>
    </w:pPr>
  </w:style>
  <w:style w:type="character" w:customStyle="1" w:styleId="CommentTextChar">
    <w:name w:val="Comment Text Char"/>
    <w:basedOn w:val="DefaultParagraphFont"/>
    <w:link w:val="CommentText"/>
    <w:uiPriority w:val="99"/>
    <w:semiHidden/>
    <w:rsid w:val="00D713A4"/>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713A4"/>
    <w:rPr>
      <w:b/>
      <w:bCs/>
    </w:rPr>
  </w:style>
  <w:style w:type="character" w:customStyle="1" w:styleId="CommentSubjectChar">
    <w:name w:val="Comment Subject Char"/>
    <w:basedOn w:val="CommentTextChar"/>
    <w:link w:val="CommentSubject"/>
    <w:uiPriority w:val="99"/>
    <w:semiHidden/>
    <w:rsid w:val="00D713A4"/>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EA095C"/>
    <w:pPr>
      <w:ind w:left="720"/>
      <w:contextualSpacing/>
    </w:pPr>
  </w:style>
  <w:style w:type="character" w:styleId="Emphasis">
    <w:name w:val="Emphasis"/>
    <w:basedOn w:val="DefaultParagraphFont"/>
    <w:uiPriority w:val="20"/>
    <w:qFormat/>
    <w:rsid w:val="00A00E9D"/>
    <w:rPr>
      <w:i/>
      <w:iCs/>
    </w:rPr>
  </w:style>
  <w:style w:type="character" w:styleId="Strong">
    <w:name w:val="Strong"/>
    <w:basedOn w:val="DefaultParagraphFont"/>
    <w:uiPriority w:val="22"/>
    <w:qFormat/>
    <w:rsid w:val="00A00E9D"/>
    <w:rPr>
      <w:b/>
      <w:bCs/>
    </w:rPr>
  </w:style>
  <w:style w:type="paragraph" w:styleId="Revision">
    <w:name w:val="Revision"/>
    <w:hidden/>
    <w:uiPriority w:val="99"/>
    <w:semiHidden/>
    <w:rsid w:val="00E03E40"/>
    <w:pPr>
      <w:spacing w:after="0" w:line="240" w:lineRule="auto"/>
    </w:pPr>
    <w:rPr>
      <w:rFonts w:ascii="Times New Roman" w:eastAsiaTheme="minorHAnsi" w:hAnsi="Times New Roman" w:cs="Times New Roman"/>
      <w:spacing w:val="4"/>
      <w:w w:val="103"/>
      <w:kern w:val="14"/>
      <w:sz w:val="20"/>
      <w:szCs w:val="20"/>
      <w:lang w:eastAsia="en-US"/>
    </w:rPr>
  </w:style>
  <w:style w:type="character" w:styleId="UnresolvedMention">
    <w:name w:val="Unresolved Mention"/>
    <w:basedOn w:val="DefaultParagraphFont"/>
    <w:uiPriority w:val="99"/>
    <w:semiHidden/>
    <w:unhideWhenUsed/>
    <w:rsid w:val="002E0CC3"/>
    <w:rPr>
      <w:color w:val="605E5C"/>
      <w:shd w:val="clear" w:color="auto" w:fill="E1DFDD"/>
    </w:rPr>
  </w:style>
  <w:style w:type="character" w:customStyle="1" w:styleId="SingleTxtChar">
    <w:name w:val="__Single Txt Char"/>
    <w:basedOn w:val="DefaultParagraphFont"/>
    <w:link w:val="SingleTxt"/>
    <w:qFormat/>
    <w:rsid w:val="00306F4A"/>
    <w:rPr>
      <w:rFonts w:ascii="Times New Roman" w:eastAsiaTheme="minorHAnsi" w:hAnsi="Times New Roman" w:cs="Times New Roman"/>
      <w:spacing w:val="4"/>
      <w:w w:val="103"/>
      <w:kern w:val="14"/>
      <w:sz w:val="20"/>
      <w:szCs w:val="20"/>
      <w:lang w:eastAsia="en-US"/>
    </w:rPr>
  </w:style>
  <w:style w:type="table" w:styleId="PlainTable5">
    <w:name w:val="Plain Table 5"/>
    <w:basedOn w:val="TableNormal"/>
    <w:uiPriority w:val="45"/>
    <w:rsid w:val="00301E2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D31B6F"/>
    <w:pPr>
      <w:spacing w:after="0" w:line="240" w:lineRule="auto"/>
    </w:pPr>
    <w:rPr>
      <w:rFonts w:eastAsiaTheme="minorHAns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2912">
      <w:bodyDiv w:val="1"/>
      <w:marLeft w:val="0"/>
      <w:marRight w:val="0"/>
      <w:marTop w:val="0"/>
      <w:marBottom w:val="0"/>
      <w:divBdr>
        <w:top w:val="none" w:sz="0" w:space="0" w:color="auto"/>
        <w:left w:val="none" w:sz="0" w:space="0" w:color="auto"/>
        <w:bottom w:val="none" w:sz="0" w:space="0" w:color="auto"/>
        <w:right w:val="none" w:sz="0" w:space="0" w:color="auto"/>
      </w:divBdr>
    </w:div>
    <w:div w:id="187332065">
      <w:bodyDiv w:val="1"/>
      <w:marLeft w:val="0"/>
      <w:marRight w:val="0"/>
      <w:marTop w:val="0"/>
      <w:marBottom w:val="0"/>
      <w:divBdr>
        <w:top w:val="none" w:sz="0" w:space="0" w:color="auto"/>
        <w:left w:val="none" w:sz="0" w:space="0" w:color="auto"/>
        <w:bottom w:val="none" w:sz="0" w:space="0" w:color="auto"/>
        <w:right w:val="none" w:sz="0" w:space="0" w:color="auto"/>
      </w:divBdr>
    </w:div>
    <w:div w:id="242954456">
      <w:bodyDiv w:val="1"/>
      <w:marLeft w:val="0"/>
      <w:marRight w:val="0"/>
      <w:marTop w:val="0"/>
      <w:marBottom w:val="0"/>
      <w:divBdr>
        <w:top w:val="none" w:sz="0" w:space="0" w:color="auto"/>
        <w:left w:val="none" w:sz="0" w:space="0" w:color="auto"/>
        <w:bottom w:val="none" w:sz="0" w:space="0" w:color="auto"/>
        <w:right w:val="none" w:sz="0" w:space="0" w:color="auto"/>
      </w:divBdr>
      <w:divsChild>
        <w:div w:id="61147190">
          <w:marLeft w:val="0"/>
          <w:marRight w:val="0"/>
          <w:marTop w:val="0"/>
          <w:marBottom w:val="0"/>
          <w:divBdr>
            <w:top w:val="none" w:sz="0" w:space="0" w:color="auto"/>
            <w:left w:val="none" w:sz="0" w:space="0" w:color="auto"/>
            <w:bottom w:val="none" w:sz="0" w:space="0" w:color="auto"/>
            <w:right w:val="none" w:sz="0" w:space="0" w:color="auto"/>
          </w:divBdr>
          <w:divsChild>
            <w:div w:id="538932125">
              <w:blockQuote w:val="1"/>
              <w:marLeft w:val="0"/>
              <w:marRight w:val="0"/>
              <w:marTop w:val="0"/>
              <w:marBottom w:val="0"/>
              <w:divBdr>
                <w:top w:val="none" w:sz="0" w:space="0" w:color="auto"/>
                <w:left w:val="none" w:sz="0" w:space="0" w:color="auto"/>
                <w:bottom w:val="none" w:sz="0" w:space="0" w:color="auto"/>
                <w:right w:val="none" w:sz="0" w:space="0" w:color="auto"/>
              </w:divBdr>
            </w:div>
            <w:div w:id="582033729">
              <w:blockQuote w:val="1"/>
              <w:marLeft w:val="0"/>
              <w:marRight w:val="0"/>
              <w:marTop w:val="0"/>
              <w:marBottom w:val="0"/>
              <w:divBdr>
                <w:top w:val="none" w:sz="0" w:space="0" w:color="auto"/>
                <w:left w:val="none" w:sz="0" w:space="0" w:color="auto"/>
                <w:bottom w:val="none" w:sz="0" w:space="0" w:color="auto"/>
                <w:right w:val="none" w:sz="0" w:space="0" w:color="auto"/>
              </w:divBdr>
            </w:div>
            <w:div w:id="1128282272">
              <w:blockQuote w:val="1"/>
              <w:marLeft w:val="0"/>
              <w:marRight w:val="0"/>
              <w:marTop w:val="0"/>
              <w:marBottom w:val="0"/>
              <w:divBdr>
                <w:top w:val="none" w:sz="0" w:space="0" w:color="auto"/>
                <w:left w:val="none" w:sz="0" w:space="0" w:color="auto"/>
                <w:bottom w:val="none" w:sz="0" w:space="0" w:color="auto"/>
                <w:right w:val="none" w:sz="0" w:space="0" w:color="auto"/>
              </w:divBdr>
            </w:div>
            <w:div w:id="1435712574">
              <w:marLeft w:val="0"/>
              <w:marRight w:val="0"/>
              <w:marTop w:val="0"/>
              <w:marBottom w:val="435"/>
              <w:divBdr>
                <w:top w:val="none" w:sz="0" w:space="0" w:color="auto"/>
                <w:left w:val="none" w:sz="0" w:space="0" w:color="auto"/>
                <w:bottom w:val="none" w:sz="0" w:space="0" w:color="auto"/>
                <w:right w:val="none" w:sz="0" w:space="0" w:color="auto"/>
              </w:divBdr>
            </w:div>
            <w:div w:id="1645890285">
              <w:blockQuote w:val="1"/>
              <w:marLeft w:val="0"/>
              <w:marRight w:val="0"/>
              <w:marTop w:val="0"/>
              <w:marBottom w:val="0"/>
              <w:divBdr>
                <w:top w:val="none" w:sz="0" w:space="0" w:color="auto"/>
                <w:left w:val="none" w:sz="0" w:space="0" w:color="auto"/>
                <w:bottom w:val="none" w:sz="0" w:space="0" w:color="auto"/>
                <w:right w:val="none" w:sz="0" w:space="0" w:color="auto"/>
              </w:divBdr>
            </w:div>
            <w:div w:id="1880311655">
              <w:blockQuote w:val="1"/>
              <w:marLeft w:val="0"/>
              <w:marRight w:val="0"/>
              <w:marTop w:val="0"/>
              <w:marBottom w:val="0"/>
              <w:divBdr>
                <w:top w:val="none" w:sz="0" w:space="0" w:color="auto"/>
                <w:left w:val="none" w:sz="0" w:space="0" w:color="auto"/>
                <w:bottom w:val="none" w:sz="0" w:space="0" w:color="auto"/>
                <w:right w:val="none" w:sz="0" w:space="0" w:color="auto"/>
              </w:divBdr>
            </w:div>
            <w:div w:id="19184399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18189">
      <w:bodyDiv w:val="1"/>
      <w:marLeft w:val="0"/>
      <w:marRight w:val="0"/>
      <w:marTop w:val="0"/>
      <w:marBottom w:val="0"/>
      <w:divBdr>
        <w:top w:val="none" w:sz="0" w:space="0" w:color="auto"/>
        <w:left w:val="none" w:sz="0" w:space="0" w:color="auto"/>
        <w:bottom w:val="none" w:sz="0" w:space="0" w:color="auto"/>
        <w:right w:val="none" w:sz="0" w:space="0" w:color="auto"/>
      </w:divBdr>
    </w:div>
    <w:div w:id="812722787">
      <w:bodyDiv w:val="1"/>
      <w:marLeft w:val="0"/>
      <w:marRight w:val="0"/>
      <w:marTop w:val="0"/>
      <w:marBottom w:val="0"/>
      <w:divBdr>
        <w:top w:val="none" w:sz="0" w:space="0" w:color="auto"/>
        <w:left w:val="none" w:sz="0" w:space="0" w:color="auto"/>
        <w:bottom w:val="none" w:sz="0" w:space="0" w:color="auto"/>
        <w:right w:val="none" w:sz="0" w:space="0" w:color="auto"/>
      </w:divBdr>
      <w:divsChild>
        <w:div w:id="345638019">
          <w:marLeft w:val="547"/>
          <w:marRight w:val="0"/>
          <w:marTop w:val="0"/>
          <w:marBottom w:val="0"/>
          <w:divBdr>
            <w:top w:val="none" w:sz="0" w:space="0" w:color="auto"/>
            <w:left w:val="none" w:sz="0" w:space="0" w:color="auto"/>
            <w:bottom w:val="none" w:sz="0" w:space="0" w:color="auto"/>
            <w:right w:val="none" w:sz="0" w:space="0" w:color="auto"/>
          </w:divBdr>
        </w:div>
      </w:divsChild>
    </w:div>
    <w:div w:id="948270487">
      <w:bodyDiv w:val="1"/>
      <w:marLeft w:val="0"/>
      <w:marRight w:val="0"/>
      <w:marTop w:val="0"/>
      <w:marBottom w:val="0"/>
      <w:divBdr>
        <w:top w:val="none" w:sz="0" w:space="0" w:color="auto"/>
        <w:left w:val="none" w:sz="0" w:space="0" w:color="auto"/>
        <w:bottom w:val="none" w:sz="0" w:space="0" w:color="auto"/>
        <w:right w:val="none" w:sz="0" w:space="0" w:color="auto"/>
      </w:divBdr>
    </w:div>
    <w:div w:id="978268563">
      <w:bodyDiv w:val="1"/>
      <w:marLeft w:val="0"/>
      <w:marRight w:val="0"/>
      <w:marTop w:val="0"/>
      <w:marBottom w:val="0"/>
      <w:divBdr>
        <w:top w:val="none" w:sz="0" w:space="0" w:color="auto"/>
        <w:left w:val="none" w:sz="0" w:space="0" w:color="auto"/>
        <w:bottom w:val="none" w:sz="0" w:space="0" w:color="auto"/>
        <w:right w:val="none" w:sz="0" w:space="0" w:color="auto"/>
      </w:divBdr>
    </w:div>
    <w:div w:id="1012337914">
      <w:bodyDiv w:val="1"/>
      <w:marLeft w:val="0"/>
      <w:marRight w:val="0"/>
      <w:marTop w:val="0"/>
      <w:marBottom w:val="0"/>
      <w:divBdr>
        <w:top w:val="none" w:sz="0" w:space="0" w:color="auto"/>
        <w:left w:val="none" w:sz="0" w:space="0" w:color="auto"/>
        <w:bottom w:val="none" w:sz="0" w:space="0" w:color="auto"/>
        <w:right w:val="none" w:sz="0" w:space="0" w:color="auto"/>
      </w:divBdr>
      <w:divsChild>
        <w:div w:id="1144615600">
          <w:marLeft w:val="0"/>
          <w:marRight w:val="0"/>
          <w:marTop w:val="0"/>
          <w:marBottom w:val="0"/>
          <w:divBdr>
            <w:top w:val="none" w:sz="0" w:space="0" w:color="auto"/>
            <w:left w:val="none" w:sz="0" w:space="0" w:color="auto"/>
            <w:bottom w:val="none" w:sz="0" w:space="0" w:color="auto"/>
            <w:right w:val="none" w:sz="0" w:space="0" w:color="auto"/>
          </w:divBdr>
        </w:div>
        <w:div w:id="1674843376">
          <w:marLeft w:val="0"/>
          <w:marRight w:val="0"/>
          <w:marTop w:val="0"/>
          <w:marBottom w:val="0"/>
          <w:divBdr>
            <w:top w:val="none" w:sz="0" w:space="0" w:color="auto"/>
            <w:left w:val="none" w:sz="0" w:space="0" w:color="auto"/>
            <w:bottom w:val="none" w:sz="0" w:space="0" w:color="auto"/>
            <w:right w:val="none" w:sz="0" w:space="0" w:color="auto"/>
          </w:divBdr>
        </w:div>
      </w:divsChild>
    </w:div>
    <w:div w:id="1024751463">
      <w:bodyDiv w:val="1"/>
      <w:marLeft w:val="0"/>
      <w:marRight w:val="0"/>
      <w:marTop w:val="0"/>
      <w:marBottom w:val="0"/>
      <w:divBdr>
        <w:top w:val="none" w:sz="0" w:space="0" w:color="auto"/>
        <w:left w:val="none" w:sz="0" w:space="0" w:color="auto"/>
        <w:bottom w:val="none" w:sz="0" w:space="0" w:color="auto"/>
        <w:right w:val="none" w:sz="0" w:space="0" w:color="auto"/>
      </w:divBdr>
    </w:div>
    <w:div w:id="1166870251">
      <w:bodyDiv w:val="1"/>
      <w:marLeft w:val="0"/>
      <w:marRight w:val="0"/>
      <w:marTop w:val="0"/>
      <w:marBottom w:val="0"/>
      <w:divBdr>
        <w:top w:val="none" w:sz="0" w:space="0" w:color="auto"/>
        <w:left w:val="none" w:sz="0" w:space="0" w:color="auto"/>
        <w:bottom w:val="none" w:sz="0" w:space="0" w:color="auto"/>
        <w:right w:val="none" w:sz="0" w:space="0" w:color="auto"/>
      </w:divBdr>
    </w:div>
    <w:div w:id="1263147592">
      <w:bodyDiv w:val="1"/>
      <w:marLeft w:val="0"/>
      <w:marRight w:val="0"/>
      <w:marTop w:val="0"/>
      <w:marBottom w:val="0"/>
      <w:divBdr>
        <w:top w:val="none" w:sz="0" w:space="0" w:color="auto"/>
        <w:left w:val="none" w:sz="0" w:space="0" w:color="auto"/>
        <w:bottom w:val="none" w:sz="0" w:space="0" w:color="auto"/>
        <w:right w:val="none" w:sz="0" w:space="0" w:color="auto"/>
      </w:divBdr>
    </w:div>
    <w:div w:id="1382049312">
      <w:bodyDiv w:val="1"/>
      <w:marLeft w:val="0"/>
      <w:marRight w:val="0"/>
      <w:marTop w:val="0"/>
      <w:marBottom w:val="0"/>
      <w:divBdr>
        <w:top w:val="none" w:sz="0" w:space="0" w:color="auto"/>
        <w:left w:val="none" w:sz="0" w:space="0" w:color="auto"/>
        <w:bottom w:val="none" w:sz="0" w:space="0" w:color="auto"/>
        <w:right w:val="none" w:sz="0" w:space="0" w:color="auto"/>
      </w:divBdr>
    </w:div>
    <w:div w:id="1492527712">
      <w:bodyDiv w:val="1"/>
      <w:marLeft w:val="0"/>
      <w:marRight w:val="0"/>
      <w:marTop w:val="0"/>
      <w:marBottom w:val="0"/>
      <w:divBdr>
        <w:top w:val="none" w:sz="0" w:space="0" w:color="auto"/>
        <w:left w:val="none" w:sz="0" w:space="0" w:color="auto"/>
        <w:bottom w:val="none" w:sz="0" w:space="0" w:color="auto"/>
        <w:right w:val="none" w:sz="0" w:space="0" w:color="auto"/>
      </w:divBdr>
    </w:div>
    <w:div w:id="1597588824">
      <w:bodyDiv w:val="1"/>
      <w:marLeft w:val="0"/>
      <w:marRight w:val="0"/>
      <w:marTop w:val="0"/>
      <w:marBottom w:val="0"/>
      <w:divBdr>
        <w:top w:val="none" w:sz="0" w:space="0" w:color="auto"/>
        <w:left w:val="none" w:sz="0" w:space="0" w:color="auto"/>
        <w:bottom w:val="none" w:sz="0" w:space="0" w:color="auto"/>
        <w:right w:val="none" w:sz="0" w:space="0" w:color="auto"/>
      </w:divBdr>
    </w:div>
    <w:div w:id="1692879361">
      <w:bodyDiv w:val="1"/>
      <w:marLeft w:val="0"/>
      <w:marRight w:val="0"/>
      <w:marTop w:val="0"/>
      <w:marBottom w:val="0"/>
      <w:divBdr>
        <w:top w:val="none" w:sz="0" w:space="0" w:color="auto"/>
        <w:left w:val="none" w:sz="0" w:space="0" w:color="auto"/>
        <w:bottom w:val="none" w:sz="0" w:space="0" w:color="auto"/>
        <w:right w:val="none" w:sz="0" w:space="0" w:color="auto"/>
      </w:divBdr>
    </w:div>
    <w:div w:id="1899782610">
      <w:bodyDiv w:val="1"/>
      <w:marLeft w:val="0"/>
      <w:marRight w:val="0"/>
      <w:marTop w:val="0"/>
      <w:marBottom w:val="0"/>
      <w:divBdr>
        <w:top w:val="none" w:sz="0" w:space="0" w:color="auto"/>
        <w:left w:val="none" w:sz="0" w:space="0" w:color="auto"/>
        <w:bottom w:val="none" w:sz="0" w:space="0" w:color="auto"/>
        <w:right w:val="none" w:sz="0" w:space="0" w:color="auto"/>
      </w:divBdr>
    </w:div>
    <w:div w:id="202231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A/CN.9/1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ndocs.org/A/CN.9/1004"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A/CN.9/1004"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uncitral.un.org/sites/uncitral.un.org/files/media-documents/uncitral/en/cids_%20supplemental_report.pdf" TargetMode="External"/><Relationship Id="rId13" Type="http://schemas.openxmlformats.org/officeDocument/2006/relationships/hyperlink" Target="https://uncitral.un.org/en/codeofconduct" TargetMode="External"/><Relationship Id="rId18" Type="http://schemas.openxmlformats.org/officeDocument/2006/relationships/hyperlink" Target="https://arbitratorintelligence.com/" TargetMode="External"/><Relationship Id="rId3" Type="http://schemas.openxmlformats.org/officeDocument/2006/relationships/hyperlink" Target="http://undocs.org/A/CN.9/930/Rev.1" TargetMode="External"/><Relationship Id="rId7" Type="http://schemas.openxmlformats.org/officeDocument/2006/relationships/hyperlink" Target="http://undocs.org/A/CN.9/WG.III/WP.166" TargetMode="External"/><Relationship Id="rId12" Type="http://schemas.openxmlformats.org/officeDocument/2006/relationships/hyperlink" Target="https://uncitral.un.org/en/codeofconduct" TargetMode="External"/><Relationship Id="rId17" Type="http://schemas.openxmlformats.org/officeDocument/2006/relationships/hyperlink" Target="https://uncitral.un.org/sites/uncitral.un.org/files/media-documents/uncitral/en/pca_mechanisms_for_selection_and_appointment.pdf" TargetMode="External"/><Relationship Id="rId2" Type="http://schemas.openxmlformats.org/officeDocument/2006/relationships/hyperlink" Target="http://undocs.org/A/72/17" TargetMode="External"/><Relationship Id="rId16" Type="http://schemas.openxmlformats.org/officeDocument/2006/relationships/hyperlink" Target="https://www.arbitration-icca.org/media/0/12773749999020/paulsson_moral_hazard.pdf" TargetMode="External"/><Relationship Id="rId1" Type="http://schemas.openxmlformats.org/officeDocument/2006/relationships/hyperlink" Target="http://undocs.org/A/CN.9/1004" TargetMode="External"/><Relationship Id="rId6" Type="http://schemas.openxmlformats.org/officeDocument/2006/relationships/hyperlink" Target="http://undocs.org/A/CN.9/970" TargetMode="External"/><Relationship Id="rId11" Type="http://schemas.openxmlformats.org/officeDocument/2006/relationships/hyperlink" Target="https://www.jus.uio.no/pluricourts/english/projects/leginvest/academic-forum/" TargetMode="External"/><Relationship Id="rId5" Type="http://schemas.openxmlformats.org/officeDocument/2006/relationships/hyperlink" Target="http://undocs.org/A/CN.9/964" TargetMode="External"/><Relationship Id="rId15" Type="http://schemas.openxmlformats.org/officeDocument/2006/relationships/hyperlink" Target="http://www.oecd.org/investment/Consultation-ISDS-appointingauthorities-arbitration.htm" TargetMode="External"/><Relationship Id="rId10" Type="http://schemas.openxmlformats.org/officeDocument/2006/relationships/hyperlink" Target="https://uncitral.un.org/en/library/online_resources/investor-state_dispute" TargetMode="External"/><Relationship Id="rId19" Type="http://schemas.openxmlformats.org/officeDocument/2006/relationships/hyperlink" Target="https://www.icj-cij.org/files/annual-reports/2017-2018-en.pdf" TargetMode="External"/><Relationship Id="rId4" Type="http://schemas.openxmlformats.org/officeDocument/2006/relationships/hyperlink" Target="http://undocs.org/A/CN.9/935" TargetMode="External"/><Relationship Id="rId9" Type="http://schemas.openxmlformats.org/officeDocument/2006/relationships/hyperlink" Target="https://www.cids.ch/academic-forum-concept-papers" TargetMode="External"/><Relationship Id="rId14" Type="http://schemas.openxmlformats.org/officeDocument/2006/relationships/hyperlink" Target="http://www.arbitrationpledge.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CFD0E-0A77-4471-B6EA-8F9980BA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6372</Words>
  <Characters>36327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Leiter</dc:creator>
  <cp:keywords>UNCITRAL</cp:keywords>
  <dc:description/>
  <cp:lastModifiedBy>Corinne Montineri</cp:lastModifiedBy>
  <cp:revision>18</cp:revision>
  <cp:lastPrinted>2020-04-14T12:13:00Z</cp:lastPrinted>
  <dcterms:created xsi:type="dcterms:W3CDTF">2020-07-07T07:08:00Z</dcterms:created>
  <dcterms:modified xsi:type="dcterms:W3CDTF">2020-07-09T09:11:00Z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1911357</vt:lpwstr>
  </property>
  <property fmtid="{D5CDD505-2E9C-101B-9397-08002B2CF9AE}" pid="3" name="ODSRefJobNo">
    <vt:lpwstr>1911357E</vt:lpwstr>
  </property>
  <property fmtid="{D5CDD505-2E9C-101B-9397-08002B2CF9AE}" pid="4" name="Symbol1">
    <vt:lpwstr>A/CN.9/WG.III/WP.185</vt:lpwstr>
  </property>
  <property fmtid="{D5CDD505-2E9C-101B-9397-08002B2CF9AE}" pid="5" name="Symbol2">
    <vt:lpwstr/>
  </property>
  <property fmtid="{D5CDD505-2E9C-101B-9397-08002B2CF9AE}" pid="6" name="Translator">
    <vt:lpwstr/>
  </property>
  <property fmtid="{D5CDD505-2E9C-101B-9397-08002B2CF9AE}" pid="7" name="Operator">
    <vt:lpwstr>MJL</vt:lpwstr>
  </property>
  <property fmtid="{D5CDD505-2E9C-101B-9397-08002B2CF9AE}" pid="8" name="DraftPages">
    <vt:lpwstr> </vt:lpwstr>
  </property>
  <property fmtid="{D5CDD505-2E9C-101B-9397-08002B2CF9AE}" pid="9" name="Comment">
    <vt:lpwstr/>
  </property>
  <property fmtid="{D5CDD505-2E9C-101B-9397-08002B2CF9AE}" pid="10" name="Distribution">
    <vt:lpwstr>Limited</vt:lpwstr>
  </property>
  <property fmtid="{D5CDD505-2E9C-101B-9397-08002B2CF9AE}" pid="11" name="Publication Date">
    <vt:lpwstr>29 November 2019</vt:lpwstr>
  </property>
  <property fmtid="{D5CDD505-2E9C-101B-9397-08002B2CF9AE}" pid="12" name="Original">
    <vt:lpwstr>English</vt:lpwstr>
  </property>
  <property fmtid="{D5CDD505-2E9C-101B-9397-08002B2CF9AE}" pid="13" name="Release Date">
    <vt:lpwstr>021219</vt:lpwstr>
  </property>
</Properties>
</file>