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CD8D" w14:textId="4EE0AA15" w:rsidR="00F71723" w:rsidRDefault="00F71723" w:rsidP="003B4CE7">
      <w:pPr>
        <w:pStyle w:val="HCh"/>
        <w:ind w:left="1267" w:right="1260" w:hanging="1267"/>
      </w:pPr>
      <w:bookmarkStart w:id="0" w:name="_GoBack"/>
      <w:bookmarkEnd w:id="0"/>
      <w:r>
        <w:t>Attachment</w:t>
      </w:r>
      <w:r w:rsidR="003B4CE7" w:rsidRPr="00465C4A">
        <w:tab/>
      </w:r>
    </w:p>
    <w:p w14:paraId="4D845E88" w14:textId="77777777" w:rsidR="00F71723" w:rsidRDefault="00F71723" w:rsidP="003B4CE7">
      <w:pPr>
        <w:pStyle w:val="HCh"/>
        <w:ind w:left="1267" w:right="1260" w:hanging="1267"/>
      </w:pPr>
    </w:p>
    <w:p w14:paraId="13570936" w14:textId="6B0A18EB" w:rsidR="003B4CE7" w:rsidRPr="00465C4A" w:rsidRDefault="00F71723" w:rsidP="003B4CE7">
      <w:pPr>
        <w:pStyle w:val="HCh"/>
        <w:ind w:left="1267" w:right="1260" w:hanging="1267"/>
      </w:pPr>
      <w:r>
        <w:t xml:space="preserve">I. </w:t>
      </w:r>
      <w:r w:rsidR="003B4CE7">
        <w:t>Introduction</w:t>
      </w:r>
    </w:p>
    <w:p w14:paraId="0D0916D7" w14:textId="38897E52" w:rsidR="003B4CE7" w:rsidRDefault="003B4CE7" w:rsidP="003B4CE7">
      <w:pPr>
        <w:pStyle w:val="SingleTxt"/>
        <w:spacing w:after="0" w:line="120" w:lineRule="atLeast"/>
        <w:ind w:left="0"/>
        <w:rPr>
          <w:sz w:val="10"/>
        </w:rPr>
      </w:pPr>
    </w:p>
    <w:p w14:paraId="0DBFD181" w14:textId="77777777" w:rsidR="003B4CE7" w:rsidRPr="00465C4A" w:rsidRDefault="003B4CE7" w:rsidP="003B4CE7">
      <w:pPr>
        <w:pStyle w:val="SingleTxt"/>
        <w:spacing w:after="0" w:line="120" w:lineRule="atLeast"/>
        <w:ind w:left="0"/>
        <w:rPr>
          <w:sz w:val="10"/>
        </w:rPr>
      </w:pPr>
    </w:p>
    <w:p w14:paraId="17D7F037" w14:textId="0D6689C5" w:rsidR="00F71723" w:rsidRPr="003B4CE7" w:rsidRDefault="003B4CE7" w:rsidP="00F71723">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szCs w:val="22"/>
        </w:rPr>
      </w:pPr>
      <w:r w:rsidRPr="003B4CE7">
        <w:rPr>
          <w:sz w:val="22"/>
          <w:szCs w:val="22"/>
        </w:rPr>
        <w:t>States</w:t>
      </w:r>
      <w:r w:rsidR="00914E2D">
        <w:rPr>
          <w:sz w:val="22"/>
          <w:szCs w:val="22"/>
        </w:rPr>
        <w:t xml:space="preserve"> and other organisations</w:t>
      </w:r>
      <w:r w:rsidRPr="003B4CE7">
        <w:rPr>
          <w:sz w:val="22"/>
          <w:szCs w:val="22"/>
        </w:rPr>
        <w:t xml:space="preserve"> </w:t>
      </w:r>
      <w:r w:rsidR="00455A0A">
        <w:rPr>
          <w:sz w:val="22"/>
          <w:szCs w:val="22"/>
        </w:rPr>
        <w:t>are</w:t>
      </w:r>
      <w:r w:rsidRPr="003B4CE7">
        <w:rPr>
          <w:sz w:val="22"/>
          <w:szCs w:val="22"/>
        </w:rPr>
        <w:t xml:space="preserve"> invited to use this </w:t>
      </w:r>
      <w:r w:rsidR="00851C3B">
        <w:rPr>
          <w:sz w:val="22"/>
          <w:szCs w:val="22"/>
        </w:rPr>
        <w:t>template</w:t>
      </w:r>
      <w:r w:rsidRPr="003B4CE7">
        <w:rPr>
          <w:sz w:val="22"/>
          <w:szCs w:val="22"/>
        </w:rPr>
        <w:t xml:space="preserve"> </w:t>
      </w:r>
      <w:r w:rsidR="00851C3B">
        <w:rPr>
          <w:sz w:val="22"/>
          <w:szCs w:val="22"/>
        </w:rPr>
        <w:t xml:space="preserve">to </w:t>
      </w:r>
      <w:r w:rsidRPr="003B4CE7">
        <w:rPr>
          <w:sz w:val="22"/>
          <w:szCs w:val="22"/>
        </w:rPr>
        <w:t>provid</w:t>
      </w:r>
      <w:r w:rsidR="00851C3B">
        <w:rPr>
          <w:sz w:val="22"/>
          <w:szCs w:val="22"/>
        </w:rPr>
        <w:t>e</w:t>
      </w:r>
      <w:r w:rsidRPr="003B4CE7">
        <w:rPr>
          <w:sz w:val="22"/>
          <w:szCs w:val="22"/>
        </w:rPr>
        <w:t xml:space="preserve"> comments to the Secretariat on the </w:t>
      </w:r>
      <w:r>
        <w:rPr>
          <w:sz w:val="22"/>
          <w:szCs w:val="22"/>
        </w:rPr>
        <w:t>d</w:t>
      </w:r>
      <w:r w:rsidRPr="003B4CE7">
        <w:rPr>
          <w:sz w:val="22"/>
          <w:szCs w:val="22"/>
        </w:rPr>
        <w:t xml:space="preserve">raft </w:t>
      </w:r>
      <w:r>
        <w:rPr>
          <w:sz w:val="22"/>
          <w:szCs w:val="22"/>
        </w:rPr>
        <w:t>p</w:t>
      </w:r>
      <w:r w:rsidRPr="003B4CE7">
        <w:rPr>
          <w:sz w:val="22"/>
          <w:szCs w:val="22"/>
        </w:rPr>
        <w:t xml:space="preserve">rovisions on the </w:t>
      </w:r>
      <w:r>
        <w:rPr>
          <w:sz w:val="22"/>
          <w:szCs w:val="22"/>
        </w:rPr>
        <w:t>u</w:t>
      </w:r>
      <w:r w:rsidRPr="003B4CE7">
        <w:rPr>
          <w:sz w:val="22"/>
          <w:szCs w:val="22"/>
        </w:rPr>
        <w:t xml:space="preserve">se and </w:t>
      </w:r>
      <w:r>
        <w:rPr>
          <w:sz w:val="22"/>
          <w:szCs w:val="22"/>
        </w:rPr>
        <w:t>c</w:t>
      </w:r>
      <w:r w:rsidRPr="003B4CE7">
        <w:rPr>
          <w:sz w:val="22"/>
          <w:szCs w:val="22"/>
        </w:rPr>
        <w:t>ross</w:t>
      </w:r>
      <w:r>
        <w:rPr>
          <w:sz w:val="22"/>
          <w:szCs w:val="22"/>
        </w:rPr>
        <w:noBreakHyphen/>
      </w:r>
      <w:r w:rsidRPr="003B4CE7">
        <w:rPr>
          <w:sz w:val="22"/>
          <w:szCs w:val="22"/>
        </w:rPr>
        <w:t xml:space="preserve">border </w:t>
      </w:r>
      <w:r>
        <w:rPr>
          <w:sz w:val="22"/>
          <w:szCs w:val="22"/>
        </w:rPr>
        <w:t>r</w:t>
      </w:r>
      <w:r w:rsidRPr="003B4CE7">
        <w:rPr>
          <w:sz w:val="22"/>
          <w:szCs w:val="22"/>
        </w:rPr>
        <w:t xml:space="preserve">ecognition of </w:t>
      </w:r>
      <w:r>
        <w:rPr>
          <w:sz w:val="22"/>
          <w:szCs w:val="22"/>
        </w:rPr>
        <w:t>identity management</w:t>
      </w:r>
      <w:r w:rsidRPr="003B4CE7">
        <w:rPr>
          <w:sz w:val="22"/>
          <w:szCs w:val="22"/>
        </w:rPr>
        <w:t xml:space="preserve"> and </w:t>
      </w:r>
      <w:r>
        <w:rPr>
          <w:sz w:val="22"/>
          <w:szCs w:val="22"/>
        </w:rPr>
        <w:t>t</w:t>
      </w:r>
      <w:r w:rsidRPr="003B4CE7">
        <w:rPr>
          <w:sz w:val="22"/>
          <w:szCs w:val="22"/>
        </w:rPr>
        <w:t xml:space="preserve">rust </w:t>
      </w:r>
      <w:r>
        <w:rPr>
          <w:sz w:val="22"/>
          <w:szCs w:val="22"/>
        </w:rPr>
        <w:t>s</w:t>
      </w:r>
      <w:r w:rsidRPr="003B4CE7">
        <w:rPr>
          <w:sz w:val="22"/>
          <w:szCs w:val="22"/>
        </w:rPr>
        <w:t xml:space="preserve">ervices set out in document </w:t>
      </w:r>
      <w:hyperlink r:id="rId8" w:history="1">
        <w:r w:rsidRPr="003B4CE7">
          <w:rPr>
            <w:rStyle w:val="af4"/>
            <w:sz w:val="22"/>
            <w:szCs w:val="22"/>
          </w:rPr>
          <w:t>A/CN.9/WG.IV/WP.162</w:t>
        </w:r>
      </w:hyperlink>
      <w:r>
        <w:rPr>
          <w:sz w:val="22"/>
          <w:szCs w:val="22"/>
        </w:rPr>
        <w:t xml:space="preserve"> (“draft provisions”)</w:t>
      </w:r>
      <w:r w:rsidR="00F71723">
        <w:rPr>
          <w:sz w:val="22"/>
          <w:szCs w:val="22"/>
        </w:rPr>
        <w:t xml:space="preserve">, which is available on </w:t>
      </w:r>
      <w:r w:rsidR="00F71723" w:rsidRPr="00AC11C9">
        <w:rPr>
          <w:sz w:val="22"/>
          <w:szCs w:val="22"/>
        </w:rPr>
        <w:t>the webpage of Working Group IV (</w:t>
      </w:r>
      <w:hyperlink r:id="rId9" w:history="1">
        <w:r w:rsidR="00F71723" w:rsidRPr="001D16C1">
          <w:rPr>
            <w:rStyle w:val="af4"/>
            <w:sz w:val="22"/>
            <w:szCs w:val="22"/>
          </w:rPr>
          <w:t>https://uncitral.un.org/en/working_groups/4/electronic_commerce</w:t>
        </w:r>
      </w:hyperlink>
      <w:r w:rsidR="00F71723" w:rsidRPr="00AC11C9">
        <w:rPr>
          <w:sz w:val="22"/>
          <w:szCs w:val="22"/>
        </w:rPr>
        <w:t>)</w:t>
      </w:r>
      <w:r w:rsidR="00F71723">
        <w:rPr>
          <w:sz w:val="22"/>
          <w:szCs w:val="22"/>
        </w:rPr>
        <w:t xml:space="preserve"> </w:t>
      </w:r>
      <w:r w:rsidR="00F71723" w:rsidRPr="00AC11C9">
        <w:rPr>
          <w:sz w:val="22"/>
          <w:szCs w:val="22"/>
        </w:rPr>
        <w:t xml:space="preserve">in </w:t>
      </w:r>
      <w:r w:rsidR="00F71723">
        <w:rPr>
          <w:sz w:val="22"/>
          <w:szCs w:val="22"/>
        </w:rPr>
        <w:t>all</w:t>
      </w:r>
      <w:r w:rsidR="00F71723" w:rsidRPr="00AC11C9">
        <w:rPr>
          <w:sz w:val="22"/>
          <w:szCs w:val="22"/>
        </w:rPr>
        <w:t xml:space="preserve"> United Nations official languages</w:t>
      </w:r>
      <w:r w:rsidRPr="003B4CE7">
        <w:rPr>
          <w:sz w:val="22"/>
          <w:szCs w:val="22"/>
        </w:rPr>
        <w:t xml:space="preserve">. </w:t>
      </w:r>
      <w:r w:rsidR="00F71723">
        <w:rPr>
          <w:sz w:val="22"/>
          <w:szCs w:val="22"/>
        </w:rPr>
        <w:t>A</w:t>
      </w:r>
      <w:r w:rsidR="00F71723" w:rsidRPr="00AC11C9">
        <w:rPr>
          <w:sz w:val="22"/>
          <w:szCs w:val="22"/>
        </w:rPr>
        <w:t xml:space="preserve"> note with comments on the draft provisions submitted by the World Bank (A/CN.9/WG.IV/WP.163) </w:t>
      </w:r>
      <w:r w:rsidR="00F71723">
        <w:rPr>
          <w:sz w:val="22"/>
          <w:szCs w:val="22"/>
        </w:rPr>
        <w:t>is</w:t>
      </w:r>
      <w:r w:rsidR="00F71723" w:rsidRPr="00AC11C9">
        <w:rPr>
          <w:sz w:val="22"/>
          <w:szCs w:val="22"/>
        </w:rPr>
        <w:t xml:space="preserve"> </w:t>
      </w:r>
      <w:r w:rsidR="00F71723">
        <w:rPr>
          <w:sz w:val="22"/>
          <w:szCs w:val="22"/>
        </w:rPr>
        <w:t xml:space="preserve">also </w:t>
      </w:r>
      <w:r w:rsidR="00F71723" w:rsidRPr="00AC11C9">
        <w:rPr>
          <w:sz w:val="22"/>
          <w:szCs w:val="22"/>
        </w:rPr>
        <w:t xml:space="preserve">available on the </w:t>
      </w:r>
      <w:r w:rsidR="00F71723">
        <w:rPr>
          <w:sz w:val="22"/>
          <w:szCs w:val="22"/>
        </w:rPr>
        <w:t>webpage.</w:t>
      </w:r>
    </w:p>
    <w:p w14:paraId="6940A7B0" w14:textId="31BFF188" w:rsidR="00A4060B" w:rsidRDefault="003B4CE7" w:rsidP="00174FBB">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szCs w:val="22"/>
        </w:rPr>
      </w:pPr>
      <w:r w:rsidRPr="003B4CE7">
        <w:rPr>
          <w:sz w:val="22"/>
          <w:szCs w:val="22"/>
        </w:rPr>
        <w:t>Table 1 may be used to provide article</w:t>
      </w:r>
      <w:r w:rsidRPr="003B4CE7">
        <w:rPr>
          <w:sz w:val="22"/>
          <w:szCs w:val="22"/>
        </w:rPr>
        <w:noBreakHyphen/>
        <w:t>by</w:t>
      </w:r>
      <w:r w:rsidRPr="003B4CE7">
        <w:rPr>
          <w:sz w:val="22"/>
          <w:szCs w:val="22"/>
        </w:rPr>
        <w:noBreakHyphen/>
        <w:t>article comments, while table 2 may be used to provide general comments.</w:t>
      </w:r>
      <w:r w:rsidR="00174FBB">
        <w:rPr>
          <w:sz w:val="22"/>
          <w:szCs w:val="22"/>
        </w:rPr>
        <w:t xml:space="preserve"> </w:t>
      </w:r>
      <w:r w:rsidRPr="003B4CE7">
        <w:rPr>
          <w:sz w:val="22"/>
          <w:szCs w:val="22"/>
        </w:rPr>
        <w:t>Comments may be submitted to the Secretariat</w:t>
      </w:r>
      <w:r w:rsidR="009414B2">
        <w:rPr>
          <w:sz w:val="22"/>
          <w:szCs w:val="22"/>
        </w:rPr>
        <w:t xml:space="preserve"> in one of the six official languages of the United Nations</w:t>
      </w:r>
      <w:r w:rsidRPr="003B4CE7">
        <w:rPr>
          <w:sz w:val="22"/>
          <w:szCs w:val="22"/>
        </w:rPr>
        <w:t xml:space="preserve"> by email to </w:t>
      </w:r>
      <w:hyperlink r:id="rId10" w:history="1">
        <w:r w:rsidRPr="00B3128B">
          <w:rPr>
            <w:rStyle w:val="af4"/>
            <w:sz w:val="22"/>
            <w:szCs w:val="22"/>
          </w:rPr>
          <w:t>uncitral@un.org</w:t>
        </w:r>
      </w:hyperlink>
      <w:r>
        <w:rPr>
          <w:sz w:val="22"/>
          <w:szCs w:val="22"/>
        </w:rPr>
        <w:t xml:space="preserve"> not later than </w:t>
      </w:r>
      <w:r w:rsidR="00A631D6">
        <w:rPr>
          <w:b/>
          <w:bCs/>
          <w:sz w:val="22"/>
          <w:szCs w:val="22"/>
        </w:rPr>
        <w:t>30</w:t>
      </w:r>
      <w:r w:rsidRPr="003B4CE7">
        <w:rPr>
          <w:b/>
          <w:bCs/>
          <w:sz w:val="22"/>
          <w:szCs w:val="22"/>
        </w:rPr>
        <w:t xml:space="preserve"> Ju</w:t>
      </w:r>
      <w:r w:rsidR="00A631D6">
        <w:rPr>
          <w:b/>
          <w:bCs/>
          <w:sz w:val="22"/>
          <w:szCs w:val="22"/>
        </w:rPr>
        <w:t>ne</w:t>
      </w:r>
      <w:r w:rsidRPr="003B4CE7">
        <w:rPr>
          <w:b/>
          <w:bCs/>
          <w:sz w:val="22"/>
          <w:szCs w:val="22"/>
        </w:rPr>
        <w:t xml:space="preserve"> 2020</w:t>
      </w:r>
      <w:r w:rsidRPr="003B4CE7">
        <w:rPr>
          <w:sz w:val="22"/>
          <w:szCs w:val="22"/>
        </w:rPr>
        <w:t xml:space="preserve">. </w:t>
      </w:r>
      <w:r w:rsidR="00A4060B">
        <w:rPr>
          <w:sz w:val="22"/>
          <w:szCs w:val="22"/>
        </w:rPr>
        <w:t xml:space="preserve">Comments will </w:t>
      </w:r>
      <w:r w:rsidR="00A4060B" w:rsidRPr="007A3188">
        <w:rPr>
          <w:b/>
          <w:bCs/>
          <w:sz w:val="22"/>
          <w:szCs w:val="22"/>
        </w:rPr>
        <w:t>not</w:t>
      </w:r>
      <w:r w:rsidR="00A4060B">
        <w:rPr>
          <w:sz w:val="22"/>
          <w:szCs w:val="22"/>
        </w:rPr>
        <w:t xml:space="preserve"> be published</w:t>
      </w:r>
      <w:r w:rsidR="002C4882">
        <w:rPr>
          <w:sz w:val="22"/>
          <w:szCs w:val="22"/>
        </w:rPr>
        <w:t xml:space="preserve"> individually</w:t>
      </w:r>
      <w:r w:rsidR="007A3188">
        <w:rPr>
          <w:sz w:val="22"/>
          <w:szCs w:val="22"/>
        </w:rPr>
        <w:t xml:space="preserve">, but will </w:t>
      </w:r>
      <w:r w:rsidR="00A4060B" w:rsidRPr="00A4060B">
        <w:rPr>
          <w:sz w:val="22"/>
          <w:szCs w:val="22"/>
        </w:rPr>
        <w:t xml:space="preserve">be used for preparing pre-session documents, with a view to allowing the Working Group to </w:t>
      </w:r>
      <w:r w:rsidR="00A2410C">
        <w:rPr>
          <w:sz w:val="22"/>
          <w:szCs w:val="22"/>
        </w:rPr>
        <w:t xml:space="preserve">officially resume </w:t>
      </w:r>
      <w:r w:rsidR="00A4060B" w:rsidRPr="00A4060B">
        <w:rPr>
          <w:sz w:val="22"/>
          <w:szCs w:val="22"/>
        </w:rPr>
        <w:t>its work at the re-scheduled sixtieth session of Working Group IV.</w:t>
      </w:r>
    </w:p>
    <w:p w14:paraId="1F10C2C4" w14:textId="0E85E491" w:rsidR="00AC11C9" w:rsidRDefault="00AC11C9" w:rsidP="00174FBB">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szCs w:val="22"/>
        </w:rPr>
      </w:pPr>
      <w:r>
        <w:rPr>
          <w:sz w:val="22"/>
          <w:szCs w:val="22"/>
        </w:rPr>
        <w:t>T</w:t>
      </w:r>
      <w:r w:rsidRPr="00AC11C9">
        <w:rPr>
          <w:sz w:val="22"/>
          <w:szCs w:val="22"/>
        </w:rPr>
        <w:t>h</w:t>
      </w:r>
      <w:r w:rsidR="00042032">
        <w:rPr>
          <w:sz w:val="22"/>
          <w:szCs w:val="22"/>
        </w:rPr>
        <w:t>is</w:t>
      </w:r>
      <w:r w:rsidRPr="00AC11C9">
        <w:rPr>
          <w:sz w:val="22"/>
          <w:szCs w:val="22"/>
        </w:rPr>
        <w:t xml:space="preserve"> attach</w:t>
      </w:r>
      <w:r w:rsidR="00F71723">
        <w:rPr>
          <w:sz w:val="22"/>
          <w:szCs w:val="22"/>
        </w:rPr>
        <w:t>ment</w:t>
      </w:r>
      <w:r w:rsidRPr="00AC11C9">
        <w:rPr>
          <w:sz w:val="22"/>
          <w:szCs w:val="22"/>
        </w:rPr>
        <w:t xml:space="preserve"> </w:t>
      </w:r>
      <w:r>
        <w:rPr>
          <w:sz w:val="22"/>
          <w:szCs w:val="22"/>
        </w:rPr>
        <w:t>is</w:t>
      </w:r>
      <w:r w:rsidRPr="00AC11C9">
        <w:rPr>
          <w:sz w:val="22"/>
          <w:szCs w:val="22"/>
        </w:rPr>
        <w:t xml:space="preserve"> available in word format on the English, French and Spanish language versions of the webpage of Working Group IV</w:t>
      </w:r>
      <w:r>
        <w:rPr>
          <w:sz w:val="22"/>
          <w:szCs w:val="22"/>
        </w:rPr>
        <w:t>.</w:t>
      </w:r>
    </w:p>
    <w:p w14:paraId="1D4AB604" w14:textId="59E6C30C" w:rsidR="00676AF9" w:rsidRDefault="00676AF9" w:rsidP="00676AF9">
      <w:pPr>
        <w:pStyle w:val="SingleTxt"/>
        <w:spacing w:after="0" w:line="120" w:lineRule="atLeast"/>
        <w:ind w:left="0"/>
        <w:rPr>
          <w:sz w:val="10"/>
        </w:rPr>
      </w:pPr>
    </w:p>
    <w:p w14:paraId="56356815" w14:textId="77777777" w:rsidR="00676AF9" w:rsidRPr="00465C4A" w:rsidRDefault="00676AF9" w:rsidP="00676AF9">
      <w:pPr>
        <w:pStyle w:val="SingleTxt"/>
        <w:spacing w:after="0" w:line="120" w:lineRule="atLeast"/>
        <w:ind w:left="0"/>
        <w:rPr>
          <w:sz w:val="10"/>
        </w:rPr>
      </w:pPr>
    </w:p>
    <w:p w14:paraId="3B76C702" w14:textId="77777777" w:rsidR="005C09BD" w:rsidRDefault="005C09BD">
      <w:pPr>
        <w:suppressAutoHyphens w:val="0"/>
        <w:spacing w:after="200" w:line="276" w:lineRule="auto"/>
        <w:rPr>
          <w:b/>
          <w:spacing w:val="-2"/>
          <w:sz w:val="28"/>
        </w:rPr>
      </w:pPr>
      <w:r>
        <w:br w:type="page"/>
      </w:r>
    </w:p>
    <w:p w14:paraId="0BA7FF6D" w14:textId="3E9D8151" w:rsidR="00676AF9" w:rsidRPr="00465C4A" w:rsidRDefault="00F71723" w:rsidP="00676AF9">
      <w:pPr>
        <w:pStyle w:val="HCh"/>
        <w:ind w:left="1267" w:right="1260" w:hanging="1267"/>
      </w:pPr>
      <w:r>
        <w:lastRenderedPageBreak/>
        <w:t xml:space="preserve">II. </w:t>
      </w:r>
      <w:r w:rsidR="00676AF9">
        <w:t>Comments</w:t>
      </w:r>
    </w:p>
    <w:p w14:paraId="46FEBC8F" w14:textId="77777777" w:rsidR="00676AF9" w:rsidRDefault="00676AF9" w:rsidP="00676AF9">
      <w:pPr>
        <w:pStyle w:val="SingleTxt"/>
        <w:spacing w:after="0" w:line="120" w:lineRule="atLeast"/>
        <w:ind w:left="0"/>
        <w:rPr>
          <w:sz w:val="10"/>
        </w:rPr>
      </w:pPr>
    </w:p>
    <w:p w14:paraId="35948A20" w14:textId="77777777" w:rsidR="00676AF9" w:rsidRPr="00465C4A" w:rsidRDefault="00676AF9" w:rsidP="00676AF9">
      <w:pPr>
        <w:pStyle w:val="SingleTxt"/>
        <w:spacing w:after="0" w:line="120" w:lineRule="atLeast"/>
        <w:ind w:left="0"/>
        <w:rPr>
          <w:sz w:val="10"/>
        </w:rPr>
      </w:pPr>
    </w:p>
    <w:p w14:paraId="1E83AEBD" w14:textId="2BBA82E3" w:rsidR="00676AF9" w:rsidRPr="003B4CE7" w:rsidRDefault="00676AF9" w:rsidP="00676AF9">
      <w:pPr>
        <w:pStyle w:val="SingleTxt"/>
        <w:tabs>
          <w:tab w:val="clear" w:pos="1267"/>
          <w:tab w:val="clear" w:pos="2218"/>
          <w:tab w:val="clear" w:pos="2693"/>
          <w:tab w:val="clear" w:pos="3182"/>
          <w:tab w:val="clear" w:pos="3658"/>
          <w:tab w:val="clear" w:pos="4133"/>
          <w:tab w:val="clear" w:pos="4622"/>
          <w:tab w:val="clear" w:pos="5098"/>
          <w:tab w:val="clear" w:pos="5573"/>
          <w:tab w:val="clear" w:pos="6048"/>
        </w:tabs>
        <w:ind w:left="0"/>
        <w:rPr>
          <w:sz w:val="22"/>
          <w:szCs w:val="22"/>
        </w:rPr>
      </w:pPr>
      <w:r>
        <w:rPr>
          <w:sz w:val="22"/>
          <w:szCs w:val="22"/>
        </w:rPr>
        <w:t>Name of State/observer: [</w:t>
      </w:r>
      <w:r>
        <w:rPr>
          <w:i/>
          <w:iCs/>
          <w:sz w:val="22"/>
          <w:szCs w:val="22"/>
        </w:rPr>
        <w:t>insert</w:t>
      </w:r>
      <w:r>
        <w:rPr>
          <w:sz w:val="22"/>
          <w:szCs w:val="22"/>
        </w:rPr>
        <w:t>]</w:t>
      </w:r>
    </w:p>
    <w:p w14:paraId="33EE4991" w14:textId="77777777" w:rsidR="00676AF9" w:rsidRDefault="00676AF9" w:rsidP="002E49C8">
      <w:pPr>
        <w:rPr>
          <w:w w:val="100"/>
        </w:rPr>
      </w:pPr>
    </w:p>
    <w:p w14:paraId="33B47FBF" w14:textId="59B19EDB" w:rsidR="002E49C8" w:rsidRDefault="00856A4B" w:rsidP="002E49C8">
      <w:pPr>
        <w:rPr>
          <w:w w:val="100"/>
        </w:rPr>
      </w:pPr>
      <w:r>
        <w:rPr>
          <w:w w:val="100"/>
        </w:rPr>
        <w:t>T</w:t>
      </w:r>
      <w:r w:rsidR="002E49C8">
        <w:rPr>
          <w:w w:val="100"/>
        </w:rPr>
        <w:t>able 1</w:t>
      </w:r>
    </w:p>
    <w:p w14:paraId="7161C8D8" w14:textId="506FB42F" w:rsidR="002E49C8" w:rsidRDefault="00BC3DF1" w:rsidP="002E49C8">
      <w:pPr>
        <w:spacing w:after="120"/>
        <w:rPr>
          <w:b/>
          <w:bCs/>
          <w:w w:val="100"/>
        </w:rPr>
      </w:pPr>
      <w:r>
        <w:rPr>
          <w:b/>
          <w:bCs/>
          <w:w w:val="100"/>
        </w:rPr>
        <w:t>Article</w:t>
      </w:r>
      <w:r>
        <w:rPr>
          <w:b/>
          <w:bCs/>
          <w:w w:val="100"/>
        </w:rPr>
        <w:noBreakHyphen/>
        <w:t>by</w:t>
      </w:r>
      <w:r>
        <w:rPr>
          <w:b/>
          <w:bCs/>
          <w:w w:val="100"/>
        </w:rPr>
        <w:noBreakHyphen/>
        <w:t>article</w:t>
      </w:r>
      <w:r w:rsidR="00856A4B">
        <w:rPr>
          <w:b/>
          <w:bCs/>
          <w:w w:val="100"/>
        </w:rPr>
        <w:t xml:space="preserve"> comments</w:t>
      </w:r>
      <w:r w:rsidR="003B4CE7">
        <w:rPr>
          <w:b/>
          <w:bCs/>
          <w:w w:val="100"/>
        </w:rPr>
        <w:t xml:space="preserve"> on draft provisions</w:t>
      </w:r>
    </w:p>
    <w:tbl>
      <w:tblPr>
        <w:tblW w:w="0" w:type="auto"/>
        <w:tblInd w:w="-126" w:type="dxa"/>
        <w:tblLayout w:type="fixed"/>
        <w:tblCellMar>
          <w:left w:w="0" w:type="dxa"/>
          <w:right w:w="0" w:type="dxa"/>
        </w:tblCellMar>
        <w:tblLook w:val="0000" w:firstRow="0" w:lastRow="0" w:firstColumn="0" w:lastColumn="0" w:noHBand="0" w:noVBand="0"/>
      </w:tblPr>
      <w:tblGrid>
        <w:gridCol w:w="1554"/>
        <w:gridCol w:w="4809"/>
        <w:gridCol w:w="7938"/>
      </w:tblGrid>
      <w:tr w:rsidR="00856A4B" w:rsidRPr="007E28CD" w14:paraId="640D817D" w14:textId="77777777" w:rsidTr="00FD652D">
        <w:trPr>
          <w:tblHeader/>
        </w:trPr>
        <w:tc>
          <w:tcPr>
            <w:tcW w:w="1554" w:type="dxa"/>
            <w:tcBorders>
              <w:top w:val="single" w:sz="4" w:space="0" w:color="auto"/>
              <w:bottom w:val="single" w:sz="12" w:space="0" w:color="auto"/>
            </w:tcBorders>
            <w:shd w:val="clear" w:color="auto" w:fill="auto"/>
            <w:vAlign w:val="bottom"/>
          </w:tcPr>
          <w:p w14:paraId="50CAE82D" w14:textId="1C2DF161" w:rsidR="00856A4B" w:rsidRPr="007E28CD" w:rsidRDefault="00856A4B" w:rsidP="007E28CD">
            <w:pPr>
              <w:spacing w:before="80" w:after="80" w:line="160" w:lineRule="atLeast"/>
              <w:ind w:right="40"/>
              <w:rPr>
                <w:i/>
                <w:sz w:val="14"/>
              </w:rPr>
            </w:pPr>
            <w:r>
              <w:rPr>
                <w:i/>
                <w:sz w:val="14"/>
              </w:rPr>
              <w:t>Article</w:t>
            </w:r>
          </w:p>
        </w:tc>
        <w:tc>
          <w:tcPr>
            <w:tcW w:w="4809" w:type="dxa"/>
            <w:tcBorders>
              <w:top w:val="single" w:sz="4" w:space="0" w:color="auto"/>
              <w:bottom w:val="single" w:sz="12" w:space="0" w:color="auto"/>
            </w:tcBorders>
            <w:shd w:val="clear" w:color="auto" w:fill="auto"/>
            <w:vAlign w:val="bottom"/>
          </w:tcPr>
          <w:p w14:paraId="1339E390" w14:textId="4468F940" w:rsidR="00856A4B" w:rsidRPr="007E28CD" w:rsidRDefault="00406A83" w:rsidP="007E28CD">
            <w:pPr>
              <w:spacing w:before="80" w:after="80" w:line="160" w:lineRule="atLeast"/>
              <w:ind w:right="113"/>
              <w:rPr>
                <w:i/>
                <w:sz w:val="14"/>
              </w:rPr>
            </w:pPr>
            <w:r>
              <w:rPr>
                <w:i/>
                <w:sz w:val="14"/>
              </w:rPr>
              <w:t xml:space="preserve">Non-exhaustive list of </w:t>
            </w:r>
            <w:r w:rsidR="00856A4B">
              <w:rPr>
                <w:i/>
                <w:sz w:val="14"/>
              </w:rPr>
              <w:t>questions to conside</w:t>
            </w:r>
            <w:r>
              <w:rPr>
                <w:i/>
                <w:sz w:val="14"/>
              </w:rPr>
              <w:t>r (drawn from WP.162)</w:t>
            </w:r>
          </w:p>
        </w:tc>
        <w:tc>
          <w:tcPr>
            <w:tcW w:w="7938" w:type="dxa"/>
            <w:tcBorders>
              <w:top w:val="single" w:sz="4" w:space="0" w:color="auto"/>
              <w:bottom w:val="single" w:sz="12" w:space="0" w:color="auto"/>
            </w:tcBorders>
            <w:shd w:val="clear" w:color="auto" w:fill="auto"/>
            <w:vAlign w:val="bottom"/>
          </w:tcPr>
          <w:p w14:paraId="2EDBBD4B" w14:textId="2589682F" w:rsidR="00856A4B" w:rsidRPr="007E28CD" w:rsidRDefault="00856A4B" w:rsidP="007E28CD">
            <w:pPr>
              <w:spacing w:before="80" w:after="80" w:line="160" w:lineRule="atLeast"/>
              <w:ind w:right="113"/>
              <w:rPr>
                <w:i/>
                <w:sz w:val="14"/>
              </w:rPr>
            </w:pPr>
            <w:r>
              <w:rPr>
                <w:i/>
                <w:sz w:val="14"/>
              </w:rPr>
              <w:t>Comments</w:t>
            </w:r>
          </w:p>
        </w:tc>
      </w:tr>
      <w:tr w:rsidR="00856A4B" w:rsidRPr="007E28CD" w14:paraId="1EA3E9C8" w14:textId="77777777" w:rsidTr="00FD652D">
        <w:trPr>
          <w:trHeight w:hRule="exact" w:val="115"/>
          <w:tblHeader/>
        </w:trPr>
        <w:tc>
          <w:tcPr>
            <w:tcW w:w="1554" w:type="dxa"/>
            <w:tcBorders>
              <w:top w:val="single" w:sz="12" w:space="0" w:color="auto"/>
            </w:tcBorders>
            <w:shd w:val="clear" w:color="auto" w:fill="auto"/>
            <w:vAlign w:val="bottom"/>
          </w:tcPr>
          <w:p w14:paraId="57AFD17E" w14:textId="77777777" w:rsidR="00856A4B" w:rsidRPr="007E28CD" w:rsidRDefault="00856A4B" w:rsidP="007E28CD">
            <w:pPr>
              <w:spacing w:before="40" w:after="40" w:line="210" w:lineRule="atLeast"/>
              <w:ind w:right="40"/>
              <w:rPr>
                <w:sz w:val="17"/>
              </w:rPr>
            </w:pPr>
          </w:p>
        </w:tc>
        <w:tc>
          <w:tcPr>
            <w:tcW w:w="4809" w:type="dxa"/>
            <w:tcBorders>
              <w:top w:val="single" w:sz="12" w:space="0" w:color="auto"/>
            </w:tcBorders>
            <w:shd w:val="clear" w:color="auto" w:fill="auto"/>
            <w:vAlign w:val="bottom"/>
          </w:tcPr>
          <w:p w14:paraId="0F04B7D4" w14:textId="77777777" w:rsidR="00856A4B" w:rsidRPr="007E28CD" w:rsidRDefault="00856A4B" w:rsidP="007E28CD">
            <w:pPr>
              <w:spacing w:before="40" w:after="40" w:line="210" w:lineRule="atLeast"/>
              <w:ind w:right="113"/>
              <w:jc w:val="right"/>
              <w:rPr>
                <w:sz w:val="17"/>
              </w:rPr>
            </w:pPr>
          </w:p>
        </w:tc>
        <w:tc>
          <w:tcPr>
            <w:tcW w:w="7938" w:type="dxa"/>
            <w:tcBorders>
              <w:top w:val="single" w:sz="12" w:space="0" w:color="auto"/>
            </w:tcBorders>
            <w:shd w:val="clear" w:color="auto" w:fill="auto"/>
            <w:vAlign w:val="bottom"/>
          </w:tcPr>
          <w:p w14:paraId="430CE674" w14:textId="77777777" w:rsidR="00856A4B" w:rsidRPr="007E28CD" w:rsidRDefault="00856A4B" w:rsidP="007E28CD">
            <w:pPr>
              <w:spacing w:before="40" w:after="40" w:line="210" w:lineRule="atLeast"/>
              <w:ind w:right="113"/>
              <w:jc w:val="right"/>
              <w:rPr>
                <w:sz w:val="17"/>
              </w:rPr>
            </w:pPr>
          </w:p>
        </w:tc>
      </w:tr>
      <w:tr w:rsidR="00EF422A" w:rsidRPr="00081400" w14:paraId="2B9BD265" w14:textId="77777777" w:rsidTr="008671F7">
        <w:trPr>
          <w:trHeight w:val="74"/>
        </w:trPr>
        <w:tc>
          <w:tcPr>
            <w:tcW w:w="14301" w:type="dxa"/>
            <w:gridSpan w:val="3"/>
            <w:shd w:val="clear" w:color="auto" w:fill="auto"/>
          </w:tcPr>
          <w:p w14:paraId="4F69DEF9" w14:textId="77777777" w:rsidR="00EF422A" w:rsidRPr="00081400" w:rsidRDefault="00EF422A" w:rsidP="008671F7">
            <w:pPr>
              <w:pStyle w:val="SingleTxt"/>
              <w:spacing w:after="0" w:line="120" w:lineRule="atLeast"/>
              <w:ind w:left="0"/>
              <w:rPr>
                <w:sz w:val="10"/>
              </w:rPr>
            </w:pPr>
          </w:p>
        </w:tc>
      </w:tr>
      <w:tr w:rsidR="00D50D95" w:rsidRPr="007E28CD" w14:paraId="74937E18" w14:textId="77777777" w:rsidTr="00DA5C44">
        <w:trPr>
          <w:trHeight w:val="74"/>
        </w:trPr>
        <w:tc>
          <w:tcPr>
            <w:tcW w:w="14301" w:type="dxa"/>
            <w:gridSpan w:val="3"/>
            <w:shd w:val="clear" w:color="auto" w:fill="auto"/>
          </w:tcPr>
          <w:p w14:paraId="439FC708" w14:textId="36C7726F" w:rsidR="00D50D95" w:rsidRPr="00D50D95" w:rsidRDefault="00D50D95" w:rsidP="007E28CD">
            <w:pPr>
              <w:tabs>
                <w:tab w:val="left" w:pos="288"/>
                <w:tab w:val="left" w:pos="576"/>
                <w:tab w:val="left" w:pos="864"/>
                <w:tab w:val="left" w:pos="1152"/>
              </w:tabs>
              <w:spacing w:before="40" w:after="40" w:line="210" w:lineRule="atLeast"/>
              <w:ind w:right="113"/>
              <w:rPr>
                <w:b/>
                <w:bCs/>
              </w:rPr>
            </w:pPr>
            <w:r>
              <w:rPr>
                <w:b/>
                <w:bCs/>
              </w:rPr>
              <w:t>Chapter I. General provisions</w:t>
            </w:r>
          </w:p>
        </w:tc>
      </w:tr>
      <w:tr w:rsidR="00EF422A" w:rsidRPr="00081400" w14:paraId="44C8336E" w14:textId="77777777" w:rsidTr="008671F7">
        <w:trPr>
          <w:trHeight w:val="74"/>
        </w:trPr>
        <w:tc>
          <w:tcPr>
            <w:tcW w:w="14301" w:type="dxa"/>
            <w:gridSpan w:val="3"/>
            <w:shd w:val="clear" w:color="auto" w:fill="auto"/>
          </w:tcPr>
          <w:p w14:paraId="53F6F956" w14:textId="77777777" w:rsidR="00EF422A" w:rsidRPr="00081400" w:rsidRDefault="00EF422A" w:rsidP="008671F7">
            <w:pPr>
              <w:pStyle w:val="SingleTxt"/>
              <w:spacing w:after="0" w:line="120" w:lineRule="atLeast"/>
              <w:ind w:left="0"/>
              <w:rPr>
                <w:sz w:val="10"/>
              </w:rPr>
            </w:pPr>
          </w:p>
        </w:tc>
      </w:tr>
      <w:tr w:rsidR="00D50D95" w:rsidRPr="007E28CD" w14:paraId="1EDF9F0E" w14:textId="77777777" w:rsidTr="00FD652D">
        <w:trPr>
          <w:trHeight w:val="2747"/>
        </w:trPr>
        <w:tc>
          <w:tcPr>
            <w:tcW w:w="1554" w:type="dxa"/>
            <w:shd w:val="clear" w:color="auto" w:fill="auto"/>
          </w:tcPr>
          <w:p w14:paraId="586CA782" w14:textId="0902678A" w:rsidR="00D50D95" w:rsidRPr="00D50D95" w:rsidRDefault="00D50D95" w:rsidP="00D50D95">
            <w:pPr>
              <w:tabs>
                <w:tab w:val="left" w:pos="288"/>
                <w:tab w:val="left" w:pos="576"/>
                <w:tab w:val="left" w:pos="864"/>
                <w:tab w:val="left" w:pos="1152"/>
              </w:tabs>
              <w:spacing w:before="40" w:after="40" w:line="210" w:lineRule="atLeast"/>
              <w:ind w:right="40"/>
              <w:rPr>
                <w:i/>
                <w:iCs/>
              </w:rPr>
            </w:pPr>
            <w:r w:rsidRPr="00D50D95">
              <w:rPr>
                <w:i/>
                <w:iCs/>
              </w:rPr>
              <w:t>Article 1. Definitions</w:t>
            </w:r>
          </w:p>
        </w:tc>
        <w:tc>
          <w:tcPr>
            <w:tcW w:w="4809" w:type="dxa"/>
            <w:shd w:val="clear" w:color="auto" w:fill="auto"/>
          </w:tcPr>
          <w:p w14:paraId="3C4AC710" w14:textId="10C86B09" w:rsidR="00D50D95" w:rsidRDefault="00D50D95" w:rsidP="00D50D95">
            <w:pPr>
              <w:tabs>
                <w:tab w:val="left" w:pos="288"/>
                <w:tab w:val="left" w:pos="576"/>
                <w:tab w:val="left" w:pos="864"/>
              </w:tabs>
              <w:spacing w:before="40" w:after="40" w:line="210" w:lineRule="atLeast"/>
              <w:ind w:right="113"/>
            </w:pPr>
            <w:r>
              <w:t xml:space="preserve">1. </w:t>
            </w:r>
            <w:r w:rsidR="005F1603">
              <w:t xml:space="preserve">According to the terminology used in WP.162, the IdM process is made up of two stages (or phases), “identity proofing” and “electronic </w:t>
            </w:r>
            <w:bookmarkStart w:id="1" w:name="_Hlk36128852"/>
            <w:r w:rsidR="005F1603">
              <w:t>identification</w:t>
            </w:r>
            <w:bookmarkEnd w:id="1"/>
            <w:r w:rsidR="005F1603">
              <w:t xml:space="preserve">” (see para. 2 of WP.162). </w:t>
            </w:r>
            <w:r w:rsidR="00867472">
              <w:t>Are the</w:t>
            </w:r>
            <w:r w:rsidR="005F1603">
              <w:t>se</w:t>
            </w:r>
            <w:r w:rsidR="00867472">
              <w:t xml:space="preserve"> terms adequate </w:t>
            </w:r>
            <w:r>
              <w:t>to describe the stages of the IdM process? Are the definitions of these terms a</w:t>
            </w:r>
            <w:r w:rsidR="00867472">
              <w:t>ccurate</w:t>
            </w:r>
            <w:r>
              <w:t>?</w:t>
            </w:r>
          </w:p>
          <w:p w14:paraId="1BC397EB" w14:textId="08102D3C" w:rsidR="00D50D95" w:rsidRDefault="00D50D95" w:rsidP="00D50D95">
            <w:pPr>
              <w:tabs>
                <w:tab w:val="left" w:pos="288"/>
                <w:tab w:val="left" w:pos="576"/>
                <w:tab w:val="left" w:pos="864"/>
              </w:tabs>
              <w:spacing w:before="40" w:after="40" w:line="210" w:lineRule="atLeast"/>
              <w:ind w:right="113"/>
            </w:pPr>
            <w:r>
              <w:t>2. Is the new definition of “authentication” in the context of trust services (articles 21 and 22) acceptable (see footnote 3 of WP.162)?</w:t>
            </w:r>
          </w:p>
          <w:p w14:paraId="39A7C373" w14:textId="77777777" w:rsidR="00D50D95" w:rsidRDefault="00D50D95" w:rsidP="00D50D95">
            <w:pPr>
              <w:tabs>
                <w:tab w:val="left" w:pos="288"/>
                <w:tab w:val="left" w:pos="576"/>
                <w:tab w:val="left" w:pos="864"/>
              </w:tabs>
              <w:spacing w:before="40" w:after="40" w:line="210" w:lineRule="atLeast"/>
              <w:ind w:right="113"/>
            </w:pPr>
            <w:r>
              <w:t>3. Is it necessary to include a definition of “electronic identification factors” (as used in article 6)? If so, is the definition in footnote 6 of WP.162 acceptable?</w:t>
            </w:r>
          </w:p>
          <w:p w14:paraId="7401EBA4" w14:textId="37AC3CDE" w:rsidR="00D50D95" w:rsidRDefault="00D50D95" w:rsidP="00B4776A">
            <w:pPr>
              <w:tabs>
                <w:tab w:val="left" w:pos="288"/>
                <w:tab w:val="left" w:pos="576"/>
                <w:tab w:val="left" w:pos="864"/>
              </w:tabs>
              <w:spacing w:before="40" w:after="40" w:line="210" w:lineRule="atLeast"/>
              <w:ind w:right="113"/>
            </w:pPr>
            <w:r>
              <w:t xml:space="preserve">4. Is it necessary to include a definition of “electronic identification mechanisms” (as used in article 6)? If so, is the definition in footnote 7 of WP.162 </w:t>
            </w:r>
            <w:r w:rsidR="002C7AC6">
              <w:t>a</w:t>
            </w:r>
            <w:r>
              <w:t>cceptable?</w:t>
            </w:r>
          </w:p>
          <w:p w14:paraId="43553250" w14:textId="6AEFA7E3" w:rsidR="00D50D95" w:rsidRDefault="002F045F" w:rsidP="00C24353">
            <w:pPr>
              <w:tabs>
                <w:tab w:val="left" w:pos="288"/>
                <w:tab w:val="left" w:pos="576"/>
                <w:tab w:val="left" w:pos="864"/>
              </w:tabs>
              <w:spacing w:before="40" w:after="40" w:line="210" w:lineRule="atLeast"/>
              <w:ind w:right="113"/>
            </w:pPr>
            <w:r>
              <w:t>5. Should the definition of</w:t>
            </w:r>
            <w:r w:rsidRPr="002F045F">
              <w:t xml:space="preserve"> “Identity management (IdM) services” </w:t>
            </w:r>
            <w:r w:rsidR="004F46BE">
              <w:t>refer to “</w:t>
            </w:r>
            <w:r w:rsidR="004F46BE" w:rsidRPr="004F46BE">
              <w:t xml:space="preserve">“services consisting of managing identity proofing or electronic identification of [subjects][persons] </w:t>
            </w:r>
            <w:r w:rsidR="004F46BE" w:rsidRPr="00B9221B">
              <w:rPr>
                <w:i/>
                <w:iCs/>
              </w:rPr>
              <w:t>in part or in full</w:t>
            </w:r>
            <w:r w:rsidR="004F46BE" w:rsidRPr="004F46BE">
              <w:t xml:space="preserve"> in electronic form;” </w:t>
            </w:r>
            <w:r w:rsidR="004F46BE">
              <w:t xml:space="preserve">to include in that definition any </w:t>
            </w:r>
            <w:r w:rsidR="004F46BE" w:rsidRPr="004F46BE">
              <w:t>step (e.g. identity proofing)</w:t>
            </w:r>
            <w:r w:rsidR="004F46BE">
              <w:t xml:space="preserve"> that</w:t>
            </w:r>
            <w:r w:rsidR="004F46BE" w:rsidRPr="004F46BE">
              <w:t xml:space="preserve"> may </w:t>
            </w:r>
            <w:r w:rsidR="004F46BE">
              <w:t>be carried out</w:t>
            </w:r>
            <w:r w:rsidR="004F46BE" w:rsidRPr="004F46BE">
              <w:t xml:space="preserve"> offline.</w:t>
            </w:r>
            <w:r w:rsidR="00A95DCB">
              <w:t xml:space="preserve"> (As to the choice between [subject] and [person], see footnote 14.)</w:t>
            </w:r>
          </w:p>
          <w:p w14:paraId="5C4A59FB" w14:textId="77777777" w:rsidR="00F536DB" w:rsidRDefault="00F536DB" w:rsidP="000236D7">
            <w:pPr>
              <w:tabs>
                <w:tab w:val="left" w:pos="288"/>
                <w:tab w:val="left" w:pos="576"/>
                <w:tab w:val="left" w:pos="864"/>
              </w:tabs>
              <w:spacing w:before="40" w:after="40" w:line="210" w:lineRule="atLeast"/>
              <w:ind w:right="113"/>
            </w:pPr>
            <w:r>
              <w:t xml:space="preserve">6. </w:t>
            </w:r>
            <w:r w:rsidR="00B147F8">
              <w:t xml:space="preserve">Is it necessary </w:t>
            </w:r>
            <w:r w:rsidR="000236D7">
              <w:t>to add</w:t>
            </w:r>
            <w:r w:rsidR="00B147F8">
              <w:t xml:space="preserve"> a clarification (either </w:t>
            </w:r>
            <w:r w:rsidR="000236D7">
              <w:t>in a</w:t>
            </w:r>
            <w:r>
              <w:t xml:space="preserve"> definition</w:t>
            </w:r>
            <w:r w:rsidR="000236D7">
              <w:t xml:space="preserve"> – for instance,</w:t>
            </w:r>
            <w:r>
              <w:t xml:space="preserve"> of “identity” </w:t>
            </w:r>
            <w:r w:rsidR="000236D7">
              <w:t xml:space="preserve">or of “identity proofing” – </w:t>
            </w:r>
            <w:r w:rsidR="00B147F8">
              <w:t xml:space="preserve">or in an explanatory document) </w:t>
            </w:r>
            <w:r>
              <w:t xml:space="preserve">to </w:t>
            </w:r>
            <w:r w:rsidR="0004115E">
              <w:t>indicate</w:t>
            </w:r>
            <w:r>
              <w:t xml:space="preserve"> that </w:t>
            </w:r>
            <w:r w:rsidR="00D41E7E">
              <w:t xml:space="preserve">records from civil registration and vital statistics (CRVS) systems </w:t>
            </w:r>
            <w:r w:rsidR="0004115E">
              <w:t xml:space="preserve">may be a reliable source of </w:t>
            </w:r>
            <w:r w:rsidR="0004115E">
              <w:lastRenderedPageBreak/>
              <w:t>attributes of physical persons and, similarly, a dedicated registry may be a reliable source of attributes of legal persons?</w:t>
            </w:r>
            <w:r w:rsidR="00867472">
              <w:t xml:space="preserve"> </w:t>
            </w:r>
          </w:p>
          <w:p w14:paraId="5B630708" w14:textId="50546FD4" w:rsidR="00217571" w:rsidRDefault="00217571" w:rsidP="000236D7">
            <w:pPr>
              <w:tabs>
                <w:tab w:val="left" w:pos="288"/>
                <w:tab w:val="left" w:pos="576"/>
                <w:tab w:val="left" w:pos="864"/>
              </w:tabs>
              <w:spacing w:before="40" w:after="40" w:line="210" w:lineRule="atLeast"/>
              <w:ind w:right="113"/>
            </w:pPr>
            <w:r>
              <w:t xml:space="preserve">7. Is it necessary to insert a definition of the term “level of assurance”, as used in articles 10(1)(b), 11(3) and 27(c)? The following definition of “level of assurance” was proposed in article 4(g) of </w:t>
            </w:r>
            <w:r w:rsidRPr="00217571">
              <w:t>A/CN.9/WG.IV/WP.157</w:t>
            </w:r>
            <w:r>
              <w:t>: “‘</w:t>
            </w:r>
            <w:r w:rsidRPr="00217571">
              <w:t>Level of assurance</w:t>
            </w:r>
            <w:r>
              <w:t>’</w:t>
            </w:r>
            <w:r w:rsidRPr="00217571">
              <w:t xml:space="preserve"> means a designation of the degree of confidence in the identification and authentication processes –i.e., (a) the degree of confidence in the vetting process used to establish the identity of a subject to whom a credential was issued, and (b) the degree of confidence that the subject using the credential is the subject to whom the credential was issued. The assurance reflects the reliability of methods, processes and technologies used;</w:t>
            </w:r>
            <w:r>
              <w:t>”</w:t>
            </w:r>
            <w:r w:rsidR="007046A6">
              <w:t>.</w:t>
            </w:r>
            <w:r>
              <w:t xml:space="preserve"> </w:t>
            </w:r>
          </w:p>
        </w:tc>
        <w:tc>
          <w:tcPr>
            <w:tcW w:w="7938" w:type="dxa"/>
            <w:shd w:val="clear" w:color="auto" w:fill="auto"/>
          </w:tcPr>
          <w:p w14:paraId="0111B1D3" w14:textId="5D98DC7F" w:rsidR="00D50D95" w:rsidRPr="00D36B76" w:rsidRDefault="00D36B76" w:rsidP="00D50D95">
            <w:pPr>
              <w:tabs>
                <w:tab w:val="left" w:pos="288"/>
                <w:tab w:val="left" w:pos="576"/>
                <w:tab w:val="left" w:pos="864"/>
                <w:tab w:val="left" w:pos="1152"/>
              </w:tabs>
              <w:spacing w:before="40" w:after="40" w:line="210" w:lineRule="atLeast"/>
              <w:ind w:right="113"/>
            </w:pPr>
            <w:r>
              <w:lastRenderedPageBreak/>
              <w:t>[</w:t>
            </w:r>
            <w:r>
              <w:rPr>
                <w:i/>
                <w:iCs/>
              </w:rPr>
              <w:t>insert</w:t>
            </w:r>
            <w:r>
              <w:t>]</w:t>
            </w:r>
          </w:p>
        </w:tc>
      </w:tr>
      <w:tr w:rsidR="0044305E" w:rsidRPr="00081400" w14:paraId="5F6DA978" w14:textId="77777777" w:rsidTr="00AD51AC">
        <w:trPr>
          <w:trHeight w:val="74"/>
        </w:trPr>
        <w:tc>
          <w:tcPr>
            <w:tcW w:w="14301" w:type="dxa"/>
            <w:gridSpan w:val="3"/>
            <w:shd w:val="clear" w:color="auto" w:fill="auto"/>
          </w:tcPr>
          <w:p w14:paraId="6E26BEAB" w14:textId="77777777" w:rsidR="0044305E" w:rsidRPr="00081400" w:rsidRDefault="0044305E" w:rsidP="00081400">
            <w:pPr>
              <w:pStyle w:val="SingleTxt"/>
              <w:spacing w:after="0" w:line="120" w:lineRule="atLeast"/>
              <w:ind w:left="0"/>
              <w:rPr>
                <w:sz w:val="10"/>
              </w:rPr>
            </w:pPr>
          </w:p>
        </w:tc>
      </w:tr>
      <w:tr w:rsidR="00D36B76" w:rsidRPr="007E28CD" w14:paraId="76157341" w14:textId="77777777" w:rsidTr="00FD652D">
        <w:trPr>
          <w:trHeight w:val="408"/>
        </w:trPr>
        <w:tc>
          <w:tcPr>
            <w:tcW w:w="1554" w:type="dxa"/>
            <w:shd w:val="clear" w:color="auto" w:fill="auto"/>
          </w:tcPr>
          <w:p w14:paraId="60E64D1C" w14:textId="189DED26" w:rsidR="00D36B76" w:rsidRPr="00D50D95" w:rsidRDefault="00D36B76" w:rsidP="00D36B76">
            <w:pPr>
              <w:tabs>
                <w:tab w:val="left" w:pos="288"/>
                <w:tab w:val="left" w:pos="576"/>
                <w:tab w:val="left" w:pos="864"/>
                <w:tab w:val="left" w:pos="1152"/>
              </w:tabs>
              <w:spacing w:before="40" w:after="40" w:line="210" w:lineRule="atLeast"/>
              <w:ind w:right="40"/>
              <w:rPr>
                <w:i/>
                <w:iCs/>
              </w:rPr>
            </w:pPr>
            <w:r w:rsidRPr="00D50D95">
              <w:rPr>
                <w:i/>
                <w:iCs/>
              </w:rPr>
              <w:t>Article 2. Scope of application</w:t>
            </w:r>
          </w:p>
        </w:tc>
        <w:tc>
          <w:tcPr>
            <w:tcW w:w="4809" w:type="dxa"/>
            <w:shd w:val="clear" w:color="auto" w:fill="auto"/>
          </w:tcPr>
          <w:p w14:paraId="7E29133E" w14:textId="41FDA993" w:rsidR="00D36B76" w:rsidRPr="00EC2FAB" w:rsidRDefault="00C24353" w:rsidP="00D36B76">
            <w:pPr>
              <w:tabs>
                <w:tab w:val="left" w:pos="288"/>
                <w:tab w:val="left" w:pos="576"/>
                <w:tab w:val="left" w:pos="864"/>
              </w:tabs>
              <w:spacing w:before="40" w:after="40" w:line="210" w:lineRule="atLeast"/>
              <w:ind w:right="113"/>
            </w:pPr>
            <w:r>
              <w:t>—</w:t>
            </w:r>
          </w:p>
        </w:tc>
        <w:tc>
          <w:tcPr>
            <w:tcW w:w="7938" w:type="dxa"/>
            <w:shd w:val="clear" w:color="auto" w:fill="auto"/>
          </w:tcPr>
          <w:p w14:paraId="08D43D32" w14:textId="26280967" w:rsidR="00D36B76" w:rsidRPr="007E28CD"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13B4397C" w14:textId="77777777" w:rsidTr="008671F7">
        <w:trPr>
          <w:trHeight w:val="74"/>
        </w:trPr>
        <w:tc>
          <w:tcPr>
            <w:tcW w:w="14301" w:type="dxa"/>
            <w:gridSpan w:val="3"/>
            <w:shd w:val="clear" w:color="auto" w:fill="auto"/>
          </w:tcPr>
          <w:p w14:paraId="7184EE3B" w14:textId="77777777" w:rsidR="00D36B76" w:rsidRPr="00081400" w:rsidRDefault="00D36B76" w:rsidP="00D36B76">
            <w:pPr>
              <w:pStyle w:val="SingleTxt"/>
              <w:spacing w:after="0" w:line="120" w:lineRule="atLeast"/>
              <w:ind w:left="0"/>
              <w:rPr>
                <w:sz w:val="10"/>
              </w:rPr>
            </w:pPr>
          </w:p>
        </w:tc>
      </w:tr>
      <w:tr w:rsidR="00D36B76" w:rsidRPr="007E28CD" w14:paraId="61441763" w14:textId="77777777" w:rsidTr="00FD652D">
        <w:trPr>
          <w:trHeight w:val="74"/>
        </w:trPr>
        <w:tc>
          <w:tcPr>
            <w:tcW w:w="1554" w:type="dxa"/>
            <w:shd w:val="clear" w:color="auto" w:fill="auto"/>
          </w:tcPr>
          <w:p w14:paraId="3C08636E" w14:textId="191C32DB" w:rsidR="00D36B76" w:rsidRPr="00D50D95" w:rsidRDefault="00D36B76" w:rsidP="00D36B76">
            <w:pPr>
              <w:tabs>
                <w:tab w:val="left" w:pos="288"/>
                <w:tab w:val="left" w:pos="576"/>
                <w:tab w:val="left" w:pos="864"/>
                <w:tab w:val="left" w:pos="1152"/>
              </w:tabs>
              <w:spacing w:before="40" w:after="40" w:line="210" w:lineRule="atLeast"/>
              <w:ind w:right="40"/>
              <w:rPr>
                <w:i/>
                <w:iCs/>
              </w:rPr>
            </w:pPr>
            <w:r w:rsidRPr="00D50D95">
              <w:rPr>
                <w:i/>
                <w:iCs/>
              </w:rPr>
              <w:t>Article 3. Voluntary use of IdM and trust services</w:t>
            </w:r>
          </w:p>
        </w:tc>
        <w:tc>
          <w:tcPr>
            <w:tcW w:w="4809" w:type="dxa"/>
            <w:shd w:val="clear" w:color="auto" w:fill="auto"/>
          </w:tcPr>
          <w:p w14:paraId="28DB43F6" w14:textId="7584F6CF" w:rsidR="00846B5F" w:rsidRPr="00BA080D" w:rsidRDefault="005C371F" w:rsidP="003F0460">
            <w:pPr>
              <w:tabs>
                <w:tab w:val="left" w:pos="288"/>
                <w:tab w:val="left" w:pos="576"/>
                <w:tab w:val="left" w:pos="864"/>
                <w:tab w:val="left" w:pos="1152"/>
              </w:tabs>
              <w:spacing w:before="40" w:after="40" w:line="210" w:lineRule="atLeast"/>
              <w:ind w:right="113"/>
            </w:pPr>
            <w:r>
              <w:t>1. There have been questions about the relationship between articles 2 and 3. Would their relationship be clearer by recasting article 3 to state that “Nothing in this [instrument] requires a [person][relying party] to accept the electronic identification of a</w:t>
            </w:r>
            <w:r w:rsidR="002216BA">
              <w:t xml:space="preserve"> subject</w:t>
            </w:r>
            <w:r>
              <w:t xml:space="preserve"> or to rely on a trust service </w:t>
            </w:r>
            <w:r w:rsidRPr="00E24E58">
              <w:t xml:space="preserve">without the </w:t>
            </w:r>
            <w:r>
              <w:t>[</w:t>
            </w:r>
            <w:r w:rsidRPr="00E24E58">
              <w:t>person’s</w:t>
            </w:r>
            <w:r>
              <w:t>][relying party’s]</w:t>
            </w:r>
            <w:r w:rsidRPr="00E24E58">
              <w:t xml:space="preserve"> consent</w:t>
            </w:r>
            <w:r w:rsidR="002216BA">
              <w:t>.</w:t>
            </w:r>
            <w:r>
              <w:t>”?</w:t>
            </w:r>
          </w:p>
        </w:tc>
        <w:tc>
          <w:tcPr>
            <w:tcW w:w="7938" w:type="dxa"/>
            <w:shd w:val="clear" w:color="auto" w:fill="auto"/>
          </w:tcPr>
          <w:p w14:paraId="7ECAF567" w14:textId="7B13579E" w:rsidR="00D36B76" w:rsidRPr="007E28CD"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275C5402" w14:textId="77777777" w:rsidTr="008671F7">
        <w:trPr>
          <w:trHeight w:val="74"/>
        </w:trPr>
        <w:tc>
          <w:tcPr>
            <w:tcW w:w="14301" w:type="dxa"/>
            <w:gridSpan w:val="3"/>
            <w:shd w:val="clear" w:color="auto" w:fill="auto"/>
          </w:tcPr>
          <w:p w14:paraId="040DFAD4" w14:textId="77777777" w:rsidR="00D36B76" w:rsidRPr="00081400" w:rsidRDefault="00D36B76" w:rsidP="00D36B76">
            <w:pPr>
              <w:pStyle w:val="SingleTxt"/>
              <w:spacing w:after="0" w:line="120" w:lineRule="atLeast"/>
              <w:ind w:left="0"/>
              <w:rPr>
                <w:sz w:val="10"/>
              </w:rPr>
            </w:pPr>
          </w:p>
        </w:tc>
      </w:tr>
      <w:tr w:rsidR="00D36B76" w:rsidRPr="007E28CD" w14:paraId="2900057E" w14:textId="77777777" w:rsidTr="00FD652D">
        <w:trPr>
          <w:trHeight w:val="74"/>
        </w:trPr>
        <w:tc>
          <w:tcPr>
            <w:tcW w:w="1554" w:type="dxa"/>
            <w:shd w:val="clear" w:color="auto" w:fill="auto"/>
          </w:tcPr>
          <w:p w14:paraId="5B342533" w14:textId="0B56A2F7" w:rsidR="00D36B76" w:rsidRPr="00D50D95" w:rsidRDefault="00D36B76" w:rsidP="00D36B76">
            <w:pPr>
              <w:tabs>
                <w:tab w:val="left" w:pos="288"/>
                <w:tab w:val="left" w:pos="576"/>
                <w:tab w:val="left" w:pos="864"/>
                <w:tab w:val="left" w:pos="1152"/>
              </w:tabs>
              <w:spacing w:before="40" w:after="40" w:line="210" w:lineRule="atLeast"/>
              <w:ind w:right="40"/>
              <w:rPr>
                <w:i/>
                <w:iCs/>
              </w:rPr>
            </w:pPr>
            <w:r w:rsidRPr="00D50D95">
              <w:rPr>
                <w:i/>
                <w:iCs/>
              </w:rPr>
              <w:t>Article 4. Interpretation</w:t>
            </w:r>
          </w:p>
        </w:tc>
        <w:tc>
          <w:tcPr>
            <w:tcW w:w="4809" w:type="dxa"/>
            <w:shd w:val="clear" w:color="auto" w:fill="auto"/>
          </w:tcPr>
          <w:p w14:paraId="7A83F249" w14:textId="2AC6C6B2" w:rsidR="00D36B76" w:rsidRDefault="001F65E5" w:rsidP="00D36B76">
            <w:pPr>
              <w:tabs>
                <w:tab w:val="left" w:pos="288"/>
                <w:tab w:val="left" w:pos="576"/>
                <w:tab w:val="left" w:pos="864"/>
                <w:tab w:val="left" w:pos="1152"/>
              </w:tabs>
              <w:spacing w:before="40" w:after="40" w:line="210" w:lineRule="atLeast"/>
              <w:ind w:right="113"/>
            </w:pPr>
            <w:r>
              <w:t>—</w:t>
            </w:r>
          </w:p>
        </w:tc>
        <w:tc>
          <w:tcPr>
            <w:tcW w:w="7938" w:type="dxa"/>
            <w:shd w:val="clear" w:color="auto" w:fill="auto"/>
          </w:tcPr>
          <w:p w14:paraId="32F2D5C7" w14:textId="4B1B5193"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1F3A97EC" w14:textId="77777777" w:rsidTr="008671F7">
        <w:trPr>
          <w:trHeight w:val="74"/>
        </w:trPr>
        <w:tc>
          <w:tcPr>
            <w:tcW w:w="14301" w:type="dxa"/>
            <w:gridSpan w:val="3"/>
            <w:shd w:val="clear" w:color="auto" w:fill="auto"/>
          </w:tcPr>
          <w:p w14:paraId="1C0FA506" w14:textId="77777777" w:rsidR="00D36B76" w:rsidRPr="00081400" w:rsidRDefault="00D36B76" w:rsidP="00D36B76">
            <w:pPr>
              <w:pStyle w:val="SingleTxt"/>
              <w:spacing w:after="0" w:line="120" w:lineRule="atLeast"/>
              <w:ind w:left="0"/>
              <w:rPr>
                <w:sz w:val="10"/>
              </w:rPr>
            </w:pPr>
          </w:p>
        </w:tc>
      </w:tr>
      <w:tr w:rsidR="00D36B76" w:rsidRPr="007E28CD" w14:paraId="4502ED99" w14:textId="77777777" w:rsidTr="007910E0">
        <w:trPr>
          <w:trHeight w:val="74"/>
        </w:trPr>
        <w:tc>
          <w:tcPr>
            <w:tcW w:w="14301" w:type="dxa"/>
            <w:gridSpan w:val="3"/>
            <w:shd w:val="clear" w:color="auto" w:fill="auto"/>
          </w:tcPr>
          <w:p w14:paraId="4E0C32BA" w14:textId="0B8F8227" w:rsidR="00D36B76" w:rsidRDefault="00D36B76" w:rsidP="00D36B76">
            <w:pPr>
              <w:keepNext/>
              <w:tabs>
                <w:tab w:val="left" w:pos="288"/>
                <w:tab w:val="left" w:pos="576"/>
                <w:tab w:val="left" w:pos="864"/>
                <w:tab w:val="left" w:pos="1152"/>
              </w:tabs>
              <w:spacing w:before="40" w:after="40" w:line="210" w:lineRule="atLeast"/>
              <w:ind w:right="113"/>
            </w:pPr>
            <w:r>
              <w:rPr>
                <w:b/>
                <w:bCs/>
              </w:rPr>
              <w:t>Chapter II. Identity management</w:t>
            </w:r>
          </w:p>
        </w:tc>
      </w:tr>
      <w:tr w:rsidR="00D36B76" w:rsidRPr="00081400" w14:paraId="0D30A96E" w14:textId="77777777" w:rsidTr="008671F7">
        <w:trPr>
          <w:trHeight w:val="74"/>
        </w:trPr>
        <w:tc>
          <w:tcPr>
            <w:tcW w:w="14301" w:type="dxa"/>
            <w:gridSpan w:val="3"/>
            <w:shd w:val="clear" w:color="auto" w:fill="auto"/>
          </w:tcPr>
          <w:p w14:paraId="25E2E9D0" w14:textId="77777777" w:rsidR="00D36B76" w:rsidRPr="00081400" w:rsidRDefault="00D36B76" w:rsidP="00D36B76">
            <w:pPr>
              <w:pStyle w:val="SingleTxt"/>
              <w:keepNext/>
              <w:spacing w:after="0" w:line="120" w:lineRule="atLeast"/>
              <w:ind w:left="0"/>
              <w:rPr>
                <w:sz w:val="10"/>
              </w:rPr>
            </w:pPr>
          </w:p>
        </w:tc>
      </w:tr>
      <w:tr w:rsidR="00D36B76" w:rsidRPr="007E28CD" w14:paraId="0BA80206" w14:textId="77777777" w:rsidTr="00FD652D">
        <w:trPr>
          <w:trHeight w:val="74"/>
        </w:trPr>
        <w:tc>
          <w:tcPr>
            <w:tcW w:w="1554" w:type="dxa"/>
            <w:shd w:val="clear" w:color="auto" w:fill="auto"/>
          </w:tcPr>
          <w:p w14:paraId="6AF28145" w14:textId="77777777" w:rsidR="00D36B76" w:rsidRDefault="00D36B76" w:rsidP="00D36B76">
            <w:pPr>
              <w:tabs>
                <w:tab w:val="left" w:pos="288"/>
                <w:tab w:val="left" w:pos="576"/>
                <w:tab w:val="left" w:pos="864"/>
                <w:tab w:val="left" w:pos="1152"/>
              </w:tabs>
              <w:spacing w:before="40" w:after="40" w:line="210" w:lineRule="atLeast"/>
              <w:ind w:right="40"/>
              <w:rPr>
                <w:i/>
                <w:iCs/>
              </w:rPr>
            </w:pPr>
            <w:r w:rsidRPr="00D50D95">
              <w:rPr>
                <w:i/>
                <w:iCs/>
              </w:rPr>
              <w:t>Article 5. Legal recognition of IdM</w:t>
            </w:r>
          </w:p>
          <w:p w14:paraId="0477A0BB" w14:textId="2B6920E5" w:rsidR="00D36B76" w:rsidRPr="00D50D95" w:rsidRDefault="00D36B76" w:rsidP="00D36B76">
            <w:pPr>
              <w:tabs>
                <w:tab w:val="left" w:pos="288"/>
                <w:tab w:val="left" w:pos="576"/>
                <w:tab w:val="left" w:pos="864"/>
                <w:tab w:val="left" w:pos="1152"/>
              </w:tabs>
              <w:spacing w:before="40" w:after="40" w:line="210" w:lineRule="atLeast"/>
              <w:ind w:right="40"/>
              <w:rPr>
                <w:i/>
                <w:iCs/>
              </w:rPr>
            </w:pPr>
            <w:r w:rsidRPr="00FD652D">
              <w:rPr>
                <w:sz w:val="18"/>
                <w:szCs w:val="18"/>
              </w:rPr>
              <w:t>Note:</w:t>
            </w:r>
            <w:r>
              <w:rPr>
                <w:sz w:val="18"/>
                <w:szCs w:val="18"/>
              </w:rPr>
              <w:t xml:space="preserve"> Article 5 is formulated along </w:t>
            </w:r>
            <w:r>
              <w:rPr>
                <w:sz w:val="18"/>
                <w:szCs w:val="18"/>
              </w:rPr>
              <w:lastRenderedPageBreak/>
              <w:t>the lines of article 13.</w:t>
            </w:r>
            <w:r w:rsidRPr="00FD652D">
              <w:rPr>
                <w:sz w:val="18"/>
                <w:szCs w:val="18"/>
              </w:rPr>
              <w:t xml:space="preserve"> </w:t>
            </w:r>
          </w:p>
        </w:tc>
        <w:tc>
          <w:tcPr>
            <w:tcW w:w="4809" w:type="dxa"/>
            <w:shd w:val="clear" w:color="auto" w:fill="auto"/>
          </w:tcPr>
          <w:p w14:paraId="7C5DCB52" w14:textId="1C1831C3" w:rsidR="00D36B76" w:rsidRDefault="001F65E5" w:rsidP="00D36B76">
            <w:pPr>
              <w:tabs>
                <w:tab w:val="left" w:pos="288"/>
                <w:tab w:val="left" w:pos="576"/>
                <w:tab w:val="left" w:pos="864"/>
                <w:tab w:val="left" w:pos="1152"/>
              </w:tabs>
              <w:spacing w:before="40" w:after="40" w:line="210" w:lineRule="atLeast"/>
              <w:ind w:right="113"/>
            </w:pPr>
            <w:r>
              <w:lastRenderedPageBreak/>
              <w:t>—</w:t>
            </w:r>
          </w:p>
        </w:tc>
        <w:tc>
          <w:tcPr>
            <w:tcW w:w="7938" w:type="dxa"/>
            <w:shd w:val="clear" w:color="auto" w:fill="auto"/>
          </w:tcPr>
          <w:p w14:paraId="354DFB21" w14:textId="56BD5C67"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2B1E022B" w14:textId="77777777" w:rsidTr="008671F7">
        <w:trPr>
          <w:trHeight w:val="74"/>
        </w:trPr>
        <w:tc>
          <w:tcPr>
            <w:tcW w:w="14301" w:type="dxa"/>
            <w:gridSpan w:val="3"/>
            <w:shd w:val="clear" w:color="auto" w:fill="auto"/>
          </w:tcPr>
          <w:p w14:paraId="1EE0A4C6" w14:textId="77777777" w:rsidR="00D36B76" w:rsidRPr="00081400" w:rsidRDefault="00D36B76" w:rsidP="00D36B76">
            <w:pPr>
              <w:pStyle w:val="SingleTxt"/>
              <w:spacing w:after="0" w:line="120" w:lineRule="atLeast"/>
              <w:ind w:left="0"/>
              <w:rPr>
                <w:sz w:val="10"/>
              </w:rPr>
            </w:pPr>
          </w:p>
        </w:tc>
      </w:tr>
      <w:tr w:rsidR="00D36B76" w:rsidRPr="007E28CD" w14:paraId="707B19A3" w14:textId="77777777" w:rsidTr="00FD652D">
        <w:trPr>
          <w:trHeight w:val="74"/>
        </w:trPr>
        <w:tc>
          <w:tcPr>
            <w:tcW w:w="1554" w:type="dxa"/>
            <w:shd w:val="clear" w:color="auto" w:fill="auto"/>
          </w:tcPr>
          <w:p w14:paraId="09963939" w14:textId="7FA6DA43" w:rsidR="00D36B76" w:rsidRPr="00D50D95" w:rsidRDefault="00D36B76" w:rsidP="00D36B76">
            <w:pPr>
              <w:tabs>
                <w:tab w:val="left" w:pos="288"/>
                <w:tab w:val="left" w:pos="576"/>
                <w:tab w:val="left" w:pos="864"/>
                <w:tab w:val="left" w:pos="1152"/>
              </w:tabs>
              <w:spacing w:before="40" w:after="40" w:line="210" w:lineRule="atLeast"/>
              <w:ind w:right="40"/>
              <w:rPr>
                <w:i/>
                <w:iCs/>
              </w:rPr>
            </w:pPr>
            <w:r>
              <w:rPr>
                <w:i/>
                <w:iCs/>
              </w:rPr>
              <w:t>Article 6. Obligations of IdM service providers  </w:t>
            </w:r>
          </w:p>
        </w:tc>
        <w:tc>
          <w:tcPr>
            <w:tcW w:w="4809" w:type="dxa"/>
            <w:shd w:val="clear" w:color="auto" w:fill="auto"/>
          </w:tcPr>
          <w:p w14:paraId="631DFB7F" w14:textId="3148CE8C" w:rsidR="00D36B76" w:rsidRDefault="00D36B76" w:rsidP="00D36B76">
            <w:pPr>
              <w:tabs>
                <w:tab w:val="left" w:pos="288"/>
                <w:tab w:val="left" w:pos="576"/>
                <w:tab w:val="left" w:pos="864"/>
                <w:tab w:val="left" w:pos="1152"/>
              </w:tabs>
              <w:spacing w:before="40" w:after="40" w:line="210" w:lineRule="atLeast"/>
              <w:ind w:right="113"/>
            </w:pPr>
            <w:r>
              <w:t>1. Is it desirable to retain the words “at a minimum” in the chapeau?</w:t>
            </w:r>
          </w:p>
        </w:tc>
        <w:tc>
          <w:tcPr>
            <w:tcW w:w="7938" w:type="dxa"/>
            <w:shd w:val="clear" w:color="auto" w:fill="auto"/>
          </w:tcPr>
          <w:p w14:paraId="10463565" w14:textId="6A165E4A"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4BD3EDFE" w14:textId="77777777" w:rsidTr="008671F7">
        <w:trPr>
          <w:trHeight w:val="74"/>
        </w:trPr>
        <w:tc>
          <w:tcPr>
            <w:tcW w:w="14301" w:type="dxa"/>
            <w:gridSpan w:val="3"/>
            <w:shd w:val="clear" w:color="auto" w:fill="auto"/>
          </w:tcPr>
          <w:p w14:paraId="3945F4FA" w14:textId="77777777" w:rsidR="00D36B76" w:rsidRPr="00081400" w:rsidRDefault="00D36B76" w:rsidP="00D36B76">
            <w:pPr>
              <w:pStyle w:val="SingleTxt"/>
              <w:spacing w:after="0" w:line="120" w:lineRule="atLeast"/>
              <w:ind w:left="0"/>
              <w:rPr>
                <w:sz w:val="10"/>
              </w:rPr>
            </w:pPr>
          </w:p>
        </w:tc>
      </w:tr>
      <w:tr w:rsidR="00D36B76" w:rsidRPr="007E28CD" w14:paraId="3E099152" w14:textId="77777777" w:rsidTr="00FD652D">
        <w:trPr>
          <w:trHeight w:val="74"/>
        </w:trPr>
        <w:tc>
          <w:tcPr>
            <w:tcW w:w="1554" w:type="dxa"/>
            <w:shd w:val="clear" w:color="auto" w:fill="auto"/>
          </w:tcPr>
          <w:p w14:paraId="4C1153AE" w14:textId="77777777"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7. Obligations of IdM service providers in case of data breach</w:t>
            </w:r>
          </w:p>
          <w:p w14:paraId="34CBFAEC" w14:textId="0D8B3C12" w:rsidR="00D36B76" w:rsidRPr="00FD652D" w:rsidRDefault="00D36B76" w:rsidP="00D36B76">
            <w:pPr>
              <w:tabs>
                <w:tab w:val="left" w:pos="288"/>
                <w:tab w:val="left" w:pos="576"/>
                <w:tab w:val="left" w:pos="864"/>
                <w:tab w:val="left" w:pos="1152"/>
              </w:tabs>
              <w:spacing w:before="40" w:after="40" w:line="210" w:lineRule="atLeast"/>
              <w:ind w:right="40"/>
              <w:rPr>
                <w:sz w:val="18"/>
                <w:szCs w:val="18"/>
              </w:rPr>
            </w:pPr>
            <w:r w:rsidRPr="00FD652D">
              <w:rPr>
                <w:sz w:val="18"/>
                <w:szCs w:val="18"/>
              </w:rPr>
              <w:t>Note: Article 7 is formulated along the lines of article 14(2)</w:t>
            </w:r>
          </w:p>
        </w:tc>
        <w:tc>
          <w:tcPr>
            <w:tcW w:w="4809" w:type="dxa"/>
            <w:shd w:val="clear" w:color="auto" w:fill="auto"/>
          </w:tcPr>
          <w:p w14:paraId="10660621" w14:textId="10457A6D" w:rsidR="00D36B76" w:rsidRDefault="00D36B76" w:rsidP="00D36B76">
            <w:pPr>
              <w:tabs>
                <w:tab w:val="left" w:pos="288"/>
                <w:tab w:val="left" w:pos="576"/>
                <w:tab w:val="left" w:pos="864"/>
                <w:tab w:val="left" w:pos="1152"/>
              </w:tabs>
              <w:spacing w:before="40" w:after="40" w:line="210" w:lineRule="atLeast"/>
              <w:ind w:right="113"/>
            </w:pPr>
            <w:r>
              <w:t>1. Is “containing” a security breach the desired objective of the steps taken by the IdM service provider to respond to the breach, as required by article 7(1)(a) (see article 14(2) and footnotes 28 and 43 of WP.162)?</w:t>
            </w:r>
          </w:p>
        </w:tc>
        <w:tc>
          <w:tcPr>
            <w:tcW w:w="7938" w:type="dxa"/>
            <w:shd w:val="clear" w:color="auto" w:fill="auto"/>
          </w:tcPr>
          <w:p w14:paraId="3505E406" w14:textId="419B8519"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5B7C9A4B" w14:textId="77777777" w:rsidTr="008671F7">
        <w:trPr>
          <w:trHeight w:val="74"/>
        </w:trPr>
        <w:tc>
          <w:tcPr>
            <w:tcW w:w="14301" w:type="dxa"/>
            <w:gridSpan w:val="3"/>
            <w:shd w:val="clear" w:color="auto" w:fill="auto"/>
          </w:tcPr>
          <w:p w14:paraId="1C5DF494" w14:textId="77777777" w:rsidR="00D36B76" w:rsidRPr="00081400" w:rsidRDefault="00D36B76" w:rsidP="00D36B76">
            <w:pPr>
              <w:pStyle w:val="SingleTxt"/>
              <w:spacing w:after="0" w:line="120" w:lineRule="atLeast"/>
              <w:ind w:left="0"/>
              <w:rPr>
                <w:sz w:val="10"/>
              </w:rPr>
            </w:pPr>
          </w:p>
        </w:tc>
      </w:tr>
      <w:tr w:rsidR="00D36B76" w:rsidRPr="007E28CD" w14:paraId="0FA4FA94" w14:textId="77777777" w:rsidTr="00FD652D">
        <w:trPr>
          <w:trHeight w:val="74"/>
        </w:trPr>
        <w:tc>
          <w:tcPr>
            <w:tcW w:w="1554" w:type="dxa"/>
            <w:shd w:val="clear" w:color="auto" w:fill="auto"/>
          </w:tcPr>
          <w:p w14:paraId="68FD672F" w14:textId="77777777"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8. Obligations of subscribers</w:t>
            </w:r>
          </w:p>
          <w:p w14:paraId="2733B7A9" w14:textId="3B14A41B" w:rsidR="00D36B76" w:rsidRPr="00FD652D" w:rsidRDefault="00D36B76" w:rsidP="00D36B76">
            <w:pPr>
              <w:tabs>
                <w:tab w:val="left" w:pos="288"/>
                <w:tab w:val="left" w:pos="576"/>
                <w:tab w:val="left" w:pos="864"/>
                <w:tab w:val="left" w:pos="1152"/>
              </w:tabs>
              <w:spacing w:before="40" w:after="40" w:line="210" w:lineRule="atLeast"/>
              <w:ind w:right="40"/>
              <w:rPr>
                <w:sz w:val="18"/>
                <w:szCs w:val="18"/>
              </w:rPr>
            </w:pPr>
            <w:r w:rsidRPr="00FD652D">
              <w:rPr>
                <w:sz w:val="18"/>
                <w:szCs w:val="18"/>
              </w:rPr>
              <w:t>Note: Article 8 is formulated along the lines of article 15</w:t>
            </w:r>
          </w:p>
        </w:tc>
        <w:tc>
          <w:tcPr>
            <w:tcW w:w="4809" w:type="dxa"/>
            <w:shd w:val="clear" w:color="auto" w:fill="auto"/>
          </w:tcPr>
          <w:p w14:paraId="06198432" w14:textId="19F9F179" w:rsidR="00D36B76" w:rsidRDefault="007900ED" w:rsidP="00D36B76">
            <w:pPr>
              <w:tabs>
                <w:tab w:val="left" w:pos="288"/>
                <w:tab w:val="left" w:pos="576"/>
                <w:tab w:val="left" w:pos="864"/>
                <w:tab w:val="left" w:pos="1152"/>
              </w:tabs>
              <w:spacing w:before="40" w:after="40" w:line="210" w:lineRule="atLeast"/>
              <w:ind w:right="113"/>
            </w:pPr>
            <w:r>
              <w:t xml:space="preserve">1. </w:t>
            </w:r>
            <w:r w:rsidR="00F37C8C">
              <w:t>After the revision of the definition of “user”, which now refers to “subscriber”</w:t>
            </w:r>
            <w:r>
              <w:t xml:space="preserve"> (see footnote 15)</w:t>
            </w:r>
            <w:r w:rsidR="00F37C8C">
              <w:t>, the draft provisions do not contain any reference to relying third parties.</w:t>
            </w:r>
            <w:r w:rsidR="00C15630">
              <w:t xml:space="preserve"> The Working Group decided not to impose any obligation on relying third parties </w:t>
            </w:r>
            <w:r w:rsidR="008D3F3C">
              <w:t>absent</w:t>
            </w:r>
            <w:r w:rsidR="00C15630">
              <w:t xml:space="preserve"> a contractual agreement </w:t>
            </w:r>
            <w:r w:rsidR="008D3F3C">
              <w:t>with IdM service providers (</w:t>
            </w:r>
            <w:r w:rsidR="008D3F3C" w:rsidRPr="008D3F3C">
              <w:t>A/CN.9/1005</w:t>
            </w:r>
            <w:r w:rsidR="008D3F3C">
              <w:t xml:space="preserve">, para. 95). Are there any circumstances in which rights and obligations of </w:t>
            </w:r>
            <w:r>
              <w:t xml:space="preserve">relying third parties should be </w:t>
            </w:r>
            <w:r w:rsidR="008D3F3C">
              <w:t>addressed</w:t>
            </w:r>
            <w:r>
              <w:t xml:space="preserve"> in the draft provisions (e.g., to notify breaches</w:t>
            </w:r>
            <w:r w:rsidR="008D3F3C">
              <w:t xml:space="preserve"> of which</w:t>
            </w:r>
            <w:r>
              <w:t xml:space="preserve"> they are aware)? </w:t>
            </w:r>
          </w:p>
        </w:tc>
        <w:tc>
          <w:tcPr>
            <w:tcW w:w="7938" w:type="dxa"/>
            <w:shd w:val="clear" w:color="auto" w:fill="auto"/>
          </w:tcPr>
          <w:p w14:paraId="1BF135AD" w14:textId="000A246B"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43842BD4" w14:textId="77777777" w:rsidTr="008671F7">
        <w:trPr>
          <w:trHeight w:val="74"/>
        </w:trPr>
        <w:tc>
          <w:tcPr>
            <w:tcW w:w="14301" w:type="dxa"/>
            <w:gridSpan w:val="3"/>
            <w:shd w:val="clear" w:color="auto" w:fill="auto"/>
          </w:tcPr>
          <w:p w14:paraId="563828DB" w14:textId="77777777" w:rsidR="00D36B76" w:rsidRPr="00081400" w:rsidRDefault="00D36B76" w:rsidP="00D36B76">
            <w:pPr>
              <w:pStyle w:val="SingleTxt"/>
              <w:spacing w:after="0" w:line="120" w:lineRule="atLeast"/>
              <w:ind w:left="0"/>
              <w:rPr>
                <w:sz w:val="10"/>
              </w:rPr>
            </w:pPr>
          </w:p>
        </w:tc>
      </w:tr>
      <w:tr w:rsidR="00D36B76" w:rsidRPr="007E28CD" w14:paraId="5D186B0D" w14:textId="77777777" w:rsidTr="00FD652D">
        <w:trPr>
          <w:trHeight w:val="74"/>
        </w:trPr>
        <w:tc>
          <w:tcPr>
            <w:tcW w:w="1554" w:type="dxa"/>
            <w:shd w:val="clear" w:color="auto" w:fill="auto"/>
          </w:tcPr>
          <w:p w14:paraId="03FEEA1A" w14:textId="14C63045"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9. Identification</w:t>
            </w:r>
            <w:r w:rsidR="007A4197">
              <w:rPr>
                <w:i/>
                <w:iCs/>
              </w:rPr>
              <w:t xml:space="preserve"> </w:t>
            </w:r>
            <w:r>
              <w:rPr>
                <w:i/>
                <w:iCs/>
              </w:rPr>
              <w:t>using IdM</w:t>
            </w:r>
          </w:p>
        </w:tc>
        <w:tc>
          <w:tcPr>
            <w:tcW w:w="4809" w:type="dxa"/>
            <w:shd w:val="clear" w:color="auto" w:fill="auto"/>
          </w:tcPr>
          <w:p w14:paraId="0E729C81" w14:textId="77777777" w:rsidR="00D36B76" w:rsidRDefault="00D36B76" w:rsidP="00D36B76">
            <w:pPr>
              <w:tabs>
                <w:tab w:val="left" w:pos="288"/>
                <w:tab w:val="left" w:pos="576"/>
                <w:tab w:val="left" w:pos="864"/>
                <w:tab w:val="left" w:pos="1152"/>
              </w:tabs>
              <w:spacing w:before="40" w:after="40" w:line="210" w:lineRule="atLeast"/>
              <w:ind w:right="113"/>
            </w:pPr>
            <w:r>
              <w:t>1. Which option for article 9(1) is preferable (see footnotes 30 to 32 of WP.162)?</w:t>
            </w:r>
          </w:p>
          <w:p w14:paraId="6410A61C" w14:textId="099CEE41" w:rsidR="00041AEA" w:rsidRDefault="00041AEA" w:rsidP="00D36B76">
            <w:pPr>
              <w:tabs>
                <w:tab w:val="left" w:pos="288"/>
                <w:tab w:val="left" w:pos="576"/>
                <w:tab w:val="left" w:pos="864"/>
                <w:tab w:val="left" w:pos="1152"/>
              </w:tabs>
              <w:spacing w:before="40" w:after="40" w:line="210" w:lineRule="atLeast"/>
              <w:ind w:right="113"/>
            </w:pPr>
            <w:r>
              <w:t>2. What is the relationship between article 2(3) and article 9?</w:t>
            </w:r>
          </w:p>
          <w:p w14:paraId="646CE7B0" w14:textId="2744C253" w:rsidR="007900ED" w:rsidRDefault="007900ED" w:rsidP="00D36B76">
            <w:pPr>
              <w:tabs>
                <w:tab w:val="left" w:pos="288"/>
                <w:tab w:val="left" w:pos="576"/>
                <w:tab w:val="left" w:pos="864"/>
                <w:tab w:val="left" w:pos="1152"/>
              </w:tabs>
              <w:spacing w:before="40" w:after="40" w:line="210" w:lineRule="atLeast"/>
              <w:ind w:right="113"/>
            </w:pPr>
            <w:r>
              <w:t>3. Is it necessary to retain a functional equivalence provision for identification, or are the identification components of electronic signatures and electronic seals sufficient to achieve the desired goal of establishing functional equivalence standards for identification?</w:t>
            </w:r>
          </w:p>
          <w:p w14:paraId="45C917A3" w14:textId="2922AF36" w:rsidR="00041AEA" w:rsidRDefault="007900ED" w:rsidP="00D36B76">
            <w:pPr>
              <w:tabs>
                <w:tab w:val="left" w:pos="288"/>
                <w:tab w:val="left" w:pos="576"/>
                <w:tab w:val="left" w:pos="864"/>
                <w:tab w:val="left" w:pos="1152"/>
              </w:tabs>
              <w:spacing w:before="40" w:after="40" w:line="210" w:lineRule="atLeast"/>
              <w:ind w:right="113"/>
            </w:pPr>
            <w:r>
              <w:t>4</w:t>
            </w:r>
            <w:r w:rsidR="00041AEA">
              <w:t xml:space="preserve">. </w:t>
            </w:r>
            <w:r>
              <w:t xml:space="preserve">If article 9 is retained, </w:t>
            </w:r>
            <w:r w:rsidR="008A7E3B">
              <w:t xml:space="preserve">should </w:t>
            </w:r>
            <w:r w:rsidR="00041AEA">
              <w:t>the reliability standard of the method referred to in article 9 be qualified as “reliable as appropriate” to better reflect the varying standards for offline identification?</w:t>
            </w:r>
          </w:p>
          <w:p w14:paraId="65678C9C" w14:textId="7AB85EE8" w:rsidR="00687EB1" w:rsidRDefault="00687EB1" w:rsidP="00D36B76">
            <w:pPr>
              <w:tabs>
                <w:tab w:val="left" w:pos="288"/>
                <w:tab w:val="left" w:pos="576"/>
                <w:tab w:val="left" w:pos="864"/>
                <w:tab w:val="left" w:pos="1152"/>
              </w:tabs>
              <w:spacing w:before="40" w:after="40" w:line="210" w:lineRule="atLeast"/>
              <w:ind w:right="113"/>
            </w:pPr>
            <w:r>
              <w:t xml:space="preserve">5. </w:t>
            </w:r>
            <w:r w:rsidR="00120019">
              <w:t>In practice, a relying party may use its own IdM service for the electronic identification of a subject, in which case, the relying party is the IdM service provider. Is it desirable to insert a provision to acknowledge that the IdM service provider might be the person seeking to rely on the electronic identification</w:t>
            </w:r>
            <w:r w:rsidR="00641C65">
              <w:t>?</w:t>
            </w:r>
            <w:r w:rsidR="00120019">
              <w:t xml:space="preserve"> (</w:t>
            </w:r>
            <w:r w:rsidR="00641C65">
              <w:t xml:space="preserve">Compare </w:t>
            </w:r>
            <w:r w:rsidR="00120019">
              <w:t>article 10(3) MLEC</w:t>
            </w:r>
            <w:r w:rsidR="00641C65">
              <w:t xml:space="preserve"> for the reverse situation.</w:t>
            </w:r>
            <w:r w:rsidR="00120019">
              <w:t>)</w:t>
            </w:r>
          </w:p>
        </w:tc>
        <w:tc>
          <w:tcPr>
            <w:tcW w:w="7938" w:type="dxa"/>
            <w:shd w:val="clear" w:color="auto" w:fill="auto"/>
          </w:tcPr>
          <w:p w14:paraId="508A1A1B" w14:textId="13BD32D8"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47E56F01" w14:textId="77777777" w:rsidTr="008671F7">
        <w:trPr>
          <w:trHeight w:val="74"/>
        </w:trPr>
        <w:tc>
          <w:tcPr>
            <w:tcW w:w="14301" w:type="dxa"/>
            <w:gridSpan w:val="3"/>
            <w:shd w:val="clear" w:color="auto" w:fill="auto"/>
          </w:tcPr>
          <w:p w14:paraId="40924ECA" w14:textId="77777777" w:rsidR="00D36B76" w:rsidRPr="00081400" w:rsidRDefault="00D36B76" w:rsidP="00D36B76">
            <w:pPr>
              <w:pStyle w:val="SingleTxt"/>
              <w:spacing w:after="0" w:line="120" w:lineRule="atLeast"/>
              <w:ind w:left="0"/>
              <w:rPr>
                <w:sz w:val="10"/>
              </w:rPr>
            </w:pPr>
          </w:p>
        </w:tc>
      </w:tr>
      <w:tr w:rsidR="00D36B76" w:rsidRPr="007E28CD" w14:paraId="0F937BA1" w14:textId="77777777" w:rsidTr="00FD652D">
        <w:trPr>
          <w:trHeight w:val="74"/>
        </w:trPr>
        <w:tc>
          <w:tcPr>
            <w:tcW w:w="1554" w:type="dxa"/>
            <w:shd w:val="clear" w:color="auto" w:fill="auto"/>
          </w:tcPr>
          <w:p w14:paraId="2F90593A" w14:textId="77777777"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10. Factors relevant to determining reliability</w:t>
            </w:r>
          </w:p>
          <w:p w14:paraId="750AE09B" w14:textId="02C022AF" w:rsidR="00D36B76" w:rsidRDefault="00D36B76" w:rsidP="00D36B76">
            <w:pPr>
              <w:tabs>
                <w:tab w:val="left" w:pos="288"/>
                <w:tab w:val="left" w:pos="576"/>
                <w:tab w:val="left" w:pos="864"/>
                <w:tab w:val="left" w:pos="1152"/>
              </w:tabs>
              <w:spacing w:before="40" w:after="40" w:line="210" w:lineRule="atLeast"/>
              <w:ind w:right="40"/>
              <w:rPr>
                <w:i/>
                <w:iCs/>
              </w:rPr>
            </w:pPr>
            <w:r w:rsidRPr="00FD652D">
              <w:rPr>
                <w:sz w:val="18"/>
                <w:szCs w:val="18"/>
              </w:rPr>
              <w:t xml:space="preserve">Note: </w:t>
            </w:r>
            <w:r>
              <w:rPr>
                <w:sz w:val="18"/>
                <w:szCs w:val="18"/>
              </w:rPr>
              <w:t>Article 23 is the corresponding provision for trust services</w:t>
            </w:r>
          </w:p>
        </w:tc>
        <w:tc>
          <w:tcPr>
            <w:tcW w:w="4809" w:type="dxa"/>
            <w:shd w:val="clear" w:color="auto" w:fill="auto"/>
          </w:tcPr>
          <w:p w14:paraId="43E65053" w14:textId="77777777" w:rsidR="00D36B76" w:rsidRDefault="00491F0E" w:rsidP="00D36B76">
            <w:pPr>
              <w:tabs>
                <w:tab w:val="left" w:pos="288"/>
                <w:tab w:val="left" w:pos="576"/>
                <w:tab w:val="left" w:pos="864"/>
                <w:tab w:val="left" w:pos="1152"/>
              </w:tabs>
              <w:spacing w:before="40" w:after="40" w:line="210" w:lineRule="atLeast"/>
              <w:ind w:right="113"/>
            </w:pPr>
            <w:r>
              <w:t>1. Article 10</w:t>
            </w:r>
            <w:r w:rsidR="00FC1EE8">
              <w:t>(1)</w:t>
            </w:r>
            <w:r>
              <w:t xml:space="preserve">(d) aims at accommodating IdM systems governed by contractual rules such as </w:t>
            </w:r>
            <w:r w:rsidR="00521550">
              <w:t>trust frameworks. Its operation is limited to the parties to those contractual agreements. Is the provision sufficient for its intended purpose? Or does it require further specification (</w:t>
            </w:r>
            <w:r w:rsidR="00FC1EE8">
              <w:t xml:space="preserve">either </w:t>
            </w:r>
            <w:r w:rsidR="00521550">
              <w:t>in the provision itself or in an explanatory document)?</w:t>
            </w:r>
          </w:p>
          <w:p w14:paraId="3D578D79" w14:textId="6B2A608C" w:rsidR="008D3F3C" w:rsidRDefault="008D3F3C" w:rsidP="00D36B76">
            <w:pPr>
              <w:tabs>
                <w:tab w:val="left" w:pos="288"/>
                <w:tab w:val="left" w:pos="576"/>
                <w:tab w:val="left" w:pos="864"/>
                <w:tab w:val="left" w:pos="1152"/>
              </w:tabs>
              <w:spacing w:before="40" w:after="40" w:line="210" w:lineRule="atLeast"/>
              <w:ind w:right="113"/>
            </w:pPr>
            <w:r>
              <w:t>2. Does the title of article 10 adequately reflect its content</w:t>
            </w:r>
            <w:r w:rsidR="00210C09">
              <w:t>?</w:t>
            </w:r>
            <w:r>
              <w:t xml:space="preserve"> </w:t>
            </w:r>
            <w:r w:rsidR="00210C09">
              <w:t>If not, s</w:t>
            </w:r>
            <w:r>
              <w:t xml:space="preserve">hould it </w:t>
            </w:r>
            <w:r w:rsidR="00210C09">
              <w:t>be replaced by “R</w:t>
            </w:r>
            <w:r w:rsidR="00210C09" w:rsidRPr="00210C09">
              <w:t>equirements for determining reliability</w:t>
            </w:r>
            <w:r w:rsidR="00210C09">
              <w:t>”? Should the titles of articles 10 and 23 be aligned?</w:t>
            </w:r>
          </w:p>
        </w:tc>
        <w:tc>
          <w:tcPr>
            <w:tcW w:w="7938" w:type="dxa"/>
            <w:shd w:val="clear" w:color="auto" w:fill="auto"/>
          </w:tcPr>
          <w:p w14:paraId="62DB3BD6" w14:textId="4644493A"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023B56B5" w14:textId="77777777" w:rsidTr="008671F7">
        <w:trPr>
          <w:trHeight w:val="74"/>
        </w:trPr>
        <w:tc>
          <w:tcPr>
            <w:tcW w:w="14301" w:type="dxa"/>
            <w:gridSpan w:val="3"/>
            <w:shd w:val="clear" w:color="auto" w:fill="auto"/>
          </w:tcPr>
          <w:p w14:paraId="47E0481D" w14:textId="77777777" w:rsidR="00D36B76" w:rsidRPr="00081400" w:rsidRDefault="00D36B76" w:rsidP="00D36B76">
            <w:pPr>
              <w:pStyle w:val="SingleTxt"/>
              <w:spacing w:after="0" w:line="120" w:lineRule="atLeast"/>
              <w:ind w:left="0"/>
              <w:rPr>
                <w:sz w:val="10"/>
              </w:rPr>
            </w:pPr>
          </w:p>
        </w:tc>
      </w:tr>
      <w:tr w:rsidR="00D36B76" w:rsidRPr="007E28CD" w14:paraId="6D272AA7" w14:textId="77777777" w:rsidTr="00FD652D">
        <w:trPr>
          <w:trHeight w:val="74"/>
        </w:trPr>
        <w:tc>
          <w:tcPr>
            <w:tcW w:w="1554" w:type="dxa"/>
            <w:shd w:val="clear" w:color="auto" w:fill="auto"/>
          </w:tcPr>
          <w:p w14:paraId="55C67AD1" w14:textId="77777777"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11. Designation of reliable IdM systems</w:t>
            </w:r>
          </w:p>
          <w:p w14:paraId="1113EFB5" w14:textId="21CD7F2C" w:rsidR="00D36B76" w:rsidRDefault="00D36B76" w:rsidP="00D36B76">
            <w:pPr>
              <w:tabs>
                <w:tab w:val="left" w:pos="288"/>
                <w:tab w:val="left" w:pos="576"/>
                <w:tab w:val="left" w:pos="864"/>
                <w:tab w:val="left" w:pos="1152"/>
              </w:tabs>
              <w:spacing w:before="40" w:after="40" w:line="210" w:lineRule="atLeast"/>
              <w:ind w:right="40"/>
              <w:rPr>
                <w:i/>
                <w:iCs/>
              </w:rPr>
            </w:pPr>
            <w:r w:rsidRPr="00FD652D">
              <w:rPr>
                <w:sz w:val="18"/>
                <w:szCs w:val="18"/>
              </w:rPr>
              <w:t>Note: Article </w:t>
            </w:r>
            <w:r>
              <w:rPr>
                <w:sz w:val="18"/>
                <w:szCs w:val="18"/>
              </w:rPr>
              <w:t>11</w:t>
            </w:r>
            <w:r w:rsidRPr="00FD652D">
              <w:rPr>
                <w:sz w:val="18"/>
                <w:szCs w:val="18"/>
              </w:rPr>
              <w:t xml:space="preserve"> is formulated along the lines of article </w:t>
            </w:r>
            <w:r>
              <w:rPr>
                <w:sz w:val="18"/>
                <w:szCs w:val="18"/>
              </w:rPr>
              <w:t>24</w:t>
            </w:r>
          </w:p>
        </w:tc>
        <w:tc>
          <w:tcPr>
            <w:tcW w:w="4809" w:type="dxa"/>
            <w:shd w:val="clear" w:color="auto" w:fill="auto"/>
          </w:tcPr>
          <w:p w14:paraId="44DFAB66" w14:textId="3E34E90B" w:rsidR="00D36B76" w:rsidRDefault="001F65E5" w:rsidP="00D36B76">
            <w:pPr>
              <w:tabs>
                <w:tab w:val="left" w:pos="288"/>
                <w:tab w:val="left" w:pos="576"/>
                <w:tab w:val="left" w:pos="864"/>
                <w:tab w:val="left" w:pos="1152"/>
              </w:tabs>
              <w:spacing w:before="40" w:after="40" w:line="210" w:lineRule="atLeast"/>
              <w:ind w:right="113"/>
            </w:pPr>
            <w:r>
              <w:t>—</w:t>
            </w:r>
          </w:p>
        </w:tc>
        <w:tc>
          <w:tcPr>
            <w:tcW w:w="7938" w:type="dxa"/>
            <w:shd w:val="clear" w:color="auto" w:fill="auto"/>
          </w:tcPr>
          <w:p w14:paraId="53BF4E2E" w14:textId="0E4F64D1"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1A4D1D9C" w14:textId="77777777" w:rsidTr="008671F7">
        <w:trPr>
          <w:trHeight w:val="74"/>
        </w:trPr>
        <w:tc>
          <w:tcPr>
            <w:tcW w:w="14301" w:type="dxa"/>
            <w:gridSpan w:val="3"/>
            <w:shd w:val="clear" w:color="auto" w:fill="auto"/>
          </w:tcPr>
          <w:p w14:paraId="397A0CE2" w14:textId="77777777" w:rsidR="00D36B76" w:rsidRPr="00081400" w:rsidRDefault="00D36B76" w:rsidP="00D36B76">
            <w:pPr>
              <w:pStyle w:val="SingleTxt"/>
              <w:spacing w:after="0" w:line="120" w:lineRule="atLeast"/>
              <w:ind w:left="0"/>
              <w:rPr>
                <w:sz w:val="10"/>
              </w:rPr>
            </w:pPr>
          </w:p>
        </w:tc>
      </w:tr>
      <w:tr w:rsidR="00D36B76" w:rsidRPr="007E28CD" w14:paraId="435D38D7" w14:textId="77777777" w:rsidTr="00FD652D">
        <w:trPr>
          <w:trHeight w:val="74"/>
        </w:trPr>
        <w:tc>
          <w:tcPr>
            <w:tcW w:w="1554" w:type="dxa"/>
            <w:shd w:val="clear" w:color="auto" w:fill="auto"/>
          </w:tcPr>
          <w:p w14:paraId="08AFD4A3" w14:textId="77777777"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12. Liability of IdM service provider</w:t>
            </w:r>
          </w:p>
          <w:p w14:paraId="7887FDFD" w14:textId="05BB6821" w:rsidR="00D36B76" w:rsidRDefault="00D36B76" w:rsidP="00D36B76">
            <w:pPr>
              <w:tabs>
                <w:tab w:val="left" w:pos="288"/>
                <w:tab w:val="left" w:pos="576"/>
                <w:tab w:val="left" w:pos="864"/>
                <w:tab w:val="left" w:pos="1152"/>
              </w:tabs>
              <w:spacing w:before="40" w:after="40" w:line="210" w:lineRule="atLeast"/>
              <w:ind w:right="40"/>
              <w:rPr>
                <w:i/>
                <w:iCs/>
              </w:rPr>
            </w:pPr>
            <w:r w:rsidRPr="00FD652D">
              <w:rPr>
                <w:sz w:val="18"/>
                <w:szCs w:val="18"/>
              </w:rPr>
              <w:t>Note: Article </w:t>
            </w:r>
            <w:r>
              <w:rPr>
                <w:sz w:val="18"/>
                <w:szCs w:val="18"/>
              </w:rPr>
              <w:t>12</w:t>
            </w:r>
            <w:r w:rsidRPr="00FD652D">
              <w:rPr>
                <w:sz w:val="18"/>
                <w:szCs w:val="18"/>
              </w:rPr>
              <w:t xml:space="preserve"> is formulated along the lines of article </w:t>
            </w:r>
            <w:r>
              <w:rPr>
                <w:sz w:val="18"/>
                <w:szCs w:val="18"/>
              </w:rPr>
              <w:t>25</w:t>
            </w:r>
          </w:p>
        </w:tc>
        <w:tc>
          <w:tcPr>
            <w:tcW w:w="4809" w:type="dxa"/>
            <w:shd w:val="clear" w:color="auto" w:fill="auto"/>
          </w:tcPr>
          <w:p w14:paraId="090BA4FA" w14:textId="77777777" w:rsidR="00D36B76" w:rsidRDefault="00D36B76" w:rsidP="00D36B76">
            <w:pPr>
              <w:tabs>
                <w:tab w:val="left" w:pos="288"/>
                <w:tab w:val="left" w:pos="576"/>
                <w:tab w:val="left" w:pos="864"/>
                <w:tab w:val="left" w:pos="1152"/>
              </w:tabs>
              <w:spacing w:before="40" w:after="40" w:line="210" w:lineRule="atLeast"/>
              <w:ind w:right="113"/>
            </w:pPr>
            <w:r>
              <w:t xml:space="preserve">1. Which option for article 12 is preferable (see footnote 35 of WP.162)? </w:t>
            </w:r>
          </w:p>
          <w:p w14:paraId="7A6A3DD3" w14:textId="42E071AF" w:rsidR="00D36B76" w:rsidRDefault="00D36B76" w:rsidP="00D36B76">
            <w:pPr>
              <w:tabs>
                <w:tab w:val="left" w:pos="288"/>
                <w:tab w:val="left" w:pos="576"/>
                <w:tab w:val="left" w:pos="864"/>
                <w:tab w:val="left" w:pos="1152"/>
              </w:tabs>
              <w:spacing w:before="40" w:after="40" w:line="210" w:lineRule="atLeast"/>
              <w:ind w:right="113"/>
            </w:pPr>
            <w:r>
              <w:t xml:space="preserve">2. If option A is preferred, is it necessary to include </w:t>
            </w:r>
            <w:r w:rsidR="00601F5D">
              <w:t xml:space="preserve">such </w:t>
            </w:r>
            <w:r>
              <w:t>provision on liability at all (see footnote 36 of WP.162)</w:t>
            </w:r>
            <w:r w:rsidR="00622E6E">
              <w:t>?</w:t>
            </w:r>
          </w:p>
          <w:p w14:paraId="4BA46CCE" w14:textId="56BD759C" w:rsidR="00622E6E" w:rsidRDefault="00622E6E" w:rsidP="00D36B76">
            <w:pPr>
              <w:tabs>
                <w:tab w:val="left" w:pos="288"/>
                <w:tab w:val="left" w:pos="576"/>
                <w:tab w:val="left" w:pos="864"/>
                <w:tab w:val="left" w:pos="1152"/>
              </w:tabs>
              <w:spacing w:before="40" w:after="40" w:line="210" w:lineRule="atLeast"/>
              <w:ind w:right="113"/>
            </w:pPr>
            <w:r>
              <w:t xml:space="preserve">3. If option B or option C is preferred, is it necessary to include a provision waiving liability for public </w:t>
            </w:r>
            <w:r w:rsidR="00274143">
              <w:t xml:space="preserve">IdM </w:t>
            </w:r>
            <w:r>
              <w:t>service providers?</w:t>
            </w:r>
          </w:p>
          <w:p w14:paraId="5BC5B3BB" w14:textId="25BBA799" w:rsidR="00B4776A" w:rsidRDefault="00B4776A" w:rsidP="00D36B76">
            <w:pPr>
              <w:tabs>
                <w:tab w:val="left" w:pos="288"/>
                <w:tab w:val="left" w:pos="576"/>
                <w:tab w:val="left" w:pos="864"/>
                <w:tab w:val="left" w:pos="1152"/>
              </w:tabs>
              <w:spacing w:before="40" w:after="40" w:line="210" w:lineRule="atLeast"/>
              <w:ind w:right="113"/>
            </w:pPr>
            <w:r>
              <w:t>4. If option B or option C is preferred, i</w:t>
            </w:r>
            <w:r w:rsidR="004869FA">
              <w:t>s</w:t>
            </w:r>
            <w:r>
              <w:t xml:space="preserve"> i</w:t>
            </w:r>
            <w:r w:rsidR="004869FA">
              <w:t>t</w:t>
            </w:r>
            <w:r>
              <w:t xml:space="preserve"> </w:t>
            </w:r>
            <w:r w:rsidR="00D41E7E">
              <w:t>desirable</w:t>
            </w:r>
            <w:r>
              <w:t xml:space="preserve"> to </w:t>
            </w:r>
            <w:r w:rsidR="00AB5878">
              <w:t>treat differently the liability of an IdM service provider arising from the use of an IdM system that is designated pursuant to article 11?</w:t>
            </w:r>
            <w:r>
              <w:t xml:space="preserve"> If so, how?</w:t>
            </w:r>
          </w:p>
          <w:p w14:paraId="1427C8B3" w14:textId="3E951A74" w:rsidR="00B4776A" w:rsidRDefault="00B4776A" w:rsidP="00D36B76">
            <w:pPr>
              <w:tabs>
                <w:tab w:val="left" w:pos="288"/>
                <w:tab w:val="left" w:pos="576"/>
                <w:tab w:val="left" w:pos="864"/>
                <w:tab w:val="left" w:pos="1152"/>
              </w:tabs>
              <w:spacing w:before="40" w:after="40" w:line="210" w:lineRule="atLeast"/>
              <w:ind w:right="113"/>
            </w:pPr>
            <w:r>
              <w:t xml:space="preserve"> </w:t>
            </w:r>
          </w:p>
        </w:tc>
        <w:tc>
          <w:tcPr>
            <w:tcW w:w="7938" w:type="dxa"/>
            <w:shd w:val="clear" w:color="auto" w:fill="auto"/>
          </w:tcPr>
          <w:p w14:paraId="554B432F" w14:textId="76929A04"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0ECEF64B" w14:textId="77777777" w:rsidTr="008671F7">
        <w:trPr>
          <w:trHeight w:val="74"/>
        </w:trPr>
        <w:tc>
          <w:tcPr>
            <w:tcW w:w="14301" w:type="dxa"/>
            <w:gridSpan w:val="3"/>
            <w:shd w:val="clear" w:color="auto" w:fill="auto"/>
          </w:tcPr>
          <w:p w14:paraId="1B75BC8C" w14:textId="77777777" w:rsidR="00D36B76" w:rsidRPr="00081400" w:rsidRDefault="00D36B76" w:rsidP="00D36B76">
            <w:pPr>
              <w:pStyle w:val="SingleTxt"/>
              <w:spacing w:after="0" w:line="120" w:lineRule="atLeast"/>
              <w:ind w:left="0"/>
              <w:rPr>
                <w:sz w:val="10"/>
              </w:rPr>
            </w:pPr>
          </w:p>
        </w:tc>
      </w:tr>
      <w:tr w:rsidR="00D36B76" w:rsidRPr="007E28CD" w14:paraId="3A321202" w14:textId="77777777" w:rsidTr="008671F7">
        <w:trPr>
          <w:trHeight w:val="74"/>
        </w:trPr>
        <w:tc>
          <w:tcPr>
            <w:tcW w:w="14301" w:type="dxa"/>
            <w:gridSpan w:val="3"/>
            <w:shd w:val="clear" w:color="auto" w:fill="auto"/>
          </w:tcPr>
          <w:p w14:paraId="757F92DD" w14:textId="5AEF740E" w:rsidR="00D36B76" w:rsidRDefault="00D36B76" w:rsidP="00D36B76">
            <w:pPr>
              <w:keepNext/>
              <w:tabs>
                <w:tab w:val="left" w:pos="288"/>
                <w:tab w:val="left" w:pos="576"/>
                <w:tab w:val="left" w:pos="864"/>
                <w:tab w:val="left" w:pos="1152"/>
              </w:tabs>
              <w:spacing w:before="40" w:after="40" w:line="210" w:lineRule="atLeast"/>
              <w:ind w:right="113"/>
            </w:pPr>
            <w:r>
              <w:rPr>
                <w:b/>
                <w:bCs/>
              </w:rPr>
              <w:t>Chapter III. Trust services</w:t>
            </w:r>
          </w:p>
        </w:tc>
      </w:tr>
      <w:tr w:rsidR="00D36B76" w:rsidRPr="00081400" w14:paraId="7678424C" w14:textId="77777777" w:rsidTr="008671F7">
        <w:trPr>
          <w:trHeight w:val="74"/>
        </w:trPr>
        <w:tc>
          <w:tcPr>
            <w:tcW w:w="14301" w:type="dxa"/>
            <w:gridSpan w:val="3"/>
            <w:shd w:val="clear" w:color="auto" w:fill="auto"/>
          </w:tcPr>
          <w:p w14:paraId="34CB4DE6" w14:textId="77777777" w:rsidR="00D36B76" w:rsidRPr="00081400" w:rsidRDefault="00D36B76" w:rsidP="00D36B76">
            <w:pPr>
              <w:pStyle w:val="SingleTxt"/>
              <w:keepNext/>
              <w:spacing w:after="0" w:line="120" w:lineRule="atLeast"/>
              <w:ind w:left="0"/>
              <w:rPr>
                <w:sz w:val="10"/>
              </w:rPr>
            </w:pPr>
          </w:p>
        </w:tc>
      </w:tr>
      <w:tr w:rsidR="00D36B76" w:rsidRPr="007E28CD" w14:paraId="7129A3B7" w14:textId="77777777" w:rsidTr="00FD652D">
        <w:trPr>
          <w:trHeight w:val="74"/>
        </w:trPr>
        <w:tc>
          <w:tcPr>
            <w:tcW w:w="1554" w:type="dxa"/>
            <w:shd w:val="clear" w:color="auto" w:fill="auto"/>
          </w:tcPr>
          <w:p w14:paraId="185CA12D" w14:textId="77777777" w:rsidR="00622E6E" w:rsidRDefault="00D36B76" w:rsidP="00D36B76">
            <w:pPr>
              <w:keepNext/>
              <w:tabs>
                <w:tab w:val="left" w:pos="288"/>
                <w:tab w:val="left" w:pos="576"/>
                <w:tab w:val="left" w:pos="864"/>
                <w:tab w:val="left" w:pos="1152"/>
              </w:tabs>
              <w:spacing w:before="40" w:after="40" w:line="210" w:lineRule="atLeast"/>
              <w:ind w:right="40"/>
              <w:rPr>
                <w:i/>
                <w:iCs/>
              </w:rPr>
            </w:pPr>
            <w:r>
              <w:rPr>
                <w:i/>
                <w:iCs/>
              </w:rPr>
              <w:t xml:space="preserve">Article 13. </w:t>
            </w:r>
          </w:p>
          <w:p w14:paraId="549A781D" w14:textId="37762177" w:rsidR="00D36B76" w:rsidRDefault="00622E6E" w:rsidP="00D36B76">
            <w:pPr>
              <w:keepNext/>
              <w:tabs>
                <w:tab w:val="left" w:pos="288"/>
                <w:tab w:val="left" w:pos="576"/>
                <w:tab w:val="left" w:pos="864"/>
                <w:tab w:val="left" w:pos="1152"/>
              </w:tabs>
              <w:spacing w:before="40" w:after="40" w:line="210" w:lineRule="atLeast"/>
              <w:ind w:right="40"/>
              <w:rPr>
                <w:i/>
                <w:iCs/>
              </w:rPr>
            </w:pPr>
            <w:r w:rsidRPr="00622E6E">
              <w:rPr>
                <w:i/>
                <w:iCs/>
              </w:rPr>
              <w:t>Legal recognition of trust services</w:t>
            </w:r>
          </w:p>
        </w:tc>
        <w:tc>
          <w:tcPr>
            <w:tcW w:w="4809" w:type="dxa"/>
            <w:shd w:val="clear" w:color="auto" w:fill="auto"/>
          </w:tcPr>
          <w:p w14:paraId="44FEC6A1" w14:textId="4EA7A91C" w:rsidR="00D36B76" w:rsidRDefault="00D36B76" w:rsidP="00D36B76">
            <w:pPr>
              <w:keepNext/>
              <w:tabs>
                <w:tab w:val="left" w:pos="288"/>
                <w:tab w:val="left" w:pos="576"/>
                <w:tab w:val="left" w:pos="864"/>
                <w:tab w:val="left" w:pos="1152"/>
              </w:tabs>
              <w:spacing w:before="40" w:after="40" w:line="210" w:lineRule="atLeast"/>
              <w:ind w:right="113"/>
            </w:pPr>
            <w:r>
              <w:t>1. Is the first bracketed text in the chapeau acceptable (see footnote 40 of WP.162)?</w:t>
            </w:r>
            <w:r w:rsidR="00103A88">
              <w:t xml:space="preserve"> Would the purpose of the provision be better expressed by referring instead to the results of the use of a trust service?</w:t>
            </w:r>
          </w:p>
        </w:tc>
        <w:tc>
          <w:tcPr>
            <w:tcW w:w="7938" w:type="dxa"/>
            <w:shd w:val="clear" w:color="auto" w:fill="auto"/>
          </w:tcPr>
          <w:p w14:paraId="7D16DD02" w14:textId="0B1BC40C" w:rsidR="00D36B76" w:rsidRDefault="00D36B76" w:rsidP="00D36B76">
            <w:pPr>
              <w:keepNext/>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1DD9DB23" w14:textId="77777777" w:rsidTr="008671F7">
        <w:trPr>
          <w:trHeight w:val="74"/>
        </w:trPr>
        <w:tc>
          <w:tcPr>
            <w:tcW w:w="14301" w:type="dxa"/>
            <w:gridSpan w:val="3"/>
            <w:shd w:val="clear" w:color="auto" w:fill="auto"/>
          </w:tcPr>
          <w:p w14:paraId="7E946454" w14:textId="77777777" w:rsidR="00D36B76" w:rsidRPr="00081400" w:rsidRDefault="00D36B76" w:rsidP="00D36B76">
            <w:pPr>
              <w:pStyle w:val="SingleTxt"/>
              <w:spacing w:after="0" w:line="120" w:lineRule="atLeast"/>
              <w:ind w:left="0"/>
              <w:rPr>
                <w:sz w:val="10"/>
              </w:rPr>
            </w:pPr>
          </w:p>
        </w:tc>
      </w:tr>
      <w:tr w:rsidR="00D36B76" w:rsidRPr="007E28CD" w14:paraId="7EEA915B" w14:textId="77777777" w:rsidTr="00FD652D">
        <w:trPr>
          <w:trHeight w:val="74"/>
        </w:trPr>
        <w:tc>
          <w:tcPr>
            <w:tcW w:w="1554" w:type="dxa"/>
            <w:shd w:val="clear" w:color="auto" w:fill="auto"/>
          </w:tcPr>
          <w:p w14:paraId="7F490E7F" w14:textId="1D998771"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14. Obligations of trust service providers</w:t>
            </w:r>
          </w:p>
        </w:tc>
        <w:tc>
          <w:tcPr>
            <w:tcW w:w="4809" w:type="dxa"/>
            <w:shd w:val="clear" w:color="auto" w:fill="auto"/>
          </w:tcPr>
          <w:p w14:paraId="3A62BE1B" w14:textId="77777777" w:rsidR="00D36B76" w:rsidRDefault="00D36B76" w:rsidP="00D36B76">
            <w:pPr>
              <w:tabs>
                <w:tab w:val="left" w:pos="288"/>
                <w:tab w:val="left" w:pos="576"/>
                <w:tab w:val="left" w:pos="864"/>
                <w:tab w:val="left" w:pos="1152"/>
              </w:tabs>
              <w:spacing w:before="40" w:after="40" w:line="210" w:lineRule="atLeast"/>
              <w:ind w:right="113"/>
            </w:pPr>
            <w:r>
              <w:t>1. Should the obligation in article 14(1)(b) be formulated along the lines of article 6(f) (see footnote 42 of WP.162)?</w:t>
            </w:r>
          </w:p>
          <w:p w14:paraId="30BE13DA" w14:textId="4B0CD7F5" w:rsidR="00D36B76" w:rsidRDefault="00D36B76" w:rsidP="00D36B76">
            <w:pPr>
              <w:tabs>
                <w:tab w:val="left" w:pos="288"/>
                <w:tab w:val="left" w:pos="576"/>
                <w:tab w:val="left" w:pos="864"/>
                <w:tab w:val="left" w:pos="1152"/>
              </w:tabs>
              <w:spacing w:before="40" w:after="40" w:line="210" w:lineRule="atLeast"/>
              <w:ind w:right="113"/>
            </w:pPr>
            <w:r>
              <w:t>2. (See question to article 7.)</w:t>
            </w:r>
          </w:p>
        </w:tc>
        <w:tc>
          <w:tcPr>
            <w:tcW w:w="7938" w:type="dxa"/>
            <w:shd w:val="clear" w:color="auto" w:fill="auto"/>
          </w:tcPr>
          <w:p w14:paraId="070C5376" w14:textId="74050B4C"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464C85F5" w14:textId="77777777" w:rsidTr="008671F7">
        <w:trPr>
          <w:trHeight w:val="74"/>
        </w:trPr>
        <w:tc>
          <w:tcPr>
            <w:tcW w:w="14301" w:type="dxa"/>
            <w:gridSpan w:val="3"/>
            <w:shd w:val="clear" w:color="auto" w:fill="auto"/>
          </w:tcPr>
          <w:p w14:paraId="49B8817D" w14:textId="77777777" w:rsidR="00D36B76" w:rsidRPr="00081400" w:rsidRDefault="00D36B76" w:rsidP="00D36B76">
            <w:pPr>
              <w:pStyle w:val="SingleTxt"/>
              <w:spacing w:after="0" w:line="120" w:lineRule="atLeast"/>
              <w:ind w:left="0"/>
              <w:rPr>
                <w:sz w:val="10"/>
              </w:rPr>
            </w:pPr>
          </w:p>
        </w:tc>
      </w:tr>
      <w:tr w:rsidR="00D36B76" w:rsidRPr="007E28CD" w14:paraId="35FCE41E" w14:textId="77777777" w:rsidTr="00FD652D">
        <w:trPr>
          <w:trHeight w:val="74"/>
        </w:trPr>
        <w:tc>
          <w:tcPr>
            <w:tcW w:w="1554" w:type="dxa"/>
            <w:shd w:val="clear" w:color="auto" w:fill="auto"/>
          </w:tcPr>
          <w:p w14:paraId="4503C69D" w14:textId="46A1966E"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15. Obligations of subscribers</w:t>
            </w:r>
          </w:p>
        </w:tc>
        <w:tc>
          <w:tcPr>
            <w:tcW w:w="4809" w:type="dxa"/>
            <w:shd w:val="clear" w:color="auto" w:fill="auto"/>
          </w:tcPr>
          <w:p w14:paraId="3CE73D7E" w14:textId="49EE925E" w:rsidR="00D36B76" w:rsidRDefault="007900ED" w:rsidP="00D36B76">
            <w:pPr>
              <w:tabs>
                <w:tab w:val="left" w:pos="288"/>
                <w:tab w:val="left" w:pos="576"/>
                <w:tab w:val="left" w:pos="864"/>
                <w:tab w:val="left" w:pos="1152"/>
              </w:tabs>
              <w:spacing w:before="40" w:after="40" w:line="210" w:lineRule="atLeast"/>
              <w:ind w:right="113"/>
            </w:pPr>
            <w:r>
              <w:t xml:space="preserve">1. After the revision of the definition of “user”, which now refers to “subscriber” (see footnote 15), the draft provisions do not contain any reference to relying third parties. Do relying third parties have rights and obligations that should be reflected in the draft provisions (e.g., to notify breaches they are aware of)? </w:t>
            </w:r>
          </w:p>
        </w:tc>
        <w:tc>
          <w:tcPr>
            <w:tcW w:w="7938" w:type="dxa"/>
            <w:shd w:val="clear" w:color="auto" w:fill="auto"/>
          </w:tcPr>
          <w:p w14:paraId="0E2ED70E" w14:textId="7F848A7B"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404A4A5E" w14:textId="77777777" w:rsidTr="008671F7">
        <w:trPr>
          <w:trHeight w:val="74"/>
        </w:trPr>
        <w:tc>
          <w:tcPr>
            <w:tcW w:w="14301" w:type="dxa"/>
            <w:gridSpan w:val="3"/>
            <w:shd w:val="clear" w:color="auto" w:fill="auto"/>
          </w:tcPr>
          <w:p w14:paraId="00BBD0EA" w14:textId="77777777" w:rsidR="00D36B76" w:rsidRPr="00081400" w:rsidRDefault="00D36B76" w:rsidP="00D36B76">
            <w:pPr>
              <w:pStyle w:val="SingleTxt"/>
              <w:spacing w:after="0" w:line="120" w:lineRule="atLeast"/>
              <w:ind w:left="0"/>
              <w:rPr>
                <w:sz w:val="10"/>
              </w:rPr>
            </w:pPr>
          </w:p>
        </w:tc>
      </w:tr>
      <w:tr w:rsidR="00D36B76" w:rsidRPr="007E28CD" w14:paraId="2A9F00C6" w14:textId="77777777" w:rsidTr="00FD652D">
        <w:trPr>
          <w:trHeight w:val="74"/>
        </w:trPr>
        <w:tc>
          <w:tcPr>
            <w:tcW w:w="1554" w:type="dxa"/>
            <w:shd w:val="clear" w:color="auto" w:fill="auto"/>
          </w:tcPr>
          <w:p w14:paraId="1406F6E4" w14:textId="65E27CCA"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16. Electronic signatures</w:t>
            </w:r>
          </w:p>
        </w:tc>
        <w:tc>
          <w:tcPr>
            <w:tcW w:w="4809" w:type="dxa"/>
            <w:shd w:val="clear" w:color="auto" w:fill="auto"/>
          </w:tcPr>
          <w:p w14:paraId="6A3A3BDA" w14:textId="2B195A25" w:rsidR="00D36B76" w:rsidRDefault="00041AEA" w:rsidP="00D36B76">
            <w:pPr>
              <w:tabs>
                <w:tab w:val="left" w:pos="288"/>
                <w:tab w:val="left" w:pos="576"/>
                <w:tab w:val="left" w:pos="864"/>
                <w:tab w:val="left" w:pos="1152"/>
              </w:tabs>
              <w:spacing w:before="40" w:after="40" w:line="210" w:lineRule="atLeast"/>
              <w:ind w:right="113"/>
            </w:pPr>
            <w:r>
              <w:t xml:space="preserve">1. </w:t>
            </w:r>
            <w:r w:rsidR="008A7E3B">
              <w:t xml:space="preserve">Should </w:t>
            </w:r>
            <w:r>
              <w:t>the reliability standard of the method referred to in article 16 be qualified as “reliable as appropriate” to better reflect the varying standards for offline identification?</w:t>
            </w:r>
          </w:p>
        </w:tc>
        <w:tc>
          <w:tcPr>
            <w:tcW w:w="7938" w:type="dxa"/>
            <w:shd w:val="clear" w:color="auto" w:fill="auto"/>
          </w:tcPr>
          <w:p w14:paraId="57170EC8" w14:textId="68209722"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7DF2A274" w14:textId="77777777" w:rsidTr="008671F7">
        <w:trPr>
          <w:trHeight w:val="74"/>
        </w:trPr>
        <w:tc>
          <w:tcPr>
            <w:tcW w:w="14301" w:type="dxa"/>
            <w:gridSpan w:val="3"/>
            <w:shd w:val="clear" w:color="auto" w:fill="auto"/>
          </w:tcPr>
          <w:p w14:paraId="7D13DC2D" w14:textId="77777777" w:rsidR="00D36B76" w:rsidRPr="00081400" w:rsidRDefault="00D36B76" w:rsidP="00D36B76">
            <w:pPr>
              <w:pStyle w:val="SingleTxt"/>
              <w:spacing w:after="0" w:line="120" w:lineRule="atLeast"/>
              <w:ind w:left="0"/>
              <w:rPr>
                <w:sz w:val="10"/>
              </w:rPr>
            </w:pPr>
          </w:p>
        </w:tc>
      </w:tr>
      <w:tr w:rsidR="00D36B76" w:rsidRPr="007E28CD" w14:paraId="32D40A13" w14:textId="77777777" w:rsidTr="00FD652D">
        <w:trPr>
          <w:trHeight w:val="74"/>
        </w:trPr>
        <w:tc>
          <w:tcPr>
            <w:tcW w:w="1554" w:type="dxa"/>
            <w:shd w:val="clear" w:color="auto" w:fill="auto"/>
          </w:tcPr>
          <w:p w14:paraId="7A933A54" w14:textId="44CCA3D8"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17. Electronic seals</w:t>
            </w:r>
          </w:p>
        </w:tc>
        <w:tc>
          <w:tcPr>
            <w:tcW w:w="4809" w:type="dxa"/>
            <w:shd w:val="clear" w:color="auto" w:fill="auto"/>
          </w:tcPr>
          <w:p w14:paraId="7D31ADA9" w14:textId="417F5603" w:rsidR="00D36B76" w:rsidRDefault="00041AEA" w:rsidP="00D36B76">
            <w:pPr>
              <w:tabs>
                <w:tab w:val="left" w:pos="288"/>
                <w:tab w:val="left" w:pos="576"/>
                <w:tab w:val="left" w:pos="864"/>
                <w:tab w:val="left" w:pos="1152"/>
              </w:tabs>
              <w:spacing w:before="40" w:after="40" w:line="210" w:lineRule="atLeast"/>
              <w:ind w:right="113"/>
            </w:pPr>
            <w:r>
              <w:t xml:space="preserve">1. </w:t>
            </w:r>
            <w:r w:rsidR="008A7E3B">
              <w:t xml:space="preserve">Should </w:t>
            </w:r>
            <w:r>
              <w:t>the reliability standard of the method referred to in article 17 be qualified as “reliable as appropriate” to better reflect the varying standards for offline identification?</w:t>
            </w:r>
          </w:p>
        </w:tc>
        <w:tc>
          <w:tcPr>
            <w:tcW w:w="7938" w:type="dxa"/>
            <w:shd w:val="clear" w:color="auto" w:fill="auto"/>
          </w:tcPr>
          <w:p w14:paraId="75E0240D" w14:textId="19936CDA"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5BC7C255" w14:textId="77777777" w:rsidTr="008671F7">
        <w:trPr>
          <w:trHeight w:val="74"/>
        </w:trPr>
        <w:tc>
          <w:tcPr>
            <w:tcW w:w="14301" w:type="dxa"/>
            <w:gridSpan w:val="3"/>
            <w:shd w:val="clear" w:color="auto" w:fill="auto"/>
          </w:tcPr>
          <w:p w14:paraId="604F42EF" w14:textId="77777777" w:rsidR="00D36B76" w:rsidRPr="00081400" w:rsidRDefault="00D36B76" w:rsidP="00D36B76">
            <w:pPr>
              <w:pStyle w:val="SingleTxt"/>
              <w:spacing w:after="0" w:line="120" w:lineRule="atLeast"/>
              <w:ind w:left="0"/>
              <w:rPr>
                <w:sz w:val="10"/>
              </w:rPr>
            </w:pPr>
          </w:p>
        </w:tc>
      </w:tr>
      <w:tr w:rsidR="00D36B76" w:rsidRPr="007E28CD" w14:paraId="3BD83311" w14:textId="77777777" w:rsidTr="00FD652D">
        <w:trPr>
          <w:trHeight w:val="74"/>
        </w:trPr>
        <w:tc>
          <w:tcPr>
            <w:tcW w:w="1554" w:type="dxa"/>
            <w:shd w:val="clear" w:color="auto" w:fill="auto"/>
          </w:tcPr>
          <w:p w14:paraId="0F41C328" w14:textId="0B7DDAEA"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18. Electronic timestamps</w:t>
            </w:r>
          </w:p>
        </w:tc>
        <w:tc>
          <w:tcPr>
            <w:tcW w:w="4809" w:type="dxa"/>
            <w:shd w:val="clear" w:color="auto" w:fill="auto"/>
          </w:tcPr>
          <w:p w14:paraId="68E88269" w14:textId="0186CF6C" w:rsidR="00D36B76" w:rsidRDefault="001F65E5" w:rsidP="00D36B76">
            <w:pPr>
              <w:tabs>
                <w:tab w:val="left" w:pos="288"/>
                <w:tab w:val="left" w:pos="576"/>
                <w:tab w:val="left" w:pos="864"/>
                <w:tab w:val="left" w:pos="1152"/>
              </w:tabs>
              <w:spacing w:before="40" w:after="40" w:line="210" w:lineRule="atLeast"/>
              <w:ind w:right="113"/>
            </w:pPr>
            <w:r>
              <w:t>—</w:t>
            </w:r>
          </w:p>
        </w:tc>
        <w:tc>
          <w:tcPr>
            <w:tcW w:w="7938" w:type="dxa"/>
            <w:shd w:val="clear" w:color="auto" w:fill="auto"/>
          </w:tcPr>
          <w:p w14:paraId="3ADFEEC8" w14:textId="3328193C"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0BE8250E" w14:textId="77777777" w:rsidTr="008671F7">
        <w:trPr>
          <w:trHeight w:val="74"/>
        </w:trPr>
        <w:tc>
          <w:tcPr>
            <w:tcW w:w="14301" w:type="dxa"/>
            <w:gridSpan w:val="3"/>
            <w:shd w:val="clear" w:color="auto" w:fill="auto"/>
          </w:tcPr>
          <w:p w14:paraId="19772C38" w14:textId="77777777" w:rsidR="00D36B76" w:rsidRPr="00081400" w:rsidRDefault="00D36B76" w:rsidP="00D36B76">
            <w:pPr>
              <w:pStyle w:val="SingleTxt"/>
              <w:spacing w:after="0" w:line="120" w:lineRule="atLeast"/>
              <w:ind w:left="0"/>
              <w:rPr>
                <w:sz w:val="10"/>
              </w:rPr>
            </w:pPr>
          </w:p>
        </w:tc>
      </w:tr>
      <w:tr w:rsidR="00D36B76" w:rsidRPr="007E28CD" w14:paraId="5FFE28C2" w14:textId="77777777" w:rsidTr="00FD652D">
        <w:trPr>
          <w:trHeight w:val="74"/>
        </w:trPr>
        <w:tc>
          <w:tcPr>
            <w:tcW w:w="1554" w:type="dxa"/>
            <w:shd w:val="clear" w:color="auto" w:fill="auto"/>
          </w:tcPr>
          <w:p w14:paraId="6D4BCF65" w14:textId="6CF4CBE1"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19. Electronic archiving</w:t>
            </w:r>
          </w:p>
        </w:tc>
        <w:tc>
          <w:tcPr>
            <w:tcW w:w="4809" w:type="dxa"/>
            <w:shd w:val="clear" w:color="auto" w:fill="auto"/>
          </w:tcPr>
          <w:p w14:paraId="10604C28" w14:textId="6892FC27" w:rsidR="00D36B76" w:rsidRDefault="001F65E5" w:rsidP="00D36B76">
            <w:pPr>
              <w:tabs>
                <w:tab w:val="left" w:pos="288"/>
                <w:tab w:val="left" w:pos="576"/>
                <w:tab w:val="left" w:pos="864"/>
                <w:tab w:val="left" w:pos="1152"/>
              </w:tabs>
              <w:spacing w:before="40" w:after="40" w:line="210" w:lineRule="atLeast"/>
              <w:ind w:right="113"/>
            </w:pPr>
            <w:r>
              <w:t>—</w:t>
            </w:r>
          </w:p>
        </w:tc>
        <w:tc>
          <w:tcPr>
            <w:tcW w:w="7938" w:type="dxa"/>
            <w:shd w:val="clear" w:color="auto" w:fill="auto"/>
          </w:tcPr>
          <w:p w14:paraId="595654C0" w14:textId="2176080F"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7C9F499B" w14:textId="77777777" w:rsidTr="008671F7">
        <w:trPr>
          <w:trHeight w:val="74"/>
        </w:trPr>
        <w:tc>
          <w:tcPr>
            <w:tcW w:w="14301" w:type="dxa"/>
            <w:gridSpan w:val="3"/>
            <w:shd w:val="clear" w:color="auto" w:fill="auto"/>
          </w:tcPr>
          <w:p w14:paraId="63E25337" w14:textId="77777777" w:rsidR="00D36B76" w:rsidRPr="00081400" w:rsidRDefault="00D36B76" w:rsidP="00D36B76">
            <w:pPr>
              <w:pStyle w:val="SingleTxt"/>
              <w:spacing w:after="0" w:line="120" w:lineRule="atLeast"/>
              <w:ind w:left="0"/>
              <w:rPr>
                <w:sz w:val="10"/>
              </w:rPr>
            </w:pPr>
          </w:p>
        </w:tc>
      </w:tr>
      <w:tr w:rsidR="00D36B76" w:rsidRPr="007E28CD" w14:paraId="5D1AEED9" w14:textId="77777777" w:rsidTr="00FD652D">
        <w:trPr>
          <w:trHeight w:val="74"/>
        </w:trPr>
        <w:tc>
          <w:tcPr>
            <w:tcW w:w="1554" w:type="dxa"/>
            <w:shd w:val="clear" w:color="auto" w:fill="auto"/>
          </w:tcPr>
          <w:p w14:paraId="467B1EF9" w14:textId="123B7CBB"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20. Electronic registered delivery services</w:t>
            </w:r>
          </w:p>
        </w:tc>
        <w:tc>
          <w:tcPr>
            <w:tcW w:w="4809" w:type="dxa"/>
            <w:shd w:val="clear" w:color="auto" w:fill="auto"/>
          </w:tcPr>
          <w:p w14:paraId="7C60026E" w14:textId="51C9D604" w:rsidR="00D36B76" w:rsidRDefault="00D36B76" w:rsidP="00D36B76">
            <w:pPr>
              <w:tabs>
                <w:tab w:val="left" w:pos="288"/>
                <w:tab w:val="left" w:pos="576"/>
                <w:tab w:val="left" w:pos="864"/>
                <w:tab w:val="left" w:pos="1152"/>
              </w:tabs>
              <w:spacing w:before="40" w:after="40" w:line="210" w:lineRule="atLeast"/>
              <w:ind w:right="113"/>
            </w:pPr>
            <w:r>
              <w:t>1. Should Article 20 specify that additional functions of an electronic delivery service is (a) to assure the integrity of the data message and (b) to identify the sender and/or the recipient (see footnote 58 of WP.162)?</w:t>
            </w:r>
          </w:p>
        </w:tc>
        <w:tc>
          <w:tcPr>
            <w:tcW w:w="7938" w:type="dxa"/>
            <w:shd w:val="clear" w:color="auto" w:fill="auto"/>
          </w:tcPr>
          <w:p w14:paraId="0A4A3D36" w14:textId="731CD05B"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40877A2A" w14:textId="77777777" w:rsidTr="008671F7">
        <w:trPr>
          <w:trHeight w:val="74"/>
        </w:trPr>
        <w:tc>
          <w:tcPr>
            <w:tcW w:w="14301" w:type="dxa"/>
            <w:gridSpan w:val="3"/>
            <w:shd w:val="clear" w:color="auto" w:fill="auto"/>
          </w:tcPr>
          <w:p w14:paraId="05D7BD58" w14:textId="77777777" w:rsidR="00D36B76" w:rsidRPr="00081400" w:rsidRDefault="00D36B76" w:rsidP="00D36B76">
            <w:pPr>
              <w:pStyle w:val="SingleTxt"/>
              <w:spacing w:after="0" w:line="120" w:lineRule="atLeast"/>
              <w:ind w:left="0"/>
              <w:rPr>
                <w:sz w:val="10"/>
              </w:rPr>
            </w:pPr>
          </w:p>
        </w:tc>
      </w:tr>
      <w:tr w:rsidR="00D36B76" w:rsidRPr="007E28CD" w14:paraId="480216DE" w14:textId="77777777" w:rsidTr="00FD652D">
        <w:trPr>
          <w:trHeight w:val="74"/>
        </w:trPr>
        <w:tc>
          <w:tcPr>
            <w:tcW w:w="1554" w:type="dxa"/>
            <w:shd w:val="clear" w:color="auto" w:fill="auto"/>
          </w:tcPr>
          <w:p w14:paraId="4706C4A4" w14:textId="11163973"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21. Website authentication</w:t>
            </w:r>
          </w:p>
        </w:tc>
        <w:tc>
          <w:tcPr>
            <w:tcW w:w="4809" w:type="dxa"/>
            <w:shd w:val="clear" w:color="auto" w:fill="auto"/>
          </w:tcPr>
          <w:p w14:paraId="69B29BF2" w14:textId="692A5650" w:rsidR="00D36B76" w:rsidRDefault="00C24353" w:rsidP="00D36B76">
            <w:pPr>
              <w:tabs>
                <w:tab w:val="left" w:pos="288"/>
                <w:tab w:val="left" w:pos="576"/>
                <w:tab w:val="left" w:pos="864"/>
                <w:tab w:val="left" w:pos="1152"/>
              </w:tabs>
              <w:spacing w:before="40" w:after="40" w:line="210" w:lineRule="atLeast"/>
              <w:ind w:right="113"/>
            </w:pPr>
            <w:r>
              <w:t xml:space="preserve">1. </w:t>
            </w:r>
            <w:r w:rsidR="00103A88">
              <w:t>Should there be a reference to the presumption of reliability and proof of reliability for website authentication?</w:t>
            </w:r>
          </w:p>
        </w:tc>
        <w:tc>
          <w:tcPr>
            <w:tcW w:w="7938" w:type="dxa"/>
            <w:shd w:val="clear" w:color="auto" w:fill="auto"/>
          </w:tcPr>
          <w:p w14:paraId="041580FD" w14:textId="041BB577"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7AE30F0E" w14:textId="77777777" w:rsidTr="008671F7">
        <w:trPr>
          <w:trHeight w:val="74"/>
        </w:trPr>
        <w:tc>
          <w:tcPr>
            <w:tcW w:w="14301" w:type="dxa"/>
            <w:gridSpan w:val="3"/>
            <w:shd w:val="clear" w:color="auto" w:fill="auto"/>
          </w:tcPr>
          <w:p w14:paraId="286662A5" w14:textId="77777777" w:rsidR="00D36B76" w:rsidRPr="00081400" w:rsidRDefault="00D36B76" w:rsidP="00D36B76">
            <w:pPr>
              <w:pStyle w:val="SingleTxt"/>
              <w:spacing w:after="0" w:line="120" w:lineRule="atLeast"/>
              <w:ind w:left="0"/>
              <w:rPr>
                <w:sz w:val="10"/>
              </w:rPr>
            </w:pPr>
          </w:p>
        </w:tc>
      </w:tr>
      <w:tr w:rsidR="00D36B76" w:rsidRPr="007E28CD" w14:paraId="66DBC8B1" w14:textId="77777777" w:rsidTr="00FD652D">
        <w:trPr>
          <w:trHeight w:val="74"/>
        </w:trPr>
        <w:tc>
          <w:tcPr>
            <w:tcW w:w="1554" w:type="dxa"/>
            <w:shd w:val="clear" w:color="auto" w:fill="auto"/>
          </w:tcPr>
          <w:p w14:paraId="5D1CE173" w14:textId="3379FA54"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22. Object authentication</w:t>
            </w:r>
          </w:p>
        </w:tc>
        <w:tc>
          <w:tcPr>
            <w:tcW w:w="4809" w:type="dxa"/>
            <w:shd w:val="clear" w:color="auto" w:fill="auto"/>
          </w:tcPr>
          <w:p w14:paraId="3801EE31" w14:textId="15C607B2" w:rsidR="00D36B76" w:rsidRDefault="00D36B76" w:rsidP="000433E6">
            <w:pPr>
              <w:tabs>
                <w:tab w:val="left" w:pos="288"/>
                <w:tab w:val="left" w:pos="576"/>
                <w:tab w:val="left" w:pos="864"/>
                <w:tab w:val="left" w:pos="1152"/>
              </w:tabs>
              <w:spacing w:before="40" w:after="40" w:line="210" w:lineRule="atLeast"/>
              <w:ind w:right="113"/>
            </w:pPr>
            <w:bookmarkStart w:id="2" w:name="_Hlk40362893"/>
            <w:r>
              <w:t xml:space="preserve">1. Is it desirable to </w:t>
            </w:r>
            <w:r w:rsidR="00A2002F">
              <w:t>deal with the identification of objects as a trust service, o</w:t>
            </w:r>
            <w:r w:rsidR="002E5588">
              <w:t>r</w:t>
            </w:r>
            <w:r w:rsidR="00A2002F">
              <w:t xml:space="preserve"> should the provision be limited to </w:t>
            </w:r>
            <w:r w:rsidR="00BC38CB">
              <w:t>linking objects with the persons controlling them (“</w:t>
            </w:r>
            <w:r w:rsidR="000433E6">
              <w:t>object</w:t>
            </w:r>
            <w:r w:rsidR="000B73B5">
              <w:t xml:space="preserve"> tracing</w:t>
            </w:r>
            <w:r w:rsidR="000433E6">
              <w:t>”</w:t>
            </w:r>
            <w:r w:rsidR="00BC38CB">
              <w:t>)</w:t>
            </w:r>
            <w:r w:rsidR="00A2002F">
              <w:t>?</w:t>
            </w:r>
            <w:r w:rsidR="000433E6">
              <w:t xml:space="preserve"> </w:t>
            </w:r>
            <w:bookmarkEnd w:id="2"/>
          </w:p>
        </w:tc>
        <w:tc>
          <w:tcPr>
            <w:tcW w:w="7938" w:type="dxa"/>
            <w:shd w:val="clear" w:color="auto" w:fill="auto"/>
          </w:tcPr>
          <w:p w14:paraId="3D1B997B" w14:textId="4854E10F"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7E728FBB" w14:textId="77777777" w:rsidTr="008671F7">
        <w:trPr>
          <w:trHeight w:val="74"/>
        </w:trPr>
        <w:tc>
          <w:tcPr>
            <w:tcW w:w="14301" w:type="dxa"/>
            <w:gridSpan w:val="3"/>
            <w:shd w:val="clear" w:color="auto" w:fill="auto"/>
          </w:tcPr>
          <w:p w14:paraId="73C59859" w14:textId="77777777" w:rsidR="00D36B76" w:rsidRPr="00081400" w:rsidRDefault="00D36B76" w:rsidP="00D36B76">
            <w:pPr>
              <w:pStyle w:val="SingleTxt"/>
              <w:spacing w:after="0" w:line="120" w:lineRule="atLeast"/>
              <w:ind w:left="0"/>
              <w:rPr>
                <w:sz w:val="10"/>
              </w:rPr>
            </w:pPr>
          </w:p>
        </w:tc>
      </w:tr>
      <w:tr w:rsidR="00D36B76" w:rsidRPr="007E28CD" w14:paraId="1F361202" w14:textId="77777777" w:rsidTr="00FD652D">
        <w:trPr>
          <w:trHeight w:val="74"/>
        </w:trPr>
        <w:tc>
          <w:tcPr>
            <w:tcW w:w="1554" w:type="dxa"/>
            <w:shd w:val="clear" w:color="auto" w:fill="auto"/>
          </w:tcPr>
          <w:p w14:paraId="5FC9D7AF" w14:textId="667034AB"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23. Reliability standard for trust services</w:t>
            </w:r>
          </w:p>
        </w:tc>
        <w:tc>
          <w:tcPr>
            <w:tcW w:w="4809" w:type="dxa"/>
            <w:shd w:val="clear" w:color="auto" w:fill="auto"/>
          </w:tcPr>
          <w:p w14:paraId="7B199025" w14:textId="77777777" w:rsidR="00D36B76" w:rsidRDefault="00521550" w:rsidP="00D36B76">
            <w:pPr>
              <w:tabs>
                <w:tab w:val="left" w:pos="288"/>
                <w:tab w:val="left" w:pos="576"/>
                <w:tab w:val="left" w:pos="864"/>
                <w:tab w:val="left" w:pos="1152"/>
              </w:tabs>
              <w:spacing w:before="40" w:after="40" w:line="210" w:lineRule="atLeast"/>
              <w:ind w:right="113"/>
            </w:pPr>
            <w:r>
              <w:t>1. Article 23</w:t>
            </w:r>
            <w:r w:rsidR="00066B9E">
              <w:t>(1)</w:t>
            </w:r>
            <w:r>
              <w:t>(h) aims at recogni</w:t>
            </w:r>
            <w:r w:rsidR="00066B9E">
              <w:t>z</w:t>
            </w:r>
            <w:r>
              <w:t xml:space="preserve">ing that the parties to a transaction may agree on the use of trust services, and that such agreement may be relevant in determining the reliability of the trust services among those parties. </w:t>
            </w:r>
            <w:r w:rsidR="00066B9E">
              <w:t>Should</w:t>
            </w:r>
            <w:r>
              <w:t xml:space="preserve"> an explicit reference to “between the parties” </w:t>
            </w:r>
            <w:r w:rsidR="00066B9E">
              <w:t xml:space="preserve">be inserted </w:t>
            </w:r>
            <w:r>
              <w:t xml:space="preserve">(as </w:t>
            </w:r>
            <w:r w:rsidR="00066B9E">
              <w:t xml:space="preserve">it is </w:t>
            </w:r>
            <w:r>
              <w:t>in article 10(d))?</w:t>
            </w:r>
          </w:p>
          <w:p w14:paraId="5D642BF1" w14:textId="3C6ECCE4" w:rsidR="00210C09" w:rsidRDefault="00210C09" w:rsidP="00D36B76">
            <w:pPr>
              <w:tabs>
                <w:tab w:val="left" w:pos="288"/>
                <w:tab w:val="left" w:pos="576"/>
                <w:tab w:val="left" w:pos="864"/>
                <w:tab w:val="left" w:pos="1152"/>
              </w:tabs>
              <w:spacing w:before="40" w:after="40" w:line="210" w:lineRule="atLeast"/>
              <w:ind w:right="113"/>
            </w:pPr>
            <w:r>
              <w:t xml:space="preserve">2. (See article 10.) </w:t>
            </w:r>
          </w:p>
        </w:tc>
        <w:tc>
          <w:tcPr>
            <w:tcW w:w="7938" w:type="dxa"/>
            <w:shd w:val="clear" w:color="auto" w:fill="auto"/>
          </w:tcPr>
          <w:p w14:paraId="66F6A573" w14:textId="32912C58"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1AA219A4" w14:textId="77777777" w:rsidTr="008671F7">
        <w:trPr>
          <w:trHeight w:val="74"/>
        </w:trPr>
        <w:tc>
          <w:tcPr>
            <w:tcW w:w="14301" w:type="dxa"/>
            <w:gridSpan w:val="3"/>
            <w:shd w:val="clear" w:color="auto" w:fill="auto"/>
          </w:tcPr>
          <w:p w14:paraId="0C00ED73" w14:textId="77777777" w:rsidR="00D36B76" w:rsidRPr="00081400" w:rsidRDefault="00D36B76" w:rsidP="00D36B76">
            <w:pPr>
              <w:pStyle w:val="SingleTxt"/>
              <w:spacing w:after="0" w:line="120" w:lineRule="atLeast"/>
              <w:ind w:left="0"/>
              <w:rPr>
                <w:sz w:val="10"/>
              </w:rPr>
            </w:pPr>
          </w:p>
        </w:tc>
      </w:tr>
      <w:tr w:rsidR="00D36B76" w:rsidRPr="007E28CD" w14:paraId="71949E55" w14:textId="77777777" w:rsidTr="00FD652D">
        <w:trPr>
          <w:trHeight w:val="74"/>
        </w:trPr>
        <w:tc>
          <w:tcPr>
            <w:tcW w:w="1554" w:type="dxa"/>
            <w:shd w:val="clear" w:color="auto" w:fill="auto"/>
          </w:tcPr>
          <w:p w14:paraId="5078CA0A" w14:textId="200196BA"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24. Designation of reliable trust services</w:t>
            </w:r>
          </w:p>
        </w:tc>
        <w:tc>
          <w:tcPr>
            <w:tcW w:w="4809" w:type="dxa"/>
            <w:shd w:val="clear" w:color="auto" w:fill="auto"/>
          </w:tcPr>
          <w:p w14:paraId="44EBC0A4" w14:textId="1FAB2750" w:rsidR="00D36B76" w:rsidRDefault="001F65E5" w:rsidP="00D36B76">
            <w:pPr>
              <w:tabs>
                <w:tab w:val="left" w:pos="288"/>
                <w:tab w:val="left" w:pos="576"/>
                <w:tab w:val="left" w:pos="864"/>
                <w:tab w:val="left" w:pos="1152"/>
              </w:tabs>
              <w:spacing w:before="40" w:after="40" w:line="210" w:lineRule="atLeast"/>
              <w:ind w:right="113"/>
            </w:pPr>
            <w:r>
              <w:t>—</w:t>
            </w:r>
          </w:p>
        </w:tc>
        <w:tc>
          <w:tcPr>
            <w:tcW w:w="7938" w:type="dxa"/>
            <w:shd w:val="clear" w:color="auto" w:fill="auto"/>
          </w:tcPr>
          <w:p w14:paraId="234A39B5" w14:textId="62876B45"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3C73FB8B" w14:textId="77777777" w:rsidTr="008671F7">
        <w:trPr>
          <w:trHeight w:val="74"/>
        </w:trPr>
        <w:tc>
          <w:tcPr>
            <w:tcW w:w="14301" w:type="dxa"/>
            <w:gridSpan w:val="3"/>
            <w:shd w:val="clear" w:color="auto" w:fill="auto"/>
          </w:tcPr>
          <w:p w14:paraId="57BE5948" w14:textId="77777777" w:rsidR="00D36B76" w:rsidRPr="00081400" w:rsidRDefault="00D36B76" w:rsidP="00D36B76">
            <w:pPr>
              <w:pStyle w:val="SingleTxt"/>
              <w:spacing w:after="0" w:line="120" w:lineRule="atLeast"/>
              <w:ind w:left="0"/>
              <w:rPr>
                <w:sz w:val="10"/>
              </w:rPr>
            </w:pPr>
          </w:p>
        </w:tc>
      </w:tr>
      <w:tr w:rsidR="00D36B76" w:rsidRPr="007E28CD" w14:paraId="7414817A" w14:textId="77777777" w:rsidTr="00FD652D">
        <w:trPr>
          <w:trHeight w:val="74"/>
        </w:trPr>
        <w:tc>
          <w:tcPr>
            <w:tcW w:w="1554" w:type="dxa"/>
            <w:shd w:val="clear" w:color="auto" w:fill="auto"/>
          </w:tcPr>
          <w:p w14:paraId="2943585D" w14:textId="700B7923"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25. Liability of trust services providers</w:t>
            </w:r>
          </w:p>
        </w:tc>
        <w:tc>
          <w:tcPr>
            <w:tcW w:w="4809" w:type="dxa"/>
            <w:shd w:val="clear" w:color="auto" w:fill="auto"/>
          </w:tcPr>
          <w:p w14:paraId="2F17173C" w14:textId="2DF15825" w:rsidR="00D36B76" w:rsidRDefault="00D36B76" w:rsidP="00D36B76">
            <w:pPr>
              <w:tabs>
                <w:tab w:val="left" w:pos="288"/>
                <w:tab w:val="left" w:pos="576"/>
                <w:tab w:val="left" w:pos="864"/>
                <w:tab w:val="left" w:pos="1152"/>
              </w:tabs>
              <w:spacing w:before="40" w:after="40" w:line="210" w:lineRule="atLeast"/>
              <w:ind w:right="113"/>
            </w:pPr>
            <w:r>
              <w:t>1. Which option for article 2</w:t>
            </w:r>
            <w:r w:rsidR="00E32DBD">
              <w:t>5</w:t>
            </w:r>
            <w:r>
              <w:t xml:space="preserve"> is preferable (see footnote 35 of WP.162)? </w:t>
            </w:r>
          </w:p>
          <w:p w14:paraId="4F6C299A" w14:textId="7DDB3266" w:rsidR="00D36B76" w:rsidRDefault="00D36B76" w:rsidP="00D36B76">
            <w:pPr>
              <w:tabs>
                <w:tab w:val="left" w:pos="288"/>
                <w:tab w:val="left" w:pos="576"/>
                <w:tab w:val="left" w:pos="864"/>
                <w:tab w:val="left" w:pos="1152"/>
              </w:tabs>
              <w:spacing w:before="40" w:after="40" w:line="210" w:lineRule="atLeast"/>
              <w:ind w:right="113"/>
            </w:pPr>
            <w:r>
              <w:t xml:space="preserve">2. If option A is preferred, is it necessary to include </w:t>
            </w:r>
            <w:r w:rsidR="00622E6E">
              <w:t xml:space="preserve">such </w:t>
            </w:r>
            <w:r>
              <w:t>provision on liability at all (see footnote 66 of WP.162)</w:t>
            </w:r>
            <w:r w:rsidR="00AC11C9">
              <w:t>?</w:t>
            </w:r>
          </w:p>
          <w:p w14:paraId="0AB322DF" w14:textId="77777777" w:rsidR="00AC11C9" w:rsidRDefault="00AC11C9" w:rsidP="00D36B76">
            <w:pPr>
              <w:tabs>
                <w:tab w:val="left" w:pos="288"/>
                <w:tab w:val="left" w:pos="576"/>
                <w:tab w:val="left" w:pos="864"/>
                <w:tab w:val="left" w:pos="1152"/>
              </w:tabs>
              <w:spacing w:before="40" w:after="40" w:line="210" w:lineRule="atLeast"/>
              <w:ind w:right="113"/>
            </w:pPr>
            <w:r>
              <w:t>3. If option B or option C is preferred, is it necessary to include a provision waiving liability for public trust service providers?</w:t>
            </w:r>
          </w:p>
          <w:p w14:paraId="154D7CFC" w14:textId="3D55D25D" w:rsidR="000433E6" w:rsidRDefault="000433E6" w:rsidP="000433E6">
            <w:pPr>
              <w:tabs>
                <w:tab w:val="left" w:pos="288"/>
                <w:tab w:val="left" w:pos="576"/>
                <w:tab w:val="left" w:pos="864"/>
                <w:tab w:val="left" w:pos="1152"/>
              </w:tabs>
              <w:spacing w:before="40" w:after="40" w:line="210" w:lineRule="atLeast"/>
              <w:ind w:right="113"/>
            </w:pPr>
            <w:r>
              <w:t xml:space="preserve">4. </w:t>
            </w:r>
            <w:r w:rsidR="00AB5878">
              <w:t xml:space="preserve">If option B or option C is preferred, is it desirable to treat differently the liability of </w:t>
            </w:r>
            <w:r w:rsidR="006C2E07">
              <w:t>a trust</w:t>
            </w:r>
            <w:r w:rsidR="00AB5878">
              <w:t xml:space="preserve"> service provider arising from the use of a trust service that is designated pursuant to article 24? </w:t>
            </w:r>
          </w:p>
          <w:p w14:paraId="17A1BC28" w14:textId="1205FC77" w:rsidR="000433E6" w:rsidRDefault="000433E6" w:rsidP="00D36B76">
            <w:pPr>
              <w:tabs>
                <w:tab w:val="left" w:pos="288"/>
                <w:tab w:val="left" w:pos="576"/>
                <w:tab w:val="left" w:pos="864"/>
                <w:tab w:val="left" w:pos="1152"/>
              </w:tabs>
              <w:spacing w:before="40" w:after="40" w:line="210" w:lineRule="atLeast"/>
              <w:ind w:right="113"/>
            </w:pPr>
          </w:p>
        </w:tc>
        <w:tc>
          <w:tcPr>
            <w:tcW w:w="7938" w:type="dxa"/>
            <w:shd w:val="clear" w:color="auto" w:fill="auto"/>
          </w:tcPr>
          <w:p w14:paraId="32BC123D" w14:textId="36F06B2B"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5252605F" w14:textId="77777777" w:rsidTr="008671F7">
        <w:trPr>
          <w:trHeight w:val="74"/>
        </w:trPr>
        <w:tc>
          <w:tcPr>
            <w:tcW w:w="14301" w:type="dxa"/>
            <w:gridSpan w:val="3"/>
            <w:shd w:val="clear" w:color="auto" w:fill="auto"/>
          </w:tcPr>
          <w:p w14:paraId="4885DBE9" w14:textId="77777777" w:rsidR="00D36B76" w:rsidRPr="00081400" w:rsidRDefault="00D36B76" w:rsidP="00D36B76">
            <w:pPr>
              <w:pStyle w:val="SingleTxt"/>
              <w:spacing w:after="0" w:line="120" w:lineRule="atLeast"/>
              <w:ind w:left="0"/>
              <w:rPr>
                <w:sz w:val="10"/>
              </w:rPr>
            </w:pPr>
          </w:p>
        </w:tc>
      </w:tr>
      <w:tr w:rsidR="00D36B76" w:rsidRPr="007E28CD" w14:paraId="3346E8B0" w14:textId="77777777" w:rsidTr="003C00A8">
        <w:trPr>
          <w:trHeight w:val="74"/>
        </w:trPr>
        <w:tc>
          <w:tcPr>
            <w:tcW w:w="14301" w:type="dxa"/>
            <w:gridSpan w:val="3"/>
            <w:shd w:val="clear" w:color="auto" w:fill="auto"/>
          </w:tcPr>
          <w:p w14:paraId="1E2602D2" w14:textId="458C3068" w:rsidR="00D36B76" w:rsidRDefault="00D36B76" w:rsidP="00D36B76">
            <w:pPr>
              <w:keepNext/>
              <w:tabs>
                <w:tab w:val="left" w:pos="288"/>
                <w:tab w:val="left" w:pos="576"/>
                <w:tab w:val="left" w:pos="864"/>
                <w:tab w:val="left" w:pos="1152"/>
              </w:tabs>
              <w:spacing w:before="40" w:after="40" w:line="210" w:lineRule="atLeast"/>
              <w:ind w:right="113"/>
            </w:pPr>
            <w:r>
              <w:rPr>
                <w:b/>
                <w:bCs/>
              </w:rPr>
              <w:t>Chapter IV. International aspects</w:t>
            </w:r>
          </w:p>
        </w:tc>
      </w:tr>
      <w:tr w:rsidR="00D36B76" w:rsidRPr="00081400" w14:paraId="0CEDCA6E" w14:textId="77777777" w:rsidTr="008671F7">
        <w:trPr>
          <w:trHeight w:val="74"/>
        </w:trPr>
        <w:tc>
          <w:tcPr>
            <w:tcW w:w="14301" w:type="dxa"/>
            <w:gridSpan w:val="3"/>
            <w:shd w:val="clear" w:color="auto" w:fill="auto"/>
          </w:tcPr>
          <w:p w14:paraId="3D47F77A" w14:textId="77777777" w:rsidR="00D36B76" w:rsidRPr="00081400" w:rsidRDefault="00D36B76" w:rsidP="00D36B76">
            <w:pPr>
              <w:pStyle w:val="SingleTxt"/>
              <w:spacing w:after="0" w:line="120" w:lineRule="atLeast"/>
              <w:ind w:left="0"/>
              <w:rPr>
                <w:sz w:val="10"/>
              </w:rPr>
            </w:pPr>
          </w:p>
        </w:tc>
      </w:tr>
      <w:tr w:rsidR="00D36B76" w:rsidRPr="007E28CD" w14:paraId="5BCE68FE" w14:textId="77777777" w:rsidTr="00FD652D">
        <w:trPr>
          <w:trHeight w:val="74"/>
        </w:trPr>
        <w:tc>
          <w:tcPr>
            <w:tcW w:w="1554" w:type="dxa"/>
            <w:shd w:val="clear" w:color="auto" w:fill="auto"/>
          </w:tcPr>
          <w:p w14:paraId="3CC7D28E" w14:textId="10AD2239" w:rsidR="00D36B76" w:rsidRDefault="00D36B76" w:rsidP="00D36B76">
            <w:pPr>
              <w:tabs>
                <w:tab w:val="left" w:pos="288"/>
                <w:tab w:val="left" w:pos="576"/>
                <w:tab w:val="left" w:pos="864"/>
                <w:tab w:val="left" w:pos="1152"/>
              </w:tabs>
              <w:spacing w:before="40" w:after="40" w:line="210" w:lineRule="atLeast"/>
              <w:ind w:right="40"/>
              <w:rPr>
                <w:i/>
                <w:iCs/>
              </w:rPr>
            </w:pPr>
            <w:r>
              <w:rPr>
                <w:i/>
                <w:iCs/>
              </w:rPr>
              <w:t>Article 26. Cross-border recognition of IdM and trust services</w:t>
            </w:r>
          </w:p>
        </w:tc>
        <w:tc>
          <w:tcPr>
            <w:tcW w:w="4809" w:type="dxa"/>
            <w:shd w:val="clear" w:color="auto" w:fill="auto"/>
          </w:tcPr>
          <w:p w14:paraId="4AECC63C" w14:textId="77777777" w:rsidR="006B49AD" w:rsidRDefault="00622E6E" w:rsidP="00D36B76">
            <w:pPr>
              <w:tabs>
                <w:tab w:val="left" w:pos="288"/>
                <w:tab w:val="left" w:pos="576"/>
                <w:tab w:val="left" w:pos="864"/>
                <w:tab w:val="left" w:pos="1152"/>
              </w:tabs>
              <w:spacing w:before="40" w:after="40" w:line="210" w:lineRule="atLeast"/>
              <w:ind w:right="113"/>
            </w:pPr>
            <w:bookmarkStart w:id="3" w:name="_Hlk40454203"/>
            <w:r>
              <w:t xml:space="preserve">1. </w:t>
            </w:r>
            <w:r w:rsidR="00B91AFE">
              <w:t>The establishment of an effective mechanism for the cross-border recognition of IdM and trust service</w:t>
            </w:r>
            <w:r w:rsidR="00F2336E">
              <w:t>s</w:t>
            </w:r>
            <w:r w:rsidR="00B91AFE">
              <w:t xml:space="preserve"> is a core objective of this project. The main provisions that pursue that objective are: a</w:t>
            </w:r>
            <w:r w:rsidRPr="00622E6E">
              <w:t>rt</w:t>
            </w:r>
            <w:r>
              <w:t>icle</w:t>
            </w:r>
            <w:r w:rsidRPr="00622E6E">
              <w:t xml:space="preserve"> 26</w:t>
            </w:r>
            <w:r w:rsidR="00B91AFE">
              <w:t>,</w:t>
            </w:r>
            <w:r w:rsidRPr="00622E6E">
              <w:t xml:space="preserve"> </w:t>
            </w:r>
            <w:r w:rsidR="007505ED">
              <w:t>on</w:t>
            </w:r>
            <w:r>
              <w:t xml:space="preserve"> cross-border recognition of IdM systems</w:t>
            </w:r>
            <w:r w:rsidR="00B91AFE">
              <w:t xml:space="preserve"> and trust services;</w:t>
            </w:r>
            <w:r>
              <w:t xml:space="preserve"> </w:t>
            </w:r>
            <w:r w:rsidRPr="00622E6E">
              <w:t>art</w:t>
            </w:r>
            <w:r>
              <w:t>icle</w:t>
            </w:r>
            <w:r w:rsidR="007505ED">
              <w:t>s</w:t>
            </w:r>
            <w:r w:rsidRPr="00622E6E">
              <w:t xml:space="preserve"> 10(2)</w:t>
            </w:r>
            <w:r w:rsidR="007505ED">
              <w:t xml:space="preserve"> and 23(3), on</w:t>
            </w:r>
            <w:r>
              <w:t xml:space="preserve"> the reliability of</w:t>
            </w:r>
            <w:r w:rsidRPr="00622E6E">
              <w:t xml:space="preserve"> </w:t>
            </w:r>
            <w:r w:rsidR="00B91AFE">
              <w:t xml:space="preserve">the </w:t>
            </w:r>
            <w:r w:rsidRPr="00622E6E">
              <w:t>methods</w:t>
            </w:r>
            <w:r>
              <w:t xml:space="preserve"> used</w:t>
            </w:r>
            <w:r w:rsidR="00B91AFE">
              <w:t xml:space="preserve">; </w:t>
            </w:r>
            <w:r w:rsidR="006B49AD">
              <w:t xml:space="preserve">and </w:t>
            </w:r>
            <w:r w:rsidR="00B91AFE">
              <w:t>article</w:t>
            </w:r>
            <w:r w:rsidR="007505ED">
              <w:t>s</w:t>
            </w:r>
            <w:r w:rsidR="00B91AFE">
              <w:t xml:space="preserve"> 11(4)</w:t>
            </w:r>
            <w:r w:rsidR="007505ED">
              <w:t xml:space="preserve"> and 24(4), on</w:t>
            </w:r>
            <w:r w:rsidR="00B91AFE">
              <w:t xml:space="preserve"> non-geographic discrimination in designatin</w:t>
            </w:r>
            <w:r w:rsidR="006B49AD">
              <w:t>g</w:t>
            </w:r>
            <w:r w:rsidR="00B91AFE">
              <w:t xml:space="preserve"> reliable IdM systems</w:t>
            </w:r>
            <w:r w:rsidR="007505ED">
              <w:t xml:space="preserve"> and trust services</w:t>
            </w:r>
            <w:r>
              <w:t xml:space="preserve">. </w:t>
            </w:r>
            <w:r w:rsidR="0069341E">
              <w:t>D</w:t>
            </w:r>
            <w:r w:rsidR="007505ED">
              <w:t>o these provisions suffic</w:t>
            </w:r>
            <w:r w:rsidR="006B49AD">
              <w:t>i</w:t>
            </w:r>
            <w:r w:rsidR="007505ED">
              <w:t>e</w:t>
            </w:r>
            <w:r w:rsidR="006B49AD">
              <w:t xml:space="preserve">ntly pursue this objective? If not, which </w:t>
            </w:r>
            <w:r w:rsidR="007505ED">
              <w:t xml:space="preserve">additional </w:t>
            </w:r>
            <w:r w:rsidR="0069341E">
              <w:t>provisions</w:t>
            </w:r>
            <w:r w:rsidR="006B49AD">
              <w:t xml:space="preserve"> should be introduced</w:t>
            </w:r>
            <w:r w:rsidR="007505ED">
              <w:t>?</w:t>
            </w:r>
            <w:r w:rsidR="00F2336E">
              <w:t xml:space="preserve"> </w:t>
            </w:r>
          </w:p>
          <w:p w14:paraId="58E557DE" w14:textId="54F5499B" w:rsidR="00D36B76" w:rsidRDefault="006B49AD" w:rsidP="00D36B76">
            <w:pPr>
              <w:tabs>
                <w:tab w:val="left" w:pos="288"/>
                <w:tab w:val="left" w:pos="576"/>
                <w:tab w:val="left" w:pos="864"/>
                <w:tab w:val="left" w:pos="1152"/>
              </w:tabs>
              <w:spacing w:before="40" w:after="40" w:line="210" w:lineRule="atLeast"/>
              <w:ind w:right="113"/>
            </w:pPr>
            <w:r>
              <w:t xml:space="preserve">2. </w:t>
            </w:r>
            <w:r w:rsidR="007505ED">
              <w:t>Are</w:t>
            </w:r>
            <w:r w:rsidR="00900596">
              <w:t xml:space="preserve"> </w:t>
            </w:r>
            <w:r w:rsidR="00622E6E">
              <w:t>the</w:t>
            </w:r>
            <w:r w:rsidR="00F2336E">
              <w:t xml:space="preserve"> existing</w:t>
            </w:r>
            <w:r w:rsidR="00622E6E">
              <w:t xml:space="preserve"> provisions </w:t>
            </w:r>
            <w:r>
              <w:t xml:space="preserve">on cross-border recognition </w:t>
            </w:r>
            <w:r w:rsidR="00622E6E">
              <w:t>aligned? I</w:t>
            </w:r>
            <w:r w:rsidR="007505ED">
              <w:t xml:space="preserve">n particular, </w:t>
            </w:r>
            <w:r>
              <w:t>is it appropriate that</w:t>
            </w:r>
            <w:r w:rsidR="007505ED">
              <w:t xml:space="preserve"> </w:t>
            </w:r>
            <w:r>
              <w:t>articles 11(4), 24(4) and</w:t>
            </w:r>
            <w:r w:rsidR="007505ED">
              <w:t xml:space="preserve"> 26 </w:t>
            </w:r>
            <w:r w:rsidR="00F2336E">
              <w:t xml:space="preserve">focus </w:t>
            </w:r>
            <w:r w:rsidR="007505ED">
              <w:t xml:space="preserve">on </w:t>
            </w:r>
            <w:r>
              <w:t>‘</w:t>
            </w:r>
            <w:r w:rsidR="00F2336E">
              <w:t>IdM systems</w:t>
            </w:r>
            <w:r>
              <w:t>’</w:t>
            </w:r>
            <w:r w:rsidR="00F2336E">
              <w:t xml:space="preserve"> and </w:t>
            </w:r>
            <w:r>
              <w:t>‘</w:t>
            </w:r>
            <w:r w:rsidR="00F2336E">
              <w:t>trust services</w:t>
            </w:r>
            <w:r>
              <w:t>’</w:t>
            </w:r>
            <w:r w:rsidR="00F2336E">
              <w:t xml:space="preserve">, </w:t>
            </w:r>
            <w:r>
              <w:t xml:space="preserve">while </w:t>
            </w:r>
            <w:r w:rsidR="0069341E" w:rsidRPr="00622E6E">
              <w:t>art</w:t>
            </w:r>
            <w:r w:rsidR="0069341E">
              <w:t>icles</w:t>
            </w:r>
            <w:r w:rsidR="0069341E" w:rsidRPr="00622E6E">
              <w:t xml:space="preserve"> 10(2)</w:t>
            </w:r>
            <w:r w:rsidR="0069341E">
              <w:t xml:space="preserve"> and 23(3) focus on the reliability of</w:t>
            </w:r>
            <w:r w:rsidR="0069341E" w:rsidRPr="00622E6E">
              <w:t xml:space="preserve"> </w:t>
            </w:r>
            <w:r w:rsidR="0069341E">
              <w:t xml:space="preserve">the </w:t>
            </w:r>
            <w:r>
              <w:t>‘</w:t>
            </w:r>
            <w:r w:rsidR="0069341E" w:rsidRPr="00622E6E">
              <w:t>methods</w:t>
            </w:r>
            <w:r>
              <w:t>’</w:t>
            </w:r>
            <w:r w:rsidR="00622E6E">
              <w:t xml:space="preserve">? </w:t>
            </w:r>
            <w:bookmarkEnd w:id="3"/>
          </w:p>
        </w:tc>
        <w:tc>
          <w:tcPr>
            <w:tcW w:w="7938" w:type="dxa"/>
            <w:shd w:val="clear" w:color="auto" w:fill="auto"/>
          </w:tcPr>
          <w:p w14:paraId="7168C805" w14:textId="5AEFC3E8" w:rsidR="00D36B76"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36B20E66" w14:textId="77777777" w:rsidTr="008671F7">
        <w:trPr>
          <w:trHeight w:val="74"/>
        </w:trPr>
        <w:tc>
          <w:tcPr>
            <w:tcW w:w="14301" w:type="dxa"/>
            <w:gridSpan w:val="3"/>
            <w:shd w:val="clear" w:color="auto" w:fill="auto"/>
          </w:tcPr>
          <w:p w14:paraId="197B9FE7" w14:textId="77777777" w:rsidR="00D36B76" w:rsidRPr="00081400" w:rsidRDefault="00D36B76" w:rsidP="00D36B76">
            <w:pPr>
              <w:pStyle w:val="SingleTxt"/>
              <w:spacing w:after="0" w:line="120" w:lineRule="atLeast"/>
              <w:ind w:left="0"/>
              <w:rPr>
                <w:sz w:val="10"/>
              </w:rPr>
            </w:pPr>
          </w:p>
        </w:tc>
      </w:tr>
      <w:tr w:rsidR="00D36B76" w:rsidRPr="007E28CD" w14:paraId="2D684DCF" w14:textId="77777777" w:rsidTr="00081400">
        <w:trPr>
          <w:trHeight w:val="74"/>
        </w:trPr>
        <w:tc>
          <w:tcPr>
            <w:tcW w:w="1554" w:type="dxa"/>
            <w:shd w:val="clear" w:color="auto" w:fill="auto"/>
          </w:tcPr>
          <w:p w14:paraId="2E8EDD9E" w14:textId="405C7AA0" w:rsidR="00D36B76" w:rsidRPr="007E28CD" w:rsidRDefault="00D36B76" w:rsidP="00D36B76">
            <w:pPr>
              <w:tabs>
                <w:tab w:val="left" w:pos="288"/>
                <w:tab w:val="left" w:pos="576"/>
                <w:tab w:val="left" w:pos="864"/>
                <w:tab w:val="left" w:pos="1152"/>
              </w:tabs>
              <w:spacing w:before="40" w:after="40" w:line="210" w:lineRule="atLeast"/>
              <w:ind w:right="40"/>
            </w:pPr>
            <w:r>
              <w:rPr>
                <w:i/>
                <w:iCs/>
              </w:rPr>
              <w:t>Article 27. Cooperation</w:t>
            </w:r>
          </w:p>
        </w:tc>
        <w:tc>
          <w:tcPr>
            <w:tcW w:w="4809" w:type="dxa"/>
            <w:shd w:val="clear" w:color="auto" w:fill="auto"/>
          </w:tcPr>
          <w:p w14:paraId="39D8BCC2" w14:textId="1B1678BB" w:rsidR="00D36B76" w:rsidRPr="0044305E" w:rsidRDefault="00914E2D" w:rsidP="00D36B76">
            <w:pPr>
              <w:tabs>
                <w:tab w:val="left" w:pos="288"/>
                <w:tab w:val="left" w:pos="576"/>
                <w:tab w:val="left" w:pos="864"/>
                <w:tab w:val="left" w:pos="1152"/>
              </w:tabs>
              <w:spacing w:before="40" w:after="40" w:line="210" w:lineRule="atLeast"/>
              <w:ind w:right="113"/>
            </w:pPr>
            <w:r>
              <w:t xml:space="preserve">1. Should article 27 apply to all entities involved in IdM and trust services? Does it fulfil a useful </w:t>
            </w:r>
            <w:r w:rsidR="00B87A89">
              <w:t>function,</w:t>
            </w:r>
            <w:r>
              <w:t xml:space="preserve"> or </w:t>
            </w:r>
            <w:r w:rsidR="008A7E3B">
              <w:t xml:space="preserve">should </w:t>
            </w:r>
            <w:r>
              <w:t>such activities be left to the initiative of the concerned entities?</w:t>
            </w:r>
          </w:p>
        </w:tc>
        <w:tc>
          <w:tcPr>
            <w:tcW w:w="7938" w:type="dxa"/>
            <w:shd w:val="clear" w:color="auto" w:fill="auto"/>
          </w:tcPr>
          <w:p w14:paraId="4ACE3E76" w14:textId="30F1E1FA" w:rsidR="00D36B76" w:rsidRPr="007E28CD" w:rsidRDefault="00D36B76" w:rsidP="00D36B76">
            <w:pPr>
              <w:tabs>
                <w:tab w:val="left" w:pos="288"/>
                <w:tab w:val="left" w:pos="576"/>
                <w:tab w:val="left" w:pos="864"/>
                <w:tab w:val="left" w:pos="1152"/>
              </w:tabs>
              <w:spacing w:before="40" w:after="40" w:line="210" w:lineRule="atLeast"/>
              <w:ind w:right="113"/>
            </w:pPr>
            <w:r>
              <w:t>[</w:t>
            </w:r>
            <w:r>
              <w:rPr>
                <w:i/>
                <w:iCs/>
              </w:rPr>
              <w:t>insert</w:t>
            </w:r>
            <w:r>
              <w:t>]</w:t>
            </w:r>
          </w:p>
        </w:tc>
      </w:tr>
      <w:tr w:rsidR="00D36B76" w:rsidRPr="00081400" w14:paraId="64718B91" w14:textId="77777777" w:rsidTr="0044305E">
        <w:trPr>
          <w:trHeight w:val="74"/>
        </w:trPr>
        <w:tc>
          <w:tcPr>
            <w:tcW w:w="1554" w:type="dxa"/>
            <w:tcBorders>
              <w:bottom w:val="single" w:sz="12" w:space="0" w:color="auto"/>
            </w:tcBorders>
            <w:shd w:val="clear" w:color="auto" w:fill="auto"/>
          </w:tcPr>
          <w:p w14:paraId="4A54001E" w14:textId="77777777" w:rsidR="00D36B76" w:rsidRPr="00081400" w:rsidRDefault="00D36B76" w:rsidP="00D36B76">
            <w:pPr>
              <w:pStyle w:val="SingleTxt"/>
              <w:spacing w:after="0" w:line="120" w:lineRule="atLeast"/>
              <w:ind w:left="0"/>
              <w:rPr>
                <w:sz w:val="10"/>
              </w:rPr>
            </w:pPr>
          </w:p>
        </w:tc>
        <w:tc>
          <w:tcPr>
            <w:tcW w:w="4809" w:type="dxa"/>
            <w:tcBorders>
              <w:bottom w:val="single" w:sz="12" w:space="0" w:color="auto"/>
            </w:tcBorders>
            <w:shd w:val="clear" w:color="auto" w:fill="auto"/>
          </w:tcPr>
          <w:p w14:paraId="13955BF6" w14:textId="77777777" w:rsidR="00D36B76" w:rsidRPr="00081400" w:rsidRDefault="00D36B76" w:rsidP="00D36B76">
            <w:pPr>
              <w:pStyle w:val="SingleTxt"/>
              <w:spacing w:after="0" w:line="120" w:lineRule="atLeast"/>
              <w:ind w:left="0"/>
              <w:rPr>
                <w:sz w:val="10"/>
              </w:rPr>
            </w:pPr>
          </w:p>
        </w:tc>
        <w:tc>
          <w:tcPr>
            <w:tcW w:w="7938" w:type="dxa"/>
            <w:tcBorders>
              <w:bottom w:val="single" w:sz="12" w:space="0" w:color="auto"/>
            </w:tcBorders>
            <w:shd w:val="clear" w:color="auto" w:fill="auto"/>
          </w:tcPr>
          <w:p w14:paraId="63F5B6C5" w14:textId="77777777" w:rsidR="00D36B76" w:rsidRPr="00081400" w:rsidRDefault="00D36B76" w:rsidP="00D36B76">
            <w:pPr>
              <w:pStyle w:val="SingleTxt"/>
              <w:spacing w:after="0" w:line="120" w:lineRule="atLeast"/>
              <w:ind w:left="0"/>
              <w:rPr>
                <w:sz w:val="10"/>
              </w:rPr>
            </w:pPr>
          </w:p>
        </w:tc>
      </w:tr>
    </w:tbl>
    <w:p w14:paraId="65BDCCDF" w14:textId="77777777" w:rsidR="007E28CD" w:rsidRPr="002E49C8" w:rsidRDefault="007E28CD" w:rsidP="002E49C8">
      <w:pPr>
        <w:spacing w:after="120"/>
        <w:rPr>
          <w:b/>
          <w:bCs/>
        </w:rPr>
      </w:pPr>
    </w:p>
    <w:p w14:paraId="320AAF89" w14:textId="77777777" w:rsidR="00564036" w:rsidRPr="00C874A9" w:rsidRDefault="00564036" w:rsidP="00564036">
      <w:pPr>
        <w:pStyle w:val="SingleTxt"/>
      </w:pPr>
    </w:p>
    <w:p w14:paraId="1B45E3EF" w14:textId="77777777" w:rsidR="00564036" w:rsidRPr="00C874A9" w:rsidRDefault="00564036" w:rsidP="00564036">
      <w:pPr>
        <w:pStyle w:val="SingleTxt"/>
        <w:sectPr w:rsidR="00564036" w:rsidRPr="00C874A9" w:rsidSect="007E28CD">
          <w:footerReference w:type="even" r:id="rId11"/>
          <w:footerReference w:type="default" r:id="rId12"/>
          <w:endnotePr>
            <w:numFmt w:val="decimal"/>
          </w:endnotePr>
          <w:pgSz w:w="16834" w:h="11909" w:orient="landscape"/>
          <w:pgMar w:top="1338" w:right="1440" w:bottom="811" w:left="1151" w:header="227" w:footer="408" w:gutter="0"/>
          <w:cols w:space="720"/>
          <w:noEndnote/>
          <w:bidi/>
          <w:rtlGutter/>
          <w:docGrid w:linePitch="360"/>
        </w:sectPr>
      </w:pPr>
    </w:p>
    <w:p w14:paraId="2D87E90D" w14:textId="77777777" w:rsidR="007E28CD" w:rsidRDefault="00C874A9" w:rsidP="00C874A9">
      <w:pPr>
        <w:pStyle w:val="H23"/>
        <w:ind w:left="1267" w:right="1260" w:hanging="1267"/>
      </w:pPr>
      <w:r w:rsidRPr="00C874A9">
        <w:tab/>
      </w:r>
      <w:r w:rsidRPr="00C874A9">
        <w:tab/>
      </w:r>
      <w:r w:rsidRPr="007E28CD">
        <w:rPr>
          <w:b w:val="0"/>
          <w:bCs/>
        </w:rPr>
        <w:t>Table 2</w:t>
      </w:r>
    </w:p>
    <w:p w14:paraId="417FA794" w14:textId="4FCF30B4" w:rsidR="00C874A9" w:rsidRPr="00C874A9" w:rsidRDefault="007E28CD" w:rsidP="00C874A9">
      <w:pPr>
        <w:pStyle w:val="H23"/>
        <w:ind w:left="1267" w:right="1260" w:hanging="1267"/>
      </w:pPr>
      <w:r>
        <w:tab/>
      </w:r>
      <w:r>
        <w:tab/>
      </w:r>
      <w:r w:rsidR="00BC3DF1">
        <w:t>General</w:t>
      </w:r>
      <w:r w:rsidR="00BC3DF1" w:rsidRPr="00BC3DF1">
        <w:t xml:space="preserve"> comments</w:t>
      </w:r>
      <w:r w:rsidR="003B4CE7">
        <w:t xml:space="preserve"> on draft provisions</w:t>
      </w:r>
    </w:p>
    <w:p w14:paraId="594CBBD2" w14:textId="7400CA8E" w:rsidR="00C874A9" w:rsidRPr="00C874A9" w:rsidRDefault="00C874A9" w:rsidP="00C874A9">
      <w:pPr>
        <w:pStyle w:val="SingleTxt"/>
        <w:spacing w:after="0" w:line="120" w:lineRule="atLeast"/>
        <w:rPr>
          <w:sz w:val="10"/>
        </w:rPr>
      </w:pPr>
    </w:p>
    <w:tbl>
      <w:tblPr>
        <w:tblStyle w:val="af7"/>
        <w:tblW w:w="8599" w:type="dxa"/>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9"/>
      </w:tblGrid>
      <w:tr w:rsidR="002B74D9" w:rsidRPr="007E28CD" w14:paraId="12591767" w14:textId="77777777" w:rsidTr="002B74D9">
        <w:trPr>
          <w:trHeight w:val="57"/>
          <w:tblHeader/>
        </w:trPr>
        <w:tc>
          <w:tcPr>
            <w:tcW w:w="8599" w:type="dxa"/>
            <w:tcBorders>
              <w:top w:val="single" w:sz="4" w:space="0" w:color="auto"/>
              <w:bottom w:val="single" w:sz="12" w:space="0" w:color="auto"/>
            </w:tcBorders>
            <w:shd w:val="clear" w:color="auto" w:fill="auto"/>
            <w:vAlign w:val="bottom"/>
          </w:tcPr>
          <w:p w14:paraId="622A7861" w14:textId="460E1EA6" w:rsidR="002B74D9" w:rsidRPr="007E28CD" w:rsidRDefault="002B74D9" w:rsidP="00D168C9">
            <w:pPr>
              <w:keepNext/>
              <w:spacing w:before="40" w:after="40" w:line="160" w:lineRule="atLeast"/>
              <w:ind w:right="40"/>
              <w:rPr>
                <w:i/>
                <w:sz w:val="14"/>
                <w:szCs w:val="14"/>
                <w:lang w:val="en-GB"/>
              </w:rPr>
            </w:pPr>
            <w:r>
              <w:rPr>
                <w:i/>
                <w:sz w:val="14"/>
                <w:szCs w:val="14"/>
                <w:lang w:val="en-GB"/>
              </w:rPr>
              <w:t>Comments</w:t>
            </w:r>
          </w:p>
        </w:tc>
      </w:tr>
      <w:tr w:rsidR="002B74D9" w:rsidRPr="00C874A9" w14:paraId="7DFF3773" w14:textId="77777777" w:rsidTr="002B74D9">
        <w:trPr>
          <w:trHeight w:val="57"/>
          <w:tblHeader/>
        </w:trPr>
        <w:tc>
          <w:tcPr>
            <w:tcW w:w="8599" w:type="dxa"/>
            <w:tcBorders>
              <w:top w:val="single" w:sz="12" w:space="0" w:color="auto"/>
            </w:tcBorders>
            <w:shd w:val="clear" w:color="auto" w:fill="auto"/>
            <w:vAlign w:val="bottom"/>
          </w:tcPr>
          <w:p w14:paraId="763C2FB5" w14:textId="77777777" w:rsidR="002B74D9" w:rsidRPr="00C874A9" w:rsidRDefault="002B74D9" w:rsidP="004A3B73">
            <w:pPr>
              <w:keepNext/>
              <w:spacing w:line="0" w:lineRule="atLeast"/>
              <w:rPr>
                <w:sz w:val="18"/>
                <w:szCs w:val="18"/>
                <w:lang w:val="en-GB"/>
              </w:rPr>
            </w:pPr>
          </w:p>
        </w:tc>
      </w:tr>
      <w:tr w:rsidR="002B74D9" w:rsidRPr="001513E4" w14:paraId="745E0603" w14:textId="77777777" w:rsidTr="002B74D9">
        <w:trPr>
          <w:trHeight w:val="57"/>
        </w:trPr>
        <w:tc>
          <w:tcPr>
            <w:tcW w:w="8599" w:type="dxa"/>
            <w:tcBorders>
              <w:bottom w:val="single" w:sz="12" w:space="0" w:color="auto"/>
            </w:tcBorders>
            <w:shd w:val="clear" w:color="auto" w:fill="auto"/>
          </w:tcPr>
          <w:p w14:paraId="5F26F3A6" w14:textId="57722777" w:rsidR="002B74D9" w:rsidRPr="001513E4" w:rsidRDefault="0025524F" w:rsidP="007E28CD">
            <w:pPr>
              <w:tabs>
                <w:tab w:val="left" w:pos="288"/>
                <w:tab w:val="left" w:pos="576"/>
                <w:tab w:val="left" w:pos="864"/>
                <w:tab w:val="left" w:pos="1152"/>
              </w:tabs>
              <w:spacing w:before="40" w:after="40"/>
              <w:ind w:right="16"/>
              <w:rPr>
                <w:lang w:val="en-GB"/>
              </w:rPr>
            </w:pPr>
            <w:r>
              <w:t>[</w:t>
            </w:r>
            <w:r>
              <w:rPr>
                <w:i/>
                <w:iCs/>
              </w:rPr>
              <w:t>insert</w:t>
            </w:r>
            <w:r>
              <w:t>]</w:t>
            </w:r>
          </w:p>
        </w:tc>
      </w:tr>
    </w:tbl>
    <w:p w14:paraId="3C878CEA" w14:textId="79C803F8" w:rsidR="00564036" w:rsidRPr="00C874A9" w:rsidRDefault="00C874A9" w:rsidP="00564036">
      <w:pPr>
        <w:pStyle w:val="SingleTxt"/>
      </w:pPr>
      <w:r w:rsidRPr="00C874A9">
        <w:rPr>
          <w:noProof/>
          <w:w w:val="100"/>
          <w:lang w:val="en-US" w:eastAsia="ja-JP"/>
        </w:rPr>
        <mc:AlternateContent>
          <mc:Choice Requires="wps">
            <w:drawing>
              <wp:anchor distT="0" distB="0" distL="114300" distR="114300" simplePos="0" relativeHeight="251659264" behindDoc="0" locked="0" layoutInCell="1" allowOverlap="1" wp14:anchorId="094D3011" wp14:editId="516C607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0889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64036" w:rsidRPr="00C874A9" w:rsidSect="004A3B73">
      <w:headerReference w:type="even" r:id="rId13"/>
      <w:headerReference w:type="default" r:id="rId14"/>
      <w:footerReference w:type="even" r:id="rId15"/>
      <w:footerReference w:type="default" r:id="rId16"/>
      <w:endnotePr>
        <w:numFmt w:val="decimal"/>
      </w:endnotePr>
      <w:pgSz w:w="11906" w:h="16838"/>
      <w:pgMar w:top="1440" w:right="1032" w:bottom="1151" w:left="1032" w:header="432" w:footer="504" w:gutter="0"/>
      <w:cols w:space="708"/>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1DDD" w16cex:dateUtc="2020-05-15T11:55:00Z"/>
  <w16cex:commentExtensible w16cex:durableId="22692035" w16cex:dateUtc="2020-05-15T12:05:00Z"/>
  <w16cex:commentExtensible w16cex:durableId="22691D3B" w16cex:dateUtc="2020-05-15T11:52:00Z"/>
  <w16cex:commentExtensible w16cex:durableId="22691E3F" w16cex:dateUtc="2020-05-15T11:57:00Z"/>
  <w16cex:commentExtensible w16cex:durableId="22691F06" w16cex:dateUtc="2020-05-15T12:00:00Z"/>
  <w16cex:commentExtensible w16cex:durableId="226920DA" w16cex:dateUtc="2020-05-15T12:0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B1141" w14:textId="77777777" w:rsidR="00460AF0" w:rsidRDefault="00460AF0" w:rsidP="00556720">
      <w:r>
        <w:separator/>
      </w:r>
    </w:p>
  </w:endnote>
  <w:endnote w:type="continuationSeparator" w:id="0">
    <w:p w14:paraId="734C1903" w14:textId="77777777" w:rsidR="00460AF0" w:rsidRDefault="00460AF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7"/>
      <w:tblpPr w:leftFromText="187" w:rightFromText="187" w:vertAnchor="page" w:horzAnchor="page" w:tblpX="545"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63346" w:rsidRPr="00564036" w14:paraId="7FFB9DDD" w14:textId="77777777" w:rsidTr="001845DC">
      <w:trPr>
        <w:cantSplit/>
        <w:trHeight w:val="4781"/>
      </w:trPr>
      <w:tc>
        <w:tcPr>
          <w:tcW w:w="432" w:type="dxa"/>
          <w:shd w:val="clear" w:color="auto" w:fill="auto"/>
          <w:textDirection w:val="tbRl"/>
        </w:tcPr>
        <w:p w14:paraId="7C37B3DA" w14:textId="769D9422" w:rsidR="00463346" w:rsidRPr="00564036" w:rsidRDefault="00463346" w:rsidP="00564036">
          <w:pPr>
            <w:pStyle w:val="ac"/>
            <w:rPr>
              <w:w w:val="103"/>
            </w:rPr>
          </w:pPr>
        </w:p>
      </w:tc>
    </w:tr>
    <w:tr w:rsidR="00463346" w:rsidRPr="00564036" w14:paraId="35E876DD" w14:textId="77777777" w:rsidTr="001845DC">
      <w:trPr>
        <w:cantSplit/>
        <w:trHeight w:val="4781"/>
      </w:trPr>
      <w:tc>
        <w:tcPr>
          <w:tcW w:w="432" w:type="dxa"/>
          <w:shd w:val="clear" w:color="auto" w:fill="auto"/>
          <w:textDirection w:val="tbRl"/>
        </w:tcPr>
        <w:p w14:paraId="72E4283C" w14:textId="62FE0735" w:rsidR="00463346" w:rsidRPr="00564036" w:rsidRDefault="00463346" w:rsidP="00564036">
          <w:pPr>
            <w:pStyle w:val="ac"/>
            <w:jc w:val="right"/>
            <w:rPr>
              <w:b w:val="0"/>
              <w:w w:val="103"/>
              <w:sz w:val="14"/>
            </w:rPr>
          </w:pPr>
        </w:p>
      </w:tc>
    </w:tr>
  </w:tbl>
  <w:p w14:paraId="211DD95C" w14:textId="09134D81" w:rsidR="00463346" w:rsidRPr="00564036" w:rsidRDefault="001845DC" w:rsidP="00564036">
    <w:pPr>
      <w:pStyle w:val="ac"/>
    </w:pPr>
    <w:r>
      <w:fldChar w:fldCharType="begin"/>
    </w:r>
    <w:r>
      <w:instrText xml:space="preserve"> PAGE  \* Arabic  \* MERGEFORMAT </w:instrText>
    </w:r>
    <w:r>
      <w:fldChar w:fldCharType="separate"/>
    </w:r>
    <w:r w:rsidR="008500C1">
      <w:t>2</w:t>
    </w:r>
    <w:r>
      <w:fldChar w:fldCharType="end"/>
    </w:r>
    <w:r>
      <w:t>/</w:t>
    </w:r>
    <w:r w:rsidR="00460AF0">
      <w:fldChar w:fldCharType="begin"/>
    </w:r>
    <w:r w:rsidR="00460AF0">
      <w:instrText xml:space="preserve"> NUMPAGES  \* Arabic  \* MERGEFORMAT </w:instrText>
    </w:r>
    <w:r w:rsidR="00460AF0">
      <w:fldChar w:fldCharType="separate"/>
    </w:r>
    <w:r w:rsidR="008500C1">
      <w:t>2</w:t>
    </w:r>
    <w:r w:rsidR="00460AF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7"/>
      <w:tblpPr w:leftFromText="187" w:rightFromText="187" w:vertAnchor="page" w:horzAnchor="page" w:tblpX="545"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63346" w:rsidRPr="00564036" w14:paraId="17635F4D" w14:textId="77777777" w:rsidTr="00856A4B">
      <w:trPr>
        <w:cantSplit/>
        <w:trHeight w:val="4781"/>
      </w:trPr>
      <w:tc>
        <w:tcPr>
          <w:tcW w:w="432" w:type="dxa"/>
          <w:shd w:val="clear" w:color="auto" w:fill="auto"/>
          <w:textDirection w:val="tbRl"/>
        </w:tcPr>
        <w:p w14:paraId="3C334ED0" w14:textId="5960B661" w:rsidR="00463346" w:rsidRPr="00564036" w:rsidRDefault="00463346" w:rsidP="00564036">
          <w:pPr>
            <w:pStyle w:val="ac"/>
            <w:jc w:val="right"/>
            <w:rPr>
              <w:w w:val="103"/>
            </w:rPr>
          </w:pPr>
        </w:p>
      </w:tc>
    </w:tr>
  </w:tbl>
  <w:p w14:paraId="0A9D4A7A" w14:textId="46554655" w:rsidR="00463346" w:rsidRPr="00564036" w:rsidRDefault="001845DC" w:rsidP="001845DC">
    <w:pPr>
      <w:pStyle w:val="ac"/>
      <w:jc w:val="right"/>
    </w:pPr>
    <w:r>
      <w:fldChar w:fldCharType="begin"/>
    </w:r>
    <w:r>
      <w:instrText xml:space="preserve"> PAGE  \* Arabic  \* MERGEFORMAT </w:instrText>
    </w:r>
    <w:r>
      <w:fldChar w:fldCharType="separate"/>
    </w:r>
    <w:r w:rsidR="008500C1">
      <w:t>1</w:t>
    </w:r>
    <w:r>
      <w:fldChar w:fldCharType="end"/>
    </w:r>
    <w:r>
      <w:t>/</w:t>
    </w:r>
    <w:r w:rsidR="00460AF0">
      <w:fldChar w:fldCharType="begin"/>
    </w:r>
    <w:r w:rsidR="00460AF0">
      <w:instrText xml:space="preserve"> NUMPAGES  \* Arabic  \* MERGEFORMAT </w:instrText>
    </w:r>
    <w:r w:rsidR="00460AF0">
      <w:fldChar w:fldCharType="separate"/>
    </w:r>
    <w:r w:rsidR="008500C1">
      <w:t>4</w:t>
    </w:r>
    <w:r w:rsidR="00460AF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302C" w14:textId="6D057FF6" w:rsidR="00463346" w:rsidRPr="003E531D" w:rsidRDefault="001845DC" w:rsidP="001845DC">
    <w:pPr>
      <w:pStyle w:val="ac"/>
    </w:pPr>
    <w:r>
      <w:fldChar w:fldCharType="begin"/>
    </w:r>
    <w:r>
      <w:instrText xml:space="preserve"> PAGE  \* Arabic  \* MERGEFORMAT </w:instrText>
    </w:r>
    <w:r>
      <w:fldChar w:fldCharType="separate"/>
    </w:r>
    <w:r>
      <w:t>4</w:t>
    </w:r>
    <w:r>
      <w:fldChar w:fldCharType="end"/>
    </w:r>
    <w:r>
      <w:t>/</w:t>
    </w:r>
    <w:r w:rsidR="00460AF0">
      <w:fldChar w:fldCharType="begin"/>
    </w:r>
    <w:r w:rsidR="00460AF0">
      <w:instrText xml:space="preserve"> NUMPAGES  \* Arabic  \* MERGEFORMAT </w:instrText>
    </w:r>
    <w:r w:rsidR="00460AF0">
      <w:fldChar w:fldCharType="separate"/>
    </w:r>
    <w:r>
      <w:t>6</w:t>
    </w:r>
    <w:r w:rsidR="00460AF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029"/>
      <w:gridCol w:w="5029"/>
    </w:tblGrid>
    <w:tr w:rsidR="00463346" w14:paraId="1F9759DE" w14:textId="77777777" w:rsidTr="004A3B73">
      <w:trPr>
        <w:jc w:val="center"/>
      </w:trPr>
      <w:tc>
        <w:tcPr>
          <w:tcW w:w="5029" w:type="dxa"/>
          <w:shd w:val="clear" w:color="auto" w:fill="auto"/>
        </w:tcPr>
        <w:p w14:paraId="7CD9D959" w14:textId="77777777" w:rsidR="00463346" w:rsidRPr="003E531D" w:rsidRDefault="00463346" w:rsidP="004A3B73">
          <w:pPr>
            <w:pStyle w:val="ac"/>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14</w:t>
          </w:r>
          <w:r>
            <w:rPr>
              <w:w w:val="103"/>
            </w:rPr>
            <w:fldChar w:fldCharType="end"/>
          </w:r>
        </w:p>
      </w:tc>
      <w:tc>
        <w:tcPr>
          <w:tcW w:w="5029" w:type="dxa"/>
          <w:shd w:val="clear" w:color="auto" w:fill="auto"/>
        </w:tcPr>
        <w:p w14:paraId="4C742AB6" w14:textId="77777777" w:rsidR="00463346" w:rsidRPr="003E531D" w:rsidRDefault="00463346" w:rsidP="004A3B73">
          <w:pPr>
            <w:pStyle w:val="ac"/>
            <w:rPr>
              <w:b w:val="0"/>
              <w:w w:val="103"/>
              <w:sz w:val="14"/>
            </w:rPr>
          </w:pPr>
        </w:p>
      </w:tc>
    </w:tr>
  </w:tbl>
  <w:p w14:paraId="0C5F53A5" w14:textId="77777777" w:rsidR="00463346" w:rsidRPr="003E531D" w:rsidRDefault="00463346" w:rsidP="004A3B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816D" w14:textId="77777777" w:rsidR="00460AF0" w:rsidRPr="00C874A9" w:rsidRDefault="00460AF0" w:rsidP="00C874A9">
      <w:pPr>
        <w:pStyle w:val="ac"/>
        <w:spacing w:after="80"/>
        <w:ind w:left="792"/>
        <w:rPr>
          <w:sz w:val="16"/>
        </w:rPr>
      </w:pPr>
      <w:r w:rsidRPr="00C874A9">
        <w:rPr>
          <w:sz w:val="16"/>
        </w:rPr>
        <w:t>__________________</w:t>
      </w:r>
    </w:p>
  </w:footnote>
  <w:footnote w:type="continuationSeparator" w:id="0">
    <w:p w14:paraId="23062603" w14:textId="77777777" w:rsidR="00460AF0" w:rsidRPr="00C874A9" w:rsidRDefault="00460AF0" w:rsidP="00C874A9">
      <w:pPr>
        <w:pStyle w:val="ac"/>
        <w:spacing w:after="80"/>
        <w:ind w:left="792"/>
        <w:rPr>
          <w:sz w:val="16"/>
        </w:rPr>
      </w:pPr>
      <w:r w:rsidRPr="00C874A9">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8561" w14:textId="77777777" w:rsidR="00463346" w:rsidRPr="001845DC" w:rsidRDefault="00463346" w:rsidP="001845D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1"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29"/>
    </w:tblGrid>
    <w:tr w:rsidR="00463346" w14:paraId="6D0EBDFF" w14:textId="77777777" w:rsidTr="004A3B73">
      <w:trPr>
        <w:trHeight w:hRule="exact" w:val="864"/>
        <w:jc w:val="center"/>
      </w:trPr>
      <w:tc>
        <w:tcPr>
          <w:tcW w:w="4882" w:type="dxa"/>
          <w:shd w:val="clear" w:color="auto" w:fill="auto"/>
          <w:vAlign w:val="bottom"/>
        </w:tcPr>
        <w:p w14:paraId="0AA6A1CD" w14:textId="77777777" w:rsidR="00463346" w:rsidRDefault="00463346" w:rsidP="004A3B73">
          <w:pPr>
            <w:pStyle w:val="af"/>
          </w:pPr>
        </w:p>
      </w:tc>
      <w:tc>
        <w:tcPr>
          <w:tcW w:w="5029" w:type="dxa"/>
          <w:shd w:val="clear" w:color="auto" w:fill="auto"/>
          <w:vAlign w:val="bottom"/>
        </w:tcPr>
        <w:p w14:paraId="3599EC65" w14:textId="15C1DEC3" w:rsidR="00463346" w:rsidRPr="003E531D" w:rsidRDefault="00463346" w:rsidP="001168EB">
          <w:pPr>
            <w:pStyle w:val="af"/>
            <w:spacing w:after="80"/>
            <w:ind w:right="340"/>
            <w:rPr>
              <w:b/>
            </w:rPr>
          </w:pPr>
        </w:p>
      </w:tc>
    </w:tr>
  </w:tbl>
  <w:p w14:paraId="699BE1A3" w14:textId="77777777" w:rsidR="00463346" w:rsidRPr="003E531D" w:rsidRDefault="00463346" w:rsidP="004A3B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27662240"/>
    <w:multiLevelType w:val="singleLevel"/>
    <w:tmpl w:val="C840ED3A"/>
    <w:lvl w:ilvl="0">
      <w:start w:val="1"/>
      <w:numFmt w:val="decimal"/>
      <w:lvlRestart w:val="0"/>
      <w:lvlText w:val="%1."/>
      <w:lvlJc w:val="left"/>
      <w:pPr>
        <w:tabs>
          <w:tab w:val="num" w:pos="5579"/>
        </w:tabs>
        <w:ind w:left="5104" w:firstLine="0"/>
      </w:pPr>
      <w:rPr>
        <w:rFonts w:ascii="Times New Roman" w:hAnsi="Times New Roman" w:hint="default"/>
        <w:b w:val="0"/>
        <w:i w:val="0"/>
        <w:spacing w:val="0"/>
        <w:w w:val="100"/>
        <w:sz w:val="20"/>
      </w:rPr>
    </w:lvl>
  </w:abstractNum>
  <w:abstractNum w:abstractNumId="2" w15:restartNumberingAfterBreak="0">
    <w:nsid w:val="2DC93CC6"/>
    <w:multiLevelType w:val="hybridMultilevel"/>
    <w:tmpl w:val="D3B2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4108D"/>
    <w:multiLevelType w:val="multilevel"/>
    <w:tmpl w:val="BD34144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386C37F4"/>
    <w:multiLevelType w:val="hybridMultilevel"/>
    <w:tmpl w:val="D3B2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32D6A00"/>
    <w:multiLevelType w:val="hybridMultilevel"/>
    <w:tmpl w:val="D3B2D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5F9E737E"/>
    <w:multiLevelType w:val="singleLevel"/>
    <w:tmpl w:val="C840ED3A"/>
    <w:lvl w:ilvl="0">
      <w:start w:val="1"/>
      <w:numFmt w:val="decimal"/>
      <w:lvlRestart w:val="0"/>
      <w:lvlText w:val="%1."/>
      <w:lvlJc w:val="left"/>
      <w:pPr>
        <w:tabs>
          <w:tab w:val="num" w:pos="5579"/>
        </w:tabs>
        <w:ind w:left="5104" w:firstLine="0"/>
      </w:pPr>
      <w:rPr>
        <w:rFonts w:ascii="Times New Roman" w:hAnsi="Times New Roman" w:hint="default"/>
        <w:b w:val="0"/>
        <w:i w:val="0"/>
        <w:spacing w:val="0"/>
        <w:w w:val="100"/>
        <w:sz w:val="20"/>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8653970"/>
    <w:multiLevelType w:val="multilevel"/>
    <w:tmpl w:val="1D5A9146"/>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7"/>
  </w:num>
  <w:num w:numId="3">
    <w:abstractNumId w:val="9"/>
  </w:num>
  <w:num w:numId="4">
    <w:abstractNumId w:val="5"/>
  </w:num>
  <w:num w:numId="5">
    <w:abstractNumId w:val="3"/>
  </w:num>
  <w:num w:numId="6">
    <w:abstractNumId w:val="10"/>
  </w:num>
  <w:num w:numId="7">
    <w:abstractNumId w:val="8"/>
    <w:lvlOverride w:ilvl="0">
      <w:lvl w:ilvl="0">
        <w:start w:val="1"/>
        <w:numFmt w:val="decimal"/>
        <w:lvlRestart w:val="0"/>
        <w:lvlText w:val="%1."/>
        <w:lvlJc w:val="left"/>
        <w:pPr>
          <w:ind w:left="0" w:firstLine="0"/>
        </w:pPr>
        <w:rPr>
          <w:spacing w:val="0"/>
          <w:w w:val="100"/>
        </w:rPr>
      </w:lvl>
    </w:lvlOverride>
  </w:num>
  <w:num w:numId="8">
    <w:abstractNumId w:val="8"/>
    <w:lvlOverride w:ilvl="0">
      <w:lvl w:ilvl="0">
        <w:start w:val="1"/>
        <w:numFmt w:val="decimal"/>
        <w:lvlRestart w:val="0"/>
        <w:lvlText w:val="%1."/>
        <w:lvlJc w:val="left"/>
        <w:pPr>
          <w:ind w:left="0" w:firstLine="0"/>
        </w:pPr>
        <w:rPr>
          <w:spacing w:val="0"/>
          <w:w w:val="100"/>
        </w:rPr>
      </w:lvl>
    </w:lvlOverride>
  </w:num>
  <w:num w:numId="9">
    <w:abstractNumId w:val="8"/>
    <w:lvlOverride w:ilvl="0">
      <w:lvl w:ilvl="0">
        <w:start w:val="1"/>
        <w:numFmt w:val="decimal"/>
        <w:lvlRestart w:val="0"/>
        <w:lvlText w:val="%1."/>
        <w:lvlJc w:val="left"/>
        <w:pPr>
          <w:ind w:left="0" w:firstLine="0"/>
        </w:pPr>
        <w:rPr>
          <w:spacing w:val="0"/>
          <w:w w:val="100"/>
        </w:rPr>
      </w:lvl>
    </w:lvlOverride>
  </w:num>
  <w:num w:numId="10">
    <w:abstractNumId w:val="8"/>
    <w:lvlOverride w:ilvl="0">
      <w:lvl w:ilvl="0">
        <w:start w:val="1"/>
        <w:numFmt w:val="decimal"/>
        <w:lvlRestart w:val="0"/>
        <w:lvlText w:val="%1."/>
        <w:lvlJc w:val="left"/>
        <w:pPr>
          <w:ind w:left="0" w:firstLine="0"/>
        </w:pPr>
        <w:rPr>
          <w:spacing w:val="0"/>
          <w:w w:val="100"/>
        </w:rPr>
      </w:lvl>
    </w:lvlOverride>
  </w:num>
  <w:num w:numId="11">
    <w:abstractNumId w:val="1"/>
    <w:lvlOverride w:ilvl="0">
      <w:lvl w:ilvl="0">
        <w:start w:val="1"/>
        <w:numFmt w:val="decimal"/>
        <w:lvlRestart w:val="0"/>
        <w:lvlText w:val="%1."/>
        <w:lvlJc w:val="left"/>
        <w:pPr>
          <w:ind w:left="0" w:firstLine="0"/>
        </w:pPr>
        <w:rPr>
          <w:spacing w:val="0"/>
          <w:w w:val="100"/>
        </w:rPr>
      </w:lvl>
    </w:lvlOverride>
  </w:num>
  <w:num w:numId="12">
    <w:abstractNumId w:val="1"/>
    <w:lvlOverride w:ilvl="0">
      <w:lvl w:ilvl="0">
        <w:start w:val="1"/>
        <w:numFmt w:val="decimal"/>
        <w:lvlRestart w:val="0"/>
        <w:lvlText w:val="%1."/>
        <w:lvlJc w:val="left"/>
        <w:pPr>
          <w:ind w:left="0" w:firstLine="0"/>
        </w:pPr>
        <w:rPr>
          <w:spacing w:val="0"/>
          <w:w w:val="100"/>
        </w:rPr>
      </w:lvl>
    </w:lvlOverride>
  </w:num>
  <w:num w:numId="13">
    <w:abstractNumId w:val="1"/>
    <w:lvlOverride w:ilvl="0">
      <w:lvl w:ilvl="0">
        <w:start w:val="1"/>
        <w:numFmt w:val="decimal"/>
        <w:lvlRestart w:val="0"/>
        <w:lvlText w:val="%1."/>
        <w:lvlJc w:val="left"/>
        <w:pPr>
          <w:ind w:left="0" w:firstLine="0"/>
        </w:pPr>
        <w:rPr>
          <w:spacing w:val="0"/>
          <w:w w:val="100"/>
        </w:rPr>
      </w:lvl>
    </w:lvlOverride>
  </w:num>
  <w:num w:numId="14">
    <w:abstractNumId w:val="1"/>
    <w:lvlOverride w:ilvl="0">
      <w:lvl w:ilvl="0">
        <w:start w:val="1"/>
        <w:numFmt w:val="decimal"/>
        <w:lvlRestart w:val="0"/>
        <w:lvlText w:val="%1."/>
        <w:lvlJc w:val="left"/>
        <w:pPr>
          <w:ind w:left="0" w:firstLine="0"/>
        </w:pPr>
        <w:rPr>
          <w:spacing w:val="0"/>
          <w:w w:val="100"/>
        </w:rPr>
      </w:lvl>
    </w:lvlOverride>
  </w:num>
  <w:num w:numId="15">
    <w:abstractNumId w:val="1"/>
    <w:lvlOverride w:ilvl="0">
      <w:lvl w:ilvl="0">
        <w:start w:val="1"/>
        <w:numFmt w:val="decimal"/>
        <w:lvlRestart w:val="0"/>
        <w:lvlText w:val="%1."/>
        <w:lvlJc w:val="left"/>
        <w:pPr>
          <w:ind w:left="0" w:firstLine="0"/>
        </w:pPr>
        <w:rPr>
          <w:spacing w:val="0"/>
          <w:w w:val="100"/>
        </w:rPr>
      </w:lvl>
    </w:lvlOverride>
  </w:num>
  <w:num w:numId="16">
    <w:abstractNumId w:val="1"/>
    <w:lvlOverride w:ilvl="0">
      <w:lvl w:ilvl="0">
        <w:start w:val="1"/>
        <w:numFmt w:val="decimal"/>
        <w:lvlRestart w:val="0"/>
        <w:lvlText w:val="%1."/>
        <w:lvlJc w:val="left"/>
        <w:pPr>
          <w:ind w:left="0" w:firstLine="0"/>
        </w:pPr>
        <w:rPr>
          <w:spacing w:val="0"/>
          <w:w w:val="100"/>
        </w:rPr>
      </w:lvl>
    </w:lvlOverride>
  </w:num>
  <w:num w:numId="17">
    <w:abstractNumId w:val="1"/>
    <w:lvlOverride w:ilvl="0">
      <w:lvl w:ilvl="0">
        <w:start w:val="1"/>
        <w:numFmt w:val="decimal"/>
        <w:lvlRestart w:val="0"/>
        <w:lvlText w:val="%1."/>
        <w:lvlJc w:val="left"/>
        <w:pPr>
          <w:ind w:left="0" w:firstLine="0"/>
        </w:pPr>
        <w:rPr>
          <w:spacing w:val="0"/>
          <w:w w:val="100"/>
        </w:rPr>
      </w:lvl>
    </w:lvlOverride>
  </w:num>
  <w:num w:numId="18">
    <w:abstractNumId w:val="1"/>
    <w:lvlOverride w:ilvl="0">
      <w:lvl w:ilvl="0">
        <w:start w:val="1"/>
        <w:numFmt w:val="decimal"/>
        <w:lvlRestart w:val="0"/>
        <w:lvlText w:val="%1."/>
        <w:lvlJc w:val="left"/>
        <w:pPr>
          <w:ind w:left="0" w:firstLine="0"/>
        </w:pPr>
        <w:rPr>
          <w:spacing w:val="0"/>
          <w:w w:val="100"/>
        </w:rPr>
      </w:lvl>
    </w:lvlOverride>
  </w:num>
  <w:num w:numId="19">
    <w:abstractNumId w:val="1"/>
    <w:lvlOverride w:ilvl="0">
      <w:lvl w:ilvl="0">
        <w:start w:val="1"/>
        <w:numFmt w:val="decimal"/>
        <w:lvlRestart w:val="0"/>
        <w:lvlText w:val="%1."/>
        <w:lvlJc w:val="left"/>
        <w:pPr>
          <w:ind w:left="0" w:firstLine="0"/>
        </w:pPr>
        <w:rPr>
          <w:spacing w:val="0"/>
          <w:w w:val="100"/>
        </w:rPr>
      </w:lvl>
    </w:lvlOverride>
  </w:num>
  <w:num w:numId="20">
    <w:abstractNumId w:val="1"/>
    <w:lvlOverride w:ilvl="0">
      <w:lvl w:ilvl="0">
        <w:start w:val="1"/>
        <w:numFmt w:val="decimal"/>
        <w:lvlRestart w:val="0"/>
        <w:lvlText w:val="%1."/>
        <w:lvlJc w:val="left"/>
        <w:pPr>
          <w:ind w:left="0" w:firstLine="0"/>
        </w:pPr>
        <w:rPr>
          <w:spacing w:val="0"/>
          <w:w w:val="100"/>
        </w:rPr>
      </w:lvl>
    </w:lvlOverride>
  </w:num>
  <w:num w:numId="21">
    <w:abstractNumId w:val="1"/>
    <w:lvlOverride w:ilvl="0">
      <w:lvl w:ilvl="0">
        <w:start w:val="1"/>
        <w:numFmt w:val="decimal"/>
        <w:lvlRestart w:val="0"/>
        <w:lvlText w:val="%1."/>
        <w:lvlJc w:val="left"/>
        <w:pPr>
          <w:ind w:left="0" w:firstLine="0"/>
        </w:pPr>
        <w:rPr>
          <w:spacing w:val="0"/>
          <w:w w:val="100"/>
        </w:rPr>
      </w:lvl>
    </w:lvlOverride>
  </w:num>
  <w:num w:numId="22">
    <w:abstractNumId w:val="1"/>
    <w:lvlOverride w:ilvl="0">
      <w:lvl w:ilvl="0">
        <w:start w:val="1"/>
        <w:numFmt w:val="decimal"/>
        <w:lvlRestart w:val="0"/>
        <w:lvlText w:val="%1."/>
        <w:lvlJc w:val="left"/>
        <w:pPr>
          <w:ind w:left="0" w:firstLine="0"/>
        </w:pPr>
        <w:rPr>
          <w:spacing w:val="0"/>
          <w:w w:val="100"/>
        </w:rPr>
      </w:lvl>
    </w:lvlOverride>
  </w:num>
  <w:num w:numId="23">
    <w:abstractNumId w:val="1"/>
    <w:lvlOverride w:ilvl="0">
      <w:lvl w:ilvl="0">
        <w:start w:val="1"/>
        <w:numFmt w:val="decimal"/>
        <w:lvlRestart w:val="0"/>
        <w:lvlText w:val="%1."/>
        <w:lvlJc w:val="left"/>
        <w:pPr>
          <w:ind w:left="0" w:firstLine="0"/>
        </w:pPr>
        <w:rPr>
          <w:spacing w:val="0"/>
          <w:w w:val="100"/>
        </w:rPr>
      </w:lvl>
    </w:lvlOverride>
  </w:num>
  <w:num w:numId="24">
    <w:abstractNumId w:val="2"/>
  </w:num>
  <w:num w:numId="25">
    <w:abstractNumId w:val="6"/>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03228*"/>
    <w:docVar w:name="CreationDt" w:val="13/05/2019 16:40:43"/>
    <w:docVar w:name="DocCategory" w:val="Doc"/>
    <w:docVar w:name="DocType" w:val="Final"/>
    <w:docVar w:name="DutyStation" w:val="Vienna"/>
    <w:docVar w:name="FooterJN" w:val="V.19-03228"/>
    <w:docVar w:name="jobn" w:val="V.19-03228 (E)"/>
    <w:docVar w:name="jobnDT" w:val="V.19-03228 (E)   130519"/>
    <w:docVar w:name="jobnDTDT" w:val="V.19-03228 (E)   130519   130519"/>
    <w:docVar w:name="JobNo" w:val="V.1903228E"/>
    <w:docVar w:name="JobNo2" w:val="1903228E"/>
    <w:docVar w:name="LocalDrive" w:val="0"/>
    <w:docVar w:name="OandT" w:val="KD"/>
    <w:docVar w:name="sss1" w:val="A/CN.9/981"/>
    <w:docVar w:name="sss2" w:val="-"/>
    <w:docVar w:name="Symbol1" w:val="A/CN.9/981"/>
    <w:docVar w:name="Symbol2" w:val="-"/>
  </w:docVars>
  <w:rsids>
    <w:rsidRoot w:val="00FF27A1"/>
    <w:rsid w:val="000128FE"/>
    <w:rsid w:val="0001325F"/>
    <w:rsid w:val="00017FCF"/>
    <w:rsid w:val="000236D7"/>
    <w:rsid w:val="00024D1E"/>
    <w:rsid w:val="0002559D"/>
    <w:rsid w:val="0004115E"/>
    <w:rsid w:val="00041AEA"/>
    <w:rsid w:val="00042032"/>
    <w:rsid w:val="000433E6"/>
    <w:rsid w:val="00046EA4"/>
    <w:rsid w:val="00066B9E"/>
    <w:rsid w:val="00081400"/>
    <w:rsid w:val="00083E13"/>
    <w:rsid w:val="00087C6B"/>
    <w:rsid w:val="000A214B"/>
    <w:rsid w:val="000B3288"/>
    <w:rsid w:val="000B3BF1"/>
    <w:rsid w:val="000B73B5"/>
    <w:rsid w:val="000C4C9C"/>
    <w:rsid w:val="000D14E4"/>
    <w:rsid w:val="000D28C8"/>
    <w:rsid w:val="000E3FDF"/>
    <w:rsid w:val="000F1272"/>
    <w:rsid w:val="000F12ED"/>
    <w:rsid w:val="000F5347"/>
    <w:rsid w:val="00103A88"/>
    <w:rsid w:val="00104DF1"/>
    <w:rsid w:val="00105CDB"/>
    <w:rsid w:val="001168EB"/>
    <w:rsid w:val="00120019"/>
    <w:rsid w:val="00123186"/>
    <w:rsid w:val="001513E4"/>
    <w:rsid w:val="00174FBB"/>
    <w:rsid w:val="001768B1"/>
    <w:rsid w:val="001845DC"/>
    <w:rsid w:val="001846BD"/>
    <w:rsid w:val="001A03E9"/>
    <w:rsid w:val="001A207A"/>
    <w:rsid w:val="001B5226"/>
    <w:rsid w:val="001B77D1"/>
    <w:rsid w:val="001C240B"/>
    <w:rsid w:val="001D6514"/>
    <w:rsid w:val="001F65E5"/>
    <w:rsid w:val="002007C7"/>
    <w:rsid w:val="00200F9C"/>
    <w:rsid w:val="00210C09"/>
    <w:rsid w:val="00214645"/>
    <w:rsid w:val="00217571"/>
    <w:rsid w:val="002216BA"/>
    <w:rsid w:val="0023121C"/>
    <w:rsid w:val="002475AD"/>
    <w:rsid w:val="00247D01"/>
    <w:rsid w:val="00251D59"/>
    <w:rsid w:val="0025524F"/>
    <w:rsid w:val="00261BD3"/>
    <w:rsid w:val="002706A2"/>
    <w:rsid w:val="00274143"/>
    <w:rsid w:val="002756EA"/>
    <w:rsid w:val="00284B7C"/>
    <w:rsid w:val="00284C85"/>
    <w:rsid w:val="00284E39"/>
    <w:rsid w:val="002A02B3"/>
    <w:rsid w:val="002B74D9"/>
    <w:rsid w:val="002C4882"/>
    <w:rsid w:val="002C7AC6"/>
    <w:rsid w:val="002E09A8"/>
    <w:rsid w:val="002E49C8"/>
    <w:rsid w:val="002E5588"/>
    <w:rsid w:val="002E5F6F"/>
    <w:rsid w:val="002E6539"/>
    <w:rsid w:val="002F045F"/>
    <w:rsid w:val="00307856"/>
    <w:rsid w:val="00322FD9"/>
    <w:rsid w:val="00335A74"/>
    <w:rsid w:val="0034336E"/>
    <w:rsid w:val="00346E64"/>
    <w:rsid w:val="003601DE"/>
    <w:rsid w:val="00371FD3"/>
    <w:rsid w:val="003A251F"/>
    <w:rsid w:val="003B4CE7"/>
    <w:rsid w:val="003C4FB7"/>
    <w:rsid w:val="003D159A"/>
    <w:rsid w:val="003E3B08"/>
    <w:rsid w:val="003E723B"/>
    <w:rsid w:val="003F0460"/>
    <w:rsid w:val="003F3240"/>
    <w:rsid w:val="003F67B8"/>
    <w:rsid w:val="00406A83"/>
    <w:rsid w:val="00417A2D"/>
    <w:rsid w:val="0044179B"/>
    <w:rsid w:val="0044305E"/>
    <w:rsid w:val="00455A0A"/>
    <w:rsid w:val="00460AF0"/>
    <w:rsid w:val="00463346"/>
    <w:rsid w:val="004856CD"/>
    <w:rsid w:val="004869FA"/>
    <w:rsid w:val="00491F0E"/>
    <w:rsid w:val="00497520"/>
    <w:rsid w:val="004A3B73"/>
    <w:rsid w:val="004B0B18"/>
    <w:rsid w:val="004B4C46"/>
    <w:rsid w:val="004B5FA1"/>
    <w:rsid w:val="004D17DB"/>
    <w:rsid w:val="004F28D3"/>
    <w:rsid w:val="004F46BE"/>
    <w:rsid w:val="00510E26"/>
    <w:rsid w:val="00512193"/>
    <w:rsid w:val="00513AA0"/>
    <w:rsid w:val="00517424"/>
    <w:rsid w:val="00521550"/>
    <w:rsid w:val="00536C47"/>
    <w:rsid w:val="00540102"/>
    <w:rsid w:val="005403E9"/>
    <w:rsid w:val="005510A5"/>
    <w:rsid w:val="00556720"/>
    <w:rsid w:val="00564036"/>
    <w:rsid w:val="00580AAF"/>
    <w:rsid w:val="00584469"/>
    <w:rsid w:val="005946FD"/>
    <w:rsid w:val="005C09BD"/>
    <w:rsid w:val="005C371F"/>
    <w:rsid w:val="005C49C8"/>
    <w:rsid w:val="005E111E"/>
    <w:rsid w:val="005F1603"/>
    <w:rsid w:val="005F2F1C"/>
    <w:rsid w:val="00601F5D"/>
    <w:rsid w:val="006069C7"/>
    <w:rsid w:val="0060718F"/>
    <w:rsid w:val="00612408"/>
    <w:rsid w:val="00612565"/>
    <w:rsid w:val="006137E4"/>
    <w:rsid w:val="00616993"/>
    <w:rsid w:val="00622E6E"/>
    <w:rsid w:val="00626524"/>
    <w:rsid w:val="006348AD"/>
    <w:rsid w:val="00641C65"/>
    <w:rsid w:val="00641D10"/>
    <w:rsid w:val="0064780D"/>
    <w:rsid w:val="0065333F"/>
    <w:rsid w:val="00674235"/>
    <w:rsid w:val="00676AF9"/>
    <w:rsid w:val="00677A96"/>
    <w:rsid w:val="00687EB1"/>
    <w:rsid w:val="00691F44"/>
    <w:rsid w:val="0069341E"/>
    <w:rsid w:val="00695693"/>
    <w:rsid w:val="006B064D"/>
    <w:rsid w:val="006B4403"/>
    <w:rsid w:val="006B49AD"/>
    <w:rsid w:val="006B51B2"/>
    <w:rsid w:val="006C2E07"/>
    <w:rsid w:val="006D0DC8"/>
    <w:rsid w:val="006D4963"/>
    <w:rsid w:val="007046A6"/>
    <w:rsid w:val="00707CAD"/>
    <w:rsid w:val="00713C1F"/>
    <w:rsid w:val="007174C1"/>
    <w:rsid w:val="007338C5"/>
    <w:rsid w:val="007402BE"/>
    <w:rsid w:val="007449CA"/>
    <w:rsid w:val="00750129"/>
    <w:rsid w:val="007505ED"/>
    <w:rsid w:val="007618FD"/>
    <w:rsid w:val="00764DD9"/>
    <w:rsid w:val="0077059B"/>
    <w:rsid w:val="0077466D"/>
    <w:rsid w:val="00777887"/>
    <w:rsid w:val="007900ED"/>
    <w:rsid w:val="007954A0"/>
    <w:rsid w:val="007A3188"/>
    <w:rsid w:val="007A4197"/>
    <w:rsid w:val="007A620C"/>
    <w:rsid w:val="007C75CE"/>
    <w:rsid w:val="007E28CD"/>
    <w:rsid w:val="007F1EE6"/>
    <w:rsid w:val="00822D98"/>
    <w:rsid w:val="008237DF"/>
    <w:rsid w:val="008238A4"/>
    <w:rsid w:val="00846B5F"/>
    <w:rsid w:val="00846D29"/>
    <w:rsid w:val="008500C1"/>
    <w:rsid w:val="00851C3B"/>
    <w:rsid w:val="00855FFA"/>
    <w:rsid w:val="00856028"/>
    <w:rsid w:val="00856A4B"/>
    <w:rsid w:val="00867472"/>
    <w:rsid w:val="00871CB1"/>
    <w:rsid w:val="008723C3"/>
    <w:rsid w:val="00894B1D"/>
    <w:rsid w:val="008A156F"/>
    <w:rsid w:val="008A7E3B"/>
    <w:rsid w:val="008B2B0A"/>
    <w:rsid w:val="008D18A8"/>
    <w:rsid w:val="008D3F3C"/>
    <w:rsid w:val="008F1C5D"/>
    <w:rsid w:val="008F25B8"/>
    <w:rsid w:val="00900596"/>
    <w:rsid w:val="00914E2D"/>
    <w:rsid w:val="009211D0"/>
    <w:rsid w:val="00931F55"/>
    <w:rsid w:val="009412D0"/>
    <w:rsid w:val="009414B2"/>
    <w:rsid w:val="0097684E"/>
    <w:rsid w:val="0099125E"/>
    <w:rsid w:val="009A4402"/>
    <w:rsid w:val="009A709E"/>
    <w:rsid w:val="009C12CE"/>
    <w:rsid w:val="009D51C0"/>
    <w:rsid w:val="009D5F12"/>
    <w:rsid w:val="009E0440"/>
    <w:rsid w:val="009E1969"/>
    <w:rsid w:val="009F199A"/>
    <w:rsid w:val="00A2002F"/>
    <w:rsid w:val="00A20AC0"/>
    <w:rsid w:val="00A221C3"/>
    <w:rsid w:val="00A2410C"/>
    <w:rsid w:val="00A339B5"/>
    <w:rsid w:val="00A4060B"/>
    <w:rsid w:val="00A556E9"/>
    <w:rsid w:val="00A631D6"/>
    <w:rsid w:val="00A707D5"/>
    <w:rsid w:val="00A72350"/>
    <w:rsid w:val="00A76401"/>
    <w:rsid w:val="00A93A73"/>
    <w:rsid w:val="00A95DCB"/>
    <w:rsid w:val="00AA2E74"/>
    <w:rsid w:val="00AA706F"/>
    <w:rsid w:val="00AB5878"/>
    <w:rsid w:val="00AC11C9"/>
    <w:rsid w:val="00AC617F"/>
    <w:rsid w:val="00AD154D"/>
    <w:rsid w:val="00AD74D2"/>
    <w:rsid w:val="00B04DC7"/>
    <w:rsid w:val="00B147F8"/>
    <w:rsid w:val="00B21BE6"/>
    <w:rsid w:val="00B27E2C"/>
    <w:rsid w:val="00B34C1B"/>
    <w:rsid w:val="00B40842"/>
    <w:rsid w:val="00B41CAC"/>
    <w:rsid w:val="00B4776A"/>
    <w:rsid w:val="00B60D51"/>
    <w:rsid w:val="00B64411"/>
    <w:rsid w:val="00B71650"/>
    <w:rsid w:val="00B85246"/>
    <w:rsid w:val="00B87A89"/>
    <w:rsid w:val="00B91AFE"/>
    <w:rsid w:val="00B9221B"/>
    <w:rsid w:val="00BA080D"/>
    <w:rsid w:val="00BA2D02"/>
    <w:rsid w:val="00BB5C7D"/>
    <w:rsid w:val="00BC38CB"/>
    <w:rsid w:val="00BC3DF1"/>
    <w:rsid w:val="00BD4D4A"/>
    <w:rsid w:val="00BD5B42"/>
    <w:rsid w:val="00BE10C6"/>
    <w:rsid w:val="00BF12B5"/>
    <w:rsid w:val="00BF5B27"/>
    <w:rsid w:val="00BF6BE0"/>
    <w:rsid w:val="00C15630"/>
    <w:rsid w:val="00C20076"/>
    <w:rsid w:val="00C218BE"/>
    <w:rsid w:val="00C24353"/>
    <w:rsid w:val="00C30F6C"/>
    <w:rsid w:val="00C7471D"/>
    <w:rsid w:val="00C779E4"/>
    <w:rsid w:val="00C815E3"/>
    <w:rsid w:val="00C874A9"/>
    <w:rsid w:val="00CA4D00"/>
    <w:rsid w:val="00CD463F"/>
    <w:rsid w:val="00CD4AC4"/>
    <w:rsid w:val="00CE397A"/>
    <w:rsid w:val="00D013D0"/>
    <w:rsid w:val="00D15A56"/>
    <w:rsid w:val="00D168C9"/>
    <w:rsid w:val="00D170EA"/>
    <w:rsid w:val="00D34233"/>
    <w:rsid w:val="00D36B76"/>
    <w:rsid w:val="00D37C9C"/>
    <w:rsid w:val="00D41E7E"/>
    <w:rsid w:val="00D50D95"/>
    <w:rsid w:val="00D526E8"/>
    <w:rsid w:val="00D62DB8"/>
    <w:rsid w:val="00D66707"/>
    <w:rsid w:val="00D97B48"/>
    <w:rsid w:val="00DC7B16"/>
    <w:rsid w:val="00DD402F"/>
    <w:rsid w:val="00E02DB9"/>
    <w:rsid w:val="00E2112D"/>
    <w:rsid w:val="00E32DBD"/>
    <w:rsid w:val="00E870C2"/>
    <w:rsid w:val="00EB5320"/>
    <w:rsid w:val="00EC2FAB"/>
    <w:rsid w:val="00ED42F5"/>
    <w:rsid w:val="00EF422A"/>
    <w:rsid w:val="00EF7F1B"/>
    <w:rsid w:val="00F2336E"/>
    <w:rsid w:val="00F27BF6"/>
    <w:rsid w:val="00F30184"/>
    <w:rsid w:val="00F37C8C"/>
    <w:rsid w:val="00F536DB"/>
    <w:rsid w:val="00F5593E"/>
    <w:rsid w:val="00F71723"/>
    <w:rsid w:val="00F73AE1"/>
    <w:rsid w:val="00F8600E"/>
    <w:rsid w:val="00F87813"/>
    <w:rsid w:val="00F94BC6"/>
    <w:rsid w:val="00FA17AE"/>
    <w:rsid w:val="00FB62D3"/>
    <w:rsid w:val="00FC1EE8"/>
    <w:rsid w:val="00FC49F5"/>
    <w:rsid w:val="00FD652D"/>
    <w:rsid w:val="00FE6BB2"/>
    <w:rsid w:val="00FE6F26"/>
    <w:rsid w:val="00FF27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26F70"/>
  <w15:chartTrackingRefBased/>
  <w15:docId w15:val="{84D61E83-98F7-4F15-8C98-F9336AE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40"/>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1">
    <w:name w:val="heading 1"/>
    <w:basedOn w:val="a"/>
    <w:next w:val="a"/>
    <w:link w:val="10"/>
    <w:uiPriority w:val="9"/>
    <w:qFormat/>
    <w:rsid w:val="00FC49F5"/>
    <w:pPr>
      <w:keepNext/>
      <w:spacing w:before="240" w:after="60"/>
      <w:outlineLvl w:val="0"/>
    </w:pPr>
    <w:rPr>
      <w:rFonts w:ascii="Arial" w:eastAsia="Times New Roman" w:hAnsi="Arial"/>
      <w:b/>
      <w:bCs/>
      <w:kern w:val="32"/>
      <w:sz w:val="32"/>
      <w:szCs w:val="28"/>
    </w:rPr>
  </w:style>
  <w:style w:type="paragraph" w:styleId="2">
    <w:name w:val="heading 2"/>
    <w:basedOn w:val="a"/>
    <w:next w:val="a"/>
    <w:link w:val="20"/>
    <w:uiPriority w:val="9"/>
    <w:qFormat/>
    <w:rsid w:val="00FC49F5"/>
    <w:pPr>
      <w:keepNext/>
      <w:spacing w:before="240" w:after="60"/>
      <w:outlineLvl w:val="1"/>
    </w:pPr>
    <w:rPr>
      <w:rFonts w:ascii="Arial" w:eastAsia="Times New Roman" w:hAnsi="Arial"/>
      <w:b/>
      <w:bCs/>
      <w:i/>
      <w:sz w:val="28"/>
      <w:szCs w:val="26"/>
    </w:rPr>
  </w:style>
  <w:style w:type="paragraph" w:styleId="3">
    <w:name w:val="heading 3"/>
    <w:basedOn w:val="a"/>
    <w:next w:val="a"/>
    <w:link w:val="30"/>
    <w:uiPriority w:val="9"/>
    <w:qFormat/>
    <w:rsid w:val="00FC49F5"/>
    <w:pPr>
      <w:keepNext/>
      <w:spacing w:before="240" w:after="60"/>
      <w:outlineLvl w:val="2"/>
    </w:pPr>
    <w:rPr>
      <w:rFonts w:ascii="Arial" w:eastAsia="Times New Roman" w:hAnsi="Arial"/>
      <w:b/>
      <w:bCs/>
      <w:sz w:val="26"/>
    </w:rPr>
  </w:style>
  <w:style w:type="paragraph" w:styleId="4">
    <w:name w:val="heading 4"/>
    <w:basedOn w:val="a"/>
    <w:next w:val="a"/>
    <w:link w:val="40"/>
    <w:uiPriority w:val="9"/>
    <w:semiHidden/>
    <w:unhideWhenUsed/>
    <w:qFormat/>
    <w:rsid w:val="00FC49F5"/>
    <w:pPr>
      <w:spacing w:before="200"/>
      <w:outlineLvl w:val="3"/>
    </w:pPr>
    <w:rPr>
      <w:rFonts w:ascii="Cambria" w:eastAsia="Times New Roman" w:hAnsi="Cambria"/>
      <w:b/>
      <w:bCs/>
      <w:i/>
      <w:iCs/>
    </w:rPr>
  </w:style>
  <w:style w:type="paragraph" w:styleId="5">
    <w:name w:val="heading 5"/>
    <w:basedOn w:val="a"/>
    <w:next w:val="a"/>
    <w:link w:val="50"/>
    <w:uiPriority w:val="9"/>
    <w:semiHidden/>
    <w:unhideWhenUsed/>
    <w:qFormat/>
    <w:rsid w:val="00FC49F5"/>
    <w:pPr>
      <w:spacing w:before="20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FC49F5"/>
    <w:pPr>
      <w:spacing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FC49F5"/>
    <w:pPr>
      <w:numPr>
        <w:ilvl w:val="6"/>
        <w:numId w:val="5"/>
      </w:numPr>
      <w:outlineLvl w:val="6"/>
    </w:pPr>
    <w:rPr>
      <w:rFonts w:ascii="Cambria" w:eastAsia="Times New Roman" w:hAnsi="Cambria"/>
      <w:i/>
      <w:iCs/>
    </w:rPr>
  </w:style>
  <w:style w:type="paragraph" w:styleId="8">
    <w:name w:val="heading 8"/>
    <w:basedOn w:val="a"/>
    <w:next w:val="a"/>
    <w:link w:val="80"/>
    <w:uiPriority w:val="9"/>
    <w:semiHidden/>
    <w:unhideWhenUsed/>
    <w:qFormat/>
    <w:rsid w:val="00FC49F5"/>
    <w:pPr>
      <w:numPr>
        <w:ilvl w:val="7"/>
        <w:numId w:val="5"/>
      </w:numPr>
      <w:outlineLvl w:val="7"/>
    </w:pPr>
    <w:rPr>
      <w:rFonts w:ascii="Cambria" w:eastAsia="Times New Roman" w:hAnsi="Cambria"/>
    </w:rPr>
  </w:style>
  <w:style w:type="paragraph" w:styleId="9">
    <w:name w:val="heading 9"/>
    <w:basedOn w:val="a"/>
    <w:next w:val="a"/>
    <w:link w:val="90"/>
    <w:uiPriority w:val="9"/>
    <w:semiHidden/>
    <w:unhideWhenUsed/>
    <w:qFormat/>
    <w:rsid w:val="00FC49F5"/>
    <w:pPr>
      <w:numPr>
        <w:ilvl w:val="8"/>
        <w:numId w:val="5"/>
      </w:numPr>
      <w:outlineLvl w:val="8"/>
    </w:pPr>
    <w:rPr>
      <w:rFonts w:ascii="Cambria" w:eastAsia="Times New Roman" w:hAnsi="Cambria"/>
      <w:i/>
      <w:i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P">
    <w:name w:val="_ 7_ P"/>
    <w:basedOn w:val="a"/>
    <w:next w:val="a"/>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a"/>
    <w:next w:val="SingleTxt"/>
    <w:rsid w:val="003F3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3F3240"/>
    <w:pPr>
      <w:spacing w:line="300" w:lineRule="exact"/>
      <w:ind w:left="0" w:right="0" w:firstLine="0"/>
    </w:pPr>
    <w:rPr>
      <w:spacing w:val="-2"/>
      <w:sz w:val="28"/>
    </w:rPr>
  </w:style>
  <w:style w:type="paragraph" w:customStyle="1" w:styleId="HM">
    <w:name w:val="_ H __M"/>
    <w:basedOn w:val="HCh"/>
    <w:next w:val="a"/>
    <w:rsid w:val="003F3240"/>
    <w:pPr>
      <w:spacing w:line="360" w:lineRule="exact"/>
    </w:pPr>
    <w:rPr>
      <w:spacing w:val="-3"/>
      <w:w w:val="99"/>
      <w:sz w:val="34"/>
    </w:rPr>
  </w:style>
  <w:style w:type="paragraph" w:customStyle="1" w:styleId="H23">
    <w:name w:val="_ H_2/3"/>
    <w:basedOn w:val="H1"/>
    <w:next w:val="SingleTxt"/>
    <w:rsid w:val="003F3240"/>
    <w:pPr>
      <w:spacing w:line="240" w:lineRule="exact"/>
      <w:outlineLvl w:val="1"/>
    </w:pPr>
    <w:rPr>
      <w:spacing w:val="2"/>
      <w:sz w:val="20"/>
    </w:rPr>
  </w:style>
  <w:style w:type="paragraph" w:customStyle="1" w:styleId="H4">
    <w:name w:val="_ H_4"/>
    <w:basedOn w:val="a"/>
    <w:next w:val="a"/>
    <w:rsid w:val="003F3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a"/>
    <w:next w:val="a"/>
    <w:rsid w:val="003F3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a"/>
    <w:rsid w:val="003F32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a"/>
    <w:next w:val="a"/>
    <w:rsid w:val="003F32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a"/>
    <w:rsid w:val="003F3240"/>
    <w:pPr>
      <w:spacing w:line="540" w:lineRule="exact"/>
    </w:pPr>
    <w:rPr>
      <w:spacing w:val="-8"/>
      <w:w w:val="96"/>
      <w:sz w:val="57"/>
    </w:rPr>
  </w:style>
  <w:style w:type="paragraph" w:customStyle="1" w:styleId="SS">
    <w:name w:val="__S_S"/>
    <w:basedOn w:val="HCh"/>
    <w:next w:val="a"/>
    <w:rsid w:val="003F3240"/>
    <w:pPr>
      <w:ind w:left="1267" w:right="1267"/>
    </w:pPr>
  </w:style>
  <w:style w:type="paragraph" w:customStyle="1" w:styleId="SingleTxt">
    <w:name w:val="__Single Txt"/>
    <w:basedOn w:val="a"/>
    <w:rsid w:val="003F32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a"/>
    <w:qFormat/>
    <w:rsid w:val="003F32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3F3240"/>
    <w:pPr>
      <w:keepNext w:val="0"/>
      <w:keepLines w:val="0"/>
    </w:pPr>
  </w:style>
  <w:style w:type="paragraph" w:customStyle="1" w:styleId="AgendaTitleH2">
    <w:name w:val="Agenda_Title_H2"/>
    <w:basedOn w:val="TitleH1"/>
    <w:next w:val="a"/>
    <w:qFormat/>
    <w:rsid w:val="003F3240"/>
    <w:pPr>
      <w:keepNext/>
      <w:keepLines/>
      <w:spacing w:line="240" w:lineRule="exact"/>
      <w:ind w:left="0" w:firstLine="0"/>
      <w:outlineLvl w:val="1"/>
    </w:pPr>
    <w:rPr>
      <w:sz w:val="20"/>
    </w:rPr>
  </w:style>
  <w:style w:type="paragraph" w:styleId="a3">
    <w:name w:val="Balloon Text"/>
    <w:basedOn w:val="a"/>
    <w:link w:val="a4"/>
    <w:semiHidden/>
    <w:rsid w:val="003F3240"/>
    <w:rPr>
      <w:rFonts w:ascii="Tahoma" w:hAnsi="Tahoma" w:cs="Tahoma"/>
      <w:sz w:val="16"/>
      <w:szCs w:val="16"/>
    </w:rPr>
  </w:style>
  <w:style w:type="character" w:customStyle="1" w:styleId="a4">
    <w:name w:val="吹き出し (文字)"/>
    <w:basedOn w:val="a0"/>
    <w:link w:val="a3"/>
    <w:semiHidden/>
    <w:rsid w:val="003F3240"/>
    <w:rPr>
      <w:rFonts w:ascii="Tahoma" w:eastAsiaTheme="minorHAnsi" w:hAnsi="Tahoma" w:cs="Tahoma"/>
      <w:spacing w:val="4"/>
      <w:w w:val="103"/>
      <w:kern w:val="14"/>
      <w:sz w:val="16"/>
      <w:szCs w:val="16"/>
      <w:lang w:eastAsia="en-US"/>
    </w:rPr>
  </w:style>
  <w:style w:type="paragraph" w:customStyle="1" w:styleId="Bullet1">
    <w:name w:val="Bullet 1"/>
    <w:basedOn w:val="a"/>
    <w:qFormat/>
    <w:rsid w:val="003F3240"/>
    <w:pPr>
      <w:numPr>
        <w:numId w:val="3"/>
      </w:numPr>
      <w:spacing w:after="120"/>
      <w:ind w:right="1267"/>
      <w:jc w:val="both"/>
    </w:pPr>
  </w:style>
  <w:style w:type="paragraph" w:customStyle="1" w:styleId="Bullet2">
    <w:name w:val="Bullet 2"/>
    <w:basedOn w:val="a"/>
    <w:qFormat/>
    <w:rsid w:val="00FC49F5"/>
    <w:pPr>
      <w:numPr>
        <w:numId w:val="1"/>
      </w:numPr>
      <w:spacing w:after="120"/>
      <w:ind w:right="1264"/>
      <w:jc w:val="both"/>
    </w:pPr>
  </w:style>
  <w:style w:type="paragraph" w:customStyle="1" w:styleId="Bullet3">
    <w:name w:val="Bullet 3"/>
    <w:basedOn w:val="SingleTxt"/>
    <w:qFormat/>
    <w:rsid w:val="003F3240"/>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a5">
    <w:name w:val="caption"/>
    <w:basedOn w:val="a"/>
    <w:next w:val="a"/>
    <w:uiPriority w:val="35"/>
    <w:semiHidden/>
    <w:unhideWhenUsed/>
    <w:rsid w:val="00FC49F5"/>
    <w:pPr>
      <w:spacing w:line="240" w:lineRule="auto"/>
    </w:pPr>
    <w:rPr>
      <w:b/>
      <w:bCs/>
      <w:color w:val="4F81BD"/>
      <w:sz w:val="18"/>
      <w:szCs w:val="18"/>
    </w:rPr>
  </w:style>
  <w:style w:type="character" w:styleId="a6">
    <w:name w:val="annotation reference"/>
    <w:semiHidden/>
    <w:rsid w:val="003F3240"/>
    <w:rPr>
      <w:sz w:val="6"/>
    </w:rPr>
  </w:style>
  <w:style w:type="paragraph" w:customStyle="1" w:styleId="Distribution">
    <w:name w:val="Distribution"/>
    <w:next w:val="a"/>
    <w:rsid w:val="003F324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a7">
    <w:name w:val="endnote reference"/>
    <w:semiHidden/>
    <w:rsid w:val="003F3240"/>
    <w:rPr>
      <w:color w:val="auto"/>
      <w:spacing w:val="5"/>
      <w:w w:val="103"/>
      <w:kern w:val="14"/>
      <w:position w:val="0"/>
      <w:vertAlign w:val="superscript"/>
      <w14:ligatures w14:val="none"/>
      <w14:numForm w14:val="default"/>
      <w14:numSpacing w14:val="default"/>
      <w14:stylisticSets/>
      <w14:cntxtAlts w14:val="0"/>
    </w:rPr>
  </w:style>
  <w:style w:type="paragraph" w:styleId="a8">
    <w:name w:val="footnote text"/>
    <w:aliases w:val="fn,Footnote Text Char1,Footnote Text Char Char,Footnote Text Char1 Char Char,Footnote Text Char Char1 Char Char,Footnote Text Char1 Char Char Char Char,Footnote Text Char Char1 Char Char Char Char,Footnote Text Char2 Cha,ft,C,footnote tex"/>
    <w:basedOn w:val="a"/>
    <w:link w:val="a9"/>
    <w:rsid w:val="003F3240"/>
    <w:pPr>
      <w:widowControl w:val="0"/>
      <w:tabs>
        <w:tab w:val="right" w:pos="418"/>
      </w:tabs>
      <w:spacing w:line="210" w:lineRule="exact"/>
      <w:ind w:left="475" w:hanging="475"/>
    </w:pPr>
    <w:rPr>
      <w:spacing w:val="5"/>
      <w:sz w:val="17"/>
    </w:rPr>
  </w:style>
  <w:style w:type="character" w:customStyle="1" w:styleId="a9">
    <w:name w:val="脚注文字列 (文字)"/>
    <w:aliases w:val="fn (文字),Footnote Text Char1 (文字),Footnote Text Char Char (文字),Footnote Text Char1 Char Char (文字),Footnote Text Char Char1 Char Char (文字),Footnote Text Char1 Char Char Char Char (文字),Footnote Text Char Char1 Char Char Char Char (文字),ft (文字)"/>
    <w:basedOn w:val="a0"/>
    <w:link w:val="a8"/>
    <w:rsid w:val="003F3240"/>
    <w:rPr>
      <w:rFonts w:ascii="Times New Roman" w:eastAsiaTheme="minorHAnsi" w:hAnsi="Times New Roman" w:cs="Times New Roman"/>
      <w:spacing w:val="5"/>
      <w:w w:val="103"/>
      <w:kern w:val="14"/>
      <w:sz w:val="17"/>
      <w:szCs w:val="20"/>
      <w:lang w:eastAsia="en-US"/>
    </w:rPr>
  </w:style>
  <w:style w:type="paragraph" w:styleId="aa">
    <w:name w:val="endnote text"/>
    <w:basedOn w:val="a8"/>
    <w:link w:val="ab"/>
    <w:semiHidden/>
    <w:rsid w:val="003F3240"/>
  </w:style>
  <w:style w:type="character" w:customStyle="1" w:styleId="ab">
    <w:name w:val="文末脚注文字列 (文字)"/>
    <w:basedOn w:val="a0"/>
    <w:link w:val="aa"/>
    <w:semiHidden/>
    <w:rsid w:val="003F3240"/>
    <w:rPr>
      <w:rFonts w:ascii="Times New Roman" w:eastAsiaTheme="minorHAnsi" w:hAnsi="Times New Roman" w:cs="Times New Roman"/>
      <w:spacing w:val="5"/>
      <w:w w:val="103"/>
      <w:kern w:val="14"/>
      <w:sz w:val="17"/>
      <w:szCs w:val="20"/>
      <w:lang w:eastAsia="en-US"/>
    </w:rPr>
  </w:style>
  <w:style w:type="paragraph" w:styleId="ac">
    <w:name w:val="footer"/>
    <w:link w:val="ad"/>
    <w:rsid w:val="003F324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ad">
    <w:name w:val="フッター (文字)"/>
    <w:basedOn w:val="a0"/>
    <w:link w:val="ac"/>
    <w:rsid w:val="003F3240"/>
    <w:rPr>
      <w:rFonts w:ascii="Times New Roman" w:eastAsiaTheme="minorHAnsi" w:hAnsi="Times New Roman" w:cs="Times New Roman"/>
      <w:b/>
      <w:noProof/>
      <w:sz w:val="17"/>
      <w:szCs w:val="20"/>
      <w:lang w:val="en-US" w:eastAsia="en-US"/>
    </w:rPr>
  </w:style>
  <w:style w:type="character" w:styleId="ae">
    <w:name w:val="footnote reference"/>
    <w:aliases w:val="Ref,de nota al pie,de nota al pie + (Asian) SimSun,6 pt,Green,Style 8"/>
    <w:rsid w:val="003F324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a"/>
    <w:next w:val="a"/>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a"/>
    <w:next w:val="a"/>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a"/>
    <w:qFormat/>
    <w:rsid w:val="00FC49F5"/>
    <w:pPr>
      <w:spacing w:before="240"/>
    </w:pPr>
    <w:rPr>
      <w:b/>
      <w:spacing w:val="-2"/>
      <w:w w:val="100"/>
    </w:rPr>
  </w:style>
  <w:style w:type="paragraph" w:customStyle="1" w:styleId="HdChapterBdLg">
    <w:name w:val="Hd Chapter Bd Lg"/>
    <w:basedOn w:val="HdChapterBD"/>
    <w:next w:val="a"/>
    <w:qFormat/>
    <w:rsid w:val="00FC49F5"/>
    <w:rPr>
      <w:spacing w:val="-3"/>
      <w:w w:val="99"/>
      <w:kern w:val="14"/>
      <w:sz w:val="34"/>
      <w:szCs w:val="34"/>
    </w:rPr>
  </w:style>
  <w:style w:type="paragraph" w:styleId="af">
    <w:name w:val="header"/>
    <w:link w:val="af0"/>
    <w:rsid w:val="003F324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af0">
    <w:name w:val="ヘッダー (文字)"/>
    <w:basedOn w:val="a0"/>
    <w:link w:val="af"/>
    <w:rsid w:val="003F3240"/>
    <w:rPr>
      <w:rFonts w:ascii="Times New Roman" w:eastAsiaTheme="minorHAnsi" w:hAnsi="Times New Roman" w:cs="Times New Roman"/>
      <w:noProof/>
      <w:sz w:val="17"/>
      <w:szCs w:val="20"/>
      <w:lang w:val="en-US" w:eastAsia="en-US"/>
    </w:rPr>
  </w:style>
  <w:style w:type="character" w:customStyle="1" w:styleId="10">
    <w:name w:val="見出し 1 (文字)"/>
    <w:link w:val="1"/>
    <w:uiPriority w:val="9"/>
    <w:rsid w:val="00FC49F5"/>
    <w:rPr>
      <w:rFonts w:ascii="Arial" w:eastAsia="Times New Roman" w:hAnsi="Arial" w:cs="Times New Roman"/>
      <w:b/>
      <w:bCs/>
      <w:spacing w:val="4"/>
      <w:w w:val="103"/>
      <w:kern w:val="32"/>
      <w:sz w:val="32"/>
      <w:szCs w:val="28"/>
      <w:lang w:val="es-ES" w:eastAsia="en-US"/>
    </w:rPr>
  </w:style>
  <w:style w:type="character" w:customStyle="1" w:styleId="20">
    <w:name w:val="見出し 2 (文字)"/>
    <w:link w:val="2"/>
    <w:uiPriority w:val="9"/>
    <w:rsid w:val="00FC49F5"/>
    <w:rPr>
      <w:rFonts w:ascii="Arial" w:eastAsia="Times New Roman" w:hAnsi="Arial" w:cs="Times New Roman"/>
      <w:b/>
      <w:bCs/>
      <w:i/>
      <w:spacing w:val="4"/>
      <w:w w:val="103"/>
      <w:kern w:val="14"/>
      <w:sz w:val="28"/>
      <w:szCs w:val="26"/>
      <w:lang w:val="es-ES" w:eastAsia="en-US"/>
    </w:rPr>
  </w:style>
  <w:style w:type="character" w:customStyle="1" w:styleId="30">
    <w:name w:val="見出し 3 (文字)"/>
    <w:link w:val="3"/>
    <w:uiPriority w:val="9"/>
    <w:rsid w:val="00FC49F5"/>
    <w:rPr>
      <w:rFonts w:ascii="Arial" w:eastAsia="Times New Roman" w:hAnsi="Arial" w:cs="Times New Roman"/>
      <w:b/>
      <w:bCs/>
      <w:spacing w:val="4"/>
      <w:w w:val="103"/>
      <w:kern w:val="14"/>
      <w:sz w:val="26"/>
      <w:lang w:val="es-ES" w:eastAsia="en-US"/>
    </w:rPr>
  </w:style>
  <w:style w:type="character" w:customStyle="1" w:styleId="40">
    <w:name w:val="見出し 4 (文字)"/>
    <w:link w:val="4"/>
    <w:uiPriority w:val="9"/>
    <w:semiHidden/>
    <w:rsid w:val="00FC49F5"/>
    <w:rPr>
      <w:rFonts w:ascii="Cambria" w:eastAsia="Times New Roman" w:hAnsi="Cambria" w:cs="Times New Roman"/>
      <w:b/>
      <w:bCs/>
      <w:i/>
      <w:iCs/>
      <w:spacing w:val="4"/>
      <w:w w:val="103"/>
      <w:sz w:val="20"/>
      <w:lang w:val="es-ES" w:eastAsia="en-US"/>
    </w:rPr>
  </w:style>
  <w:style w:type="character" w:customStyle="1" w:styleId="50">
    <w:name w:val="見出し 5 (文字)"/>
    <w:link w:val="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60">
    <w:name w:val="見出し 6 (文字)"/>
    <w:link w:val="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70">
    <w:name w:val="見出し 7 (文字)"/>
    <w:link w:val="7"/>
    <w:uiPriority w:val="9"/>
    <w:semiHidden/>
    <w:rsid w:val="00FC49F5"/>
    <w:rPr>
      <w:rFonts w:ascii="Cambria" w:eastAsia="Times New Roman" w:hAnsi="Cambria" w:cs="Times New Roman"/>
      <w:i/>
      <w:iCs/>
      <w:spacing w:val="4"/>
      <w:w w:val="103"/>
      <w:kern w:val="14"/>
      <w:sz w:val="20"/>
      <w:szCs w:val="20"/>
      <w:lang w:eastAsia="en-US"/>
    </w:rPr>
  </w:style>
  <w:style w:type="character" w:customStyle="1" w:styleId="80">
    <w:name w:val="見出し 8 (文字)"/>
    <w:link w:val="8"/>
    <w:uiPriority w:val="9"/>
    <w:semiHidden/>
    <w:rsid w:val="00FC49F5"/>
    <w:rPr>
      <w:rFonts w:ascii="Cambria" w:eastAsia="Times New Roman" w:hAnsi="Cambria" w:cs="Times New Roman"/>
      <w:spacing w:val="4"/>
      <w:w w:val="103"/>
      <w:kern w:val="14"/>
      <w:sz w:val="20"/>
      <w:szCs w:val="20"/>
      <w:lang w:eastAsia="en-US"/>
    </w:rPr>
  </w:style>
  <w:style w:type="character" w:customStyle="1" w:styleId="90">
    <w:name w:val="見出し 9 (文字)"/>
    <w:link w:val="9"/>
    <w:uiPriority w:val="9"/>
    <w:semiHidden/>
    <w:rsid w:val="00FC49F5"/>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a"/>
    <w:next w:val="a"/>
    <w:qFormat/>
    <w:rsid w:val="00FC49F5"/>
    <w:pPr>
      <w:keepNext/>
      <w:spacing w:before="190" w:line="270" w:lineRule="exact"/>
    </w:pPr>
    <w:rPr>
      <w:b/>
      <w:sz w:val="24"/>
    </w:rPr>
  </w:style>
  <w:style w:type="paragraph" w:customStyle="1" w:styleId="JournalHeading2">
    <w:name w:val="Journal_Heading2"/>
    <w:basedOn w:val="a"/>
    <w:next w:val="a"/>
    <w:qFormat/>
    <w:rsid w:val="00FC49F5"/>
    <w:pPr>
      <w:keepNext/>
      <w:keepLines/>
      <w:spacing w:before="240"/>
      <w:outlineLvl w:val="1"/>
    </w:pPr>
    <w:rPr>
      <w:b/>
      <w:spacing w:val="2"/>
    </w:rPr>
  </w:style>
  <w:style w:type="paragraph" w:customStyle="1" w:styleId="JournalHeading4">
    <w:name w:val="Journal_Heading4"/>
    <w:basedOn w:val="a"/>
    <w:next w:val="a"/>
    <w:qFormat/>
    <w:rsid w:val="00FC49F5"/>
    <w:pPr>
      <w:keepNext/>
      <w:keepLines/>
      <w:spacing w:before="240"/>
      <w:outlineLvl w:val="3"/>
    </w:pPr>
    <w:rPr>
      <w:i/>
    </w:rPr>
  </w:style>
  <w:style w:type="character" w:styleId="af1">
    <w:name w:val="line number"/>
    <w:rsid w:val="003F3240"/>
    <w:rPr>
      <w:sz w:val="14"/>
    </w:rPr>
  </w:style>
  <w:style w:type="paragraph" w:styleId="af2">
    <w:name w:val="No Spacing"/>
    <w:basedOn w:val="a"/>
    <w:uiPriority w:val="1"/>
    <w:rsid w:val="00FC49F5"/>
    <w:pPr>
      <w:spacing w:line="240" w:lineRule="auto"/>
    </w:pPr>
  </w:style>
  <w:style w:type="paragraph" w:customStyle="1" w:styleId="NormalBullet">
    <w:name w:val="Normal Bullet"/>
    <w:basedOn w:val="a"/>
    <w:next w:val="a"/>
    <w:qFormat/>
    <w:rsid w:val="00FC49F5"/>
    <w:pPr>
      <w:keepLines/>
      <w:numPr>
        <w:numId w:val="2"/>
      </w:numPr>
      <w:tabs>
        <w:tab w:val="left" w:pos="2218"/>
      </w:tabs>
      <w:spacing w:before="40" w:after="80"/>
      <w:ind w:right="302"/>
    </w:pPr>
  </w:style>
  <w:style w:type="paragraph" w:customStyle="1" w:styleId="NormalSchedule">
    <w:name w:val="Normal Schedule"/>
    <w:basedOn w:val="a"/>
    <w:next w:val="a"/>
    <w:qFormat/>
    <w:rsid w:val="00FC49F5"/>
    <w:pPr>
      <w:tabs>
        <w:tab w:val="left" w:leader="dot" w:pos="2218"/>
        <w:tab w:val="left" w:pos="2707"/>
        <w:tab w:val="right" w:leader="dot" w:pos="9835"/>
      </w:tabs>
    </w:pPr>
  </w:style>
  <w:style w:type="paragraph" w:customStyle="1" w:styleId="Original">
    <w:name w:val="Original"/>
    <w:next w:val="a"/>
    <w:rsid w:val="003F32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a"/>
    <w:rsid w:val="003F32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ac"/>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a"/>
    <w:next w:val="a"/>
    <w:rsid w:val="003F3240"/>
    <w:pPr>
      <w:tabs>
        <w:tab w:val="right" w:pos="9965"/>
      </w:tabs>
      <w:spacing w:line="210" w:lineRule="exact"/>
    </w:pPr>
    <w:rPr>
      <w:spacing w:val="5"/>
      <w:w w:val="104"/>
      <w:sz w:val="17"/>
    </w:rPr>
  </w:style>
  <w:style w:type="paragraph" w:customStyle="1" w:styleId="SmallX">
    <w:name w:val="SmallX"/>
    <w:basedOn w:val="Small"/>
    <w:next w:val="a"/>
    <w:rsid w:val="003F3240"/>
    <w:pPr>
      <w:spacing w:line="180" w:lineRule="exact"/>
      <w:jc w:val="right"/>
    </w:pPr>
    <w:rPr>
      <w:spacing w:val="6"/>
      <w:w w:val="106"/>
      <w:sz w:val="14"/>
    </w:rPr>
  </w:style>
  <w:style w:type="paragraph" w:customStyle="1" w:styleId="TitleHCH">
    <w:name w:val="Title_H_CH"/>
    <w:basedOn w:val="a"/>
    <w:next w:val="SingleTxt"/>
    <w:qFormat/>
    <w:rsid w:val="003F3240"/>
  </w:style>
  <w:style w:type="paragraph" w:customStyle="1" w:styleId="TitleH2">
    <w:name w:val="Title_H2"/>
    <w:basedOn w:val="H23"/>
    <w:qFormat/>
    <w:rsid w:val="003F3240"/>
  </w:style>
  <w:style w:type="paragraph" w:styleId="af3">
    <w:name w:val="TOC Heading"/>
    <w:basedOn w:val="1"/>
    <w:next w:val="a"/>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3F3240"/>
    <w:pPr>
      <w:spacing w:line="390" w:lineRule="exact"/>
    </w:pPr>
    <w:rPr>
      <w:spacing w:val="-4"/>
      <w:w w:val="98"/>
      <w:sz w:val="40"/>
    </w:rPr>
  </w:style>
  <w:style w:type="character" w:styleId="af4">
    <w:name w:val="Hyperlink"/>
    <w:basedOn w:val="a0"/>
    <w:rsid w:val="003F3240"/>
    <w:rPr>
      <w:color w:val="0000FF" w:themeColor="hyperlink"/>
      <w:u w:val="none"/>
    </w:rPr>
  </w:style>
  <w:style w:type="paragraph" w:styleId="af5">
    <w:name w:val="Plain Text"/>
    <w:basedOn w:val="a"/>
    <w:link w:val="af6"/>
    <w:rsid w:val="003F3240"/>
    <w:pPr>
      <w:suppressAutoHyphens w:val="0"/>
      <w:spacing w:line="240" w:lineRule="auto"/>
    </w:pPr>
    <w:rPr>
      <w:rFonts w:ascii="Courier New" w:eastAsia="Times New Roman" w:hAnsi="Courier New"/>
      <w:spacing w:val="0"/>
      <w:w w:val="100"/>
      <w:kern w:val="0"/>
      <w:lang w:val="en-US" w:eastAsia="en-GB"/>
    </w:rPr>
  </w:style>
  <w:style w:type="character" w:customStyle="1" w:styleId="af6">
    <w:name w:val="書式なし (文字)"/>
    <w:basedOn w:val="a0"/>
    <w:link w:val="af5"/>
    <w:rsid w:val="003F3240"/>
    <w:rPr>
      <w:rFonts w:ascii="Courier New" w:eastAsia="Times New Roman" w:hAnsi="Courier New" w:cs="Times New Roman"/>
      <w:sz w:val="20"/>
      <w:szCs w:val="20"/>
      <w:lang w:val="en-US" w:eastAsia="en-GB"/>
    </w:rPr>
  </w:style>
  <w:style w:type="paragraph" w:customStyle="1" w:styleId="ReleaseDate0">
    <w:name w:val="Release Date"/>
    <w:next w:val="ac"/>
    <w:rsid w:val="003F324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F3240"/>
    <w:pPr>
      <w:ind w:left="0" w:firstLine="0"/>
    </w:pPr>
    <w:rPr>
      <w:spacing w:val="4"/>
    </w:rPr>
  </w:style>
  <w:style w:type="table" w:styleId="af7">
    <w:name w:val="Table Grid"/>
    <w:basedOn w:val="a1"/>
    <w:rsid w:val="003F324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a"/>
    <w:next w:val="a"/>
    <w:qFormat/>
    <w:rsid w:val="00B27E2C"/>
    <w:pPr>
      <w:outlineLvl w:val="1"/>
    </w:pPr>
    <w:rPr>
      <w:b/>
    </w:rPr>
  </w:style>
  <w:style w:type="paragraph" w:customStyle="1" w:styleId="STitleM">
    <w:name w:val="S_Title_M"/>
    <w:basedOn w:val="a"/>
    <w:next w:val="a"/>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a"/>
    <w:qFormat/>
    <w:rsid w:val="00200F9C"/>
    <w:pPr>
      <w:ind w:left="1264" w:right="1264"/>
    </w:pPr>
  </w:style>
  <w:style w:type="paragraph" w:customStyle="1" w:styleId="STitleL">
    <w:name w:val="S_Title_L"/>
    <w:basedOn w:val="SM"/>
    <w:next w:val="a"/>
    <w:qFormat/>
    <w:rsid w:val="006137E4"/>
    <w:pPr>
      <w:spacing w:line="540" w:lineRule="exact"/>
    </w:pPr>
    <w:rPr>
      <w:rFonts w:eastAsiaTheme="minorEastAsia"/>
      <w:spacing w:val="-8"/>
      <w:w w:val="96"/>
      <w:sz w:val="57"/>
      <w:lang w:eastAsia="zh-CN"/>
    </w:rPr>
  </w:style>
  <w:style w:type="paragraph" w:styleId="af8">
    <w:name w:val="annotation text"/>
    <w:basedOn w:val="a"/>
    <w:link w:val="af9"/>
    <w:uiPriority w:val="99"/>
    <w:semiHidden/>
    <w:unhideWhenUsed/>
    <w:rsid w:val="00510E26"/>
    <w:pPr>
      <w:spacing w:line="240" w:lineRule="auto"/>
    </w:pPr>
  </w:style>
  <w:style w:type="character" w:customStyle="1" w:styleId="af9">
    <w:name w:val="コメント文字列 (文字)"/>
    <w:basedOn w:val="a0"/>
    <w:link w:val="af8"/>
    <w:uiPriority w:val="99"/>
    <w:semiHidden/>
    <w:rsid w:val="00510E26"/>
    <w:rPr>
      <w:rFonts w:ascii="Times New Roman" w:eastAsiaTheme="minorHAnsi" w:hAnsi="Times New Roman" w:cs="Times New Roman"/>
      <w:spacing w:val="4"/>
      <w:w w:val="103"/>
      <w:kern w:val="14"/>
      <w:sz w:val="20"/>
      <w:szCs w:val="20"/>
      <w:lang w:eastAsia="en-US"/>
    </w:rPr>
  </w:style>
  <w:style w:type="paragraph" w:styleId="afa">
    <w:name w:val="annotation subject"/>
    <w:basedOn w:val="af8"/>
    <w:next w:val="af8"/>
    <w:link w:val="afb"/>
    <w:uiPriority w:val="99"/>
    <w:semiHidden/>
    <w:unhideWhenUsed/>
    <w:rsid w:val="00510E26"/>
    <w:rPr>
      <w:b/>
      <w:bCs/>
    </w:rPr>
  </w:style>
  <w:style w:type="character" w:customStyle="1" w:styleId="afb">
    <w:name w:val="コメント内容 (文字)"/>
    <w:basedOn w:val="af9"/>
    <w:link w:val="afa"/>
    <w:uiPriority w:val="99"/>
    <w:semiHidden/>
    <w:rsid w:val="00510E26"/>
    <w:rPr>
      <w:rFonts w:ascii="Times New Roman" w:eastAsiaTheme="minorHAnsi" w:hAnsi="Times New Roman" w:cs="Times New Roman"/>
      <w:b/>
      <w:bCs/>
      <w:spacing w:val="4"/>
      <w:w w:val="103"/>
      <w:kern w:val="14"/>
      <w:sz w:val="20"/>
      <w:szCs w:val="20"/>
      <w:lang w:eastAsia="en-US"/>
    </w:rPr>
  </w:style>
  <w:style w:type="paragraph" w:styleId="afc">
    <w:name w:val="List Paragraph"/>
    <w:basedOn w:val="a"/>
    <w:uiPriority w:val="34"/>
    <w:qFormat/>
    <w:rsid w:val="00CE397A"/>
    <w:pPr>
      <w:ind w:left="720"/>
      <w:contextualSpacing/>
    </w:pPr>
  </w:style>
  <w:style w:type="table" w:customStyle="1" w:styleId="TableGrid4">
    <w:name w:val="Table Grid4"/>
    <w:basedOn w:val="a1"/>
    <w:next w:val="af7"/>
    <w:uiPriority w:val="39"/>
    <w:rsid w:val="00564036"/>
    <w:pPr>
      <w:spacing w:after="0" w:line="240" w:lineRule="auto"/>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874A9"/>
    <w:rPr>
      <w:color w:val="605E5C"/>
      <w:shd w:val="clear" w:color="auto" w:fill="E1DFDD"/>
    </w:rPr>
  </w:style>
  <w:style w:type="character" w:styleId="afd">
    <w:name w:val="FollowedHyperlink"/>
    <w:basedOn w:val="a0"/>
    <w:uiPriority w:val="99"/>
    <w:semiHidden/>
    <w:unhideWhenUsed/>
    <w:rsid w:val="00F73AE1"/>
    <w:rPr>
      <w:color w:val="0000FF"/>
      <w:u w:val="none"/>
    </w:rPr>
  </w:style>
  <w:style w:type="paragraph" w:styleId="afe">
    <w:name w:val="Revision"/>
    <w:hidden/>
    <w:uiPriority w:val="99"/>
    <w:semiHidden/>
    <w:rsid w:val="00417A2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A/CN.9/WG.IV/WP.16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yperlink" Target="mailto:uncitral@un.org" TargetMode="External"/><Relationship Id="rId4" Type="http://schemas.openxmlformats.org/officeDocument/2006/relationships/settings" Target="settings.xml"/><Relationship Id="rId9" Type="http://schemas.openxmlformats.org/officeDocument/2006/relationships/hyperlink" Target="https://uncitral.un.org/en/working_groups/4/electronic_commer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754B-8E83-4A99-8A20-5100CB45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10754</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UNCITRAL</cp:keywords>
  <dc:description/>
  <cp:lastModifiedBy>EiKO</cp:lastModifiedBy>
  <cp:revision>2</cp:revision>
  <cp:lastPrinted>2020-05-26T11:04:00Z</cp:lastPrinted>
  <dcterms:created xsi:type="dcterms:W3CDTF">2020-05-28T09:29:00Z</dcterms:created>
  <dcterms:modified xsi:type="dcterms:W3CDTF">2020-05-28T09:29:00Z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1903228</vt:lpwstr>
  </property>
  <property fmtid="{D5CDD505-2E9C-101B-9397-08002B2CF9AE}" pid="3" name="ODSRefJobNo">
    <vt:lpwstr>1903228E</vt:lpwstr>
  </property>
  <property fmtid="{D5CDD505-2E9C-101B-9397-08002B2CF9AE}" pid="4" name="Symbol1">
    <vt:lpwstr>A/CN.9/981</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May 2019</vt:lpwstr>
  </property>
  <property fmtid="{D5CDD505-2E9C-101B-9397-08002B2CF9AE}" pid="12" name="Original">
    <vt:lpwstr>English</vt:lpwstr>
  </property>
  <property fmtid="{D5CDD505-2E9C-101B-9397-08002B2CF9AE}" pid="13" name="Release Date">
    <vt:lpwstr>130519</vt:lpwstr>
  </property>
</Properties>
</file>