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1366" w14:textId="77777777" w:rsidR="00252269" w:rsidRPr="00616BD9" w:rsidRDefault="00252269" w:rsidP="0095373C">
      <w:pPr>
        <w:keepNext/>
        <w:keepLines/>
        <w:spacing w:line="240" w:lineRule="auto"/>
        <w:rPr>
          <w:sz w:val="2"/>
        </w:rPr>
        <w:sectPr w:rsidR="00252269" w:rsidRPr="00616BD9" w:rsidSect="00383625">
          <w:headerReference w:type="even" r:id="rId11"/>
          <w:headerReference w:type="default" r:id="rId12"/>
          <w:footerReference w:type="even" r:id="rId13"/>
          <w:footerReference w:type="default" r:id="rId14"/>
          <w:head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252269" w:rsidRPr="00616BD9" w14:paraId="59CD269B" w14:textId="77777777" w:rsidTr="00252269">
        <w:tc>
          <w:tcPr>
            <w:tcW w:w="4893" w:type="dxa"/>
            <w:shd w:val="clear" w:color="auto" w:fill="auto"/>
          </w:tcPr>
          <w:p w14:paraId="1E058B3B" w14:textId="091E7B4B" w:rsidR="00252269" w:rsidRPr="00616BD9" w:rsidRDefault="008517FA" w:rsidP="000D2C79">
            <w:pPr>
              <w:pStyle w:val="H1"/>
              <w:ind w:left="0" w:firstLine="0"/>
              <w:rPr>
                <w:lang w:val="es-ES_tradnl"/>
              </w:rPr>
            </w:pPr>
            <w:r w:rsidRPr="00616BD9">
              <w:rPr>
                <w:lang w:val="es-ES_tradnl"/>
              </w:rPr>
              <w:t>Comisión de las Naciones para el Derecho Mercantil Internacional</w:t>
            </w:r>
          </w:p>
          <w:p w14:paraId="22B82953" w14:textId="0A465B7E" w:rsidR="003E53D8" w:rsidRPr="00616BD9" w:rsidRDefault="00713313"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lang w:val="es-ES_tradnl"/>
              </w:rPr>
            </w:pPr>
            <w:bookmarkStart w:id="0" w:name="_Toc37248987"/>
            <w:bookmarkStart w:id="1" w:name="_Toc39607751"/>
            <w:r w:rsidRPr="00616BD9">
              <w:rPr>
                <w:lang w:val="es-ES_tradnl"/>
              </w:rPr>
              <w:t>Grupo de Trabajo III (reforma del Sistema de Solución de Controversias entre Inversionistas y Estados)</w:t>
            </w:r>
          </w:p>
          <w:p w14:paraId="609F961F" w14:textId="5A7D4CF9" w:rsidR="003E53D8" w:rsidRPr="00616BD9" w:rsidRDefault="0058554F"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lang w:val="es-ES_tradnl"/>
              </w:rPr>
            </w:pPr>
            <w:r w:rsidRPr="00616BD9">
              <w:rPr>
                <w:lang w:val="es-ES_tradnl"/>
              </w:rPr>
              <w:t>40o período de sesiones</w:t>
            </w:r>
            <w:r w:rsidR="003E53D8" w:rsidRPr="00616BD9">
              <w:rPr>
                <w:lang w:val="es-ES_tradnl"/>
              </w:rPr>
              <w:t xml:space="preserve"> (</w:t>
            </w:r>
            <w:r w:rsidR="00274A62" w:rsidRPr="00616BD9">
              <w:rPr>
                <w:lang w:val="es-ES_tradnl"/>
              </w:rPr>
              <w:t>continuación</w:t>
            </w:r>
            <w:r w:rsidR="003E53D8" w:rsidRPr="00616BD9">
              <w:rPr>
                <w:lang w:val="es-ES_tradnl"/>
              </w:rPr>
              <w:t>)</w:t>
            </w:r>
          </w:p>
          <w:p w14:paraId="55BB1646" w14:textId="4F60995D" w:rsidR="00252269" w:rsidRPr="00616BD9"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bCs/>
                <w:lang w:val="es-ES"/>
              </w:rPr>
            </w:pPr>
            <w:bookmarkStart w:id="2" w:name="_Toc37248988"/>
            <w:bookmarkStart w:id="3" w:name="_Toc39607752"/>
            <w:bookmarkEnd w:id="0"/>
            <w:bookmarkEnd w:id="1"/>
            <w:r w:rsidRPr="00616BD9">
              <w:rPr>
                <w:b w:val="0"/>
                <w:bCs/>
                <w:lang w:val="es-ES_tradnl"/>
              </w:rPr>
              <w:t>Vien</w:t>
            </w:r>
            <w:r w:rsidR="0058554F" w:rsidRPr="00616BD9">
              <w:rPr>
                <w:b w:val="0"/>
                <w:bCs/>
                <w:lang w:val="es-ES_tradnl"/>
              </w:rPr>
              <w:t>a</w:t>
            </w:r>
            <w:r w:rsidRPr="00616BD9">
              <w:rPr>
                <w:b w:val="0"/>
                <w:bCs/>
                <w:lang w:val="es-ES_tradnl"/>
              </w:rPr>
              <w:t xml:space="preserve">, </w:t>
            </w:r>
            <w:r w:rsidR="0058554F" w:rsidRPr="00616BD9">
              <w:rPr>
                <w:b w:val="0"/>
                <w:bCs/>
                <w:lang w:val="es-ES_tradnl"/>
              </w:rPr>
              <w:t>en línea</w:t>
            </w:r>
            <w:r w:rsidRPr="00616BD9">
              <w:rPr>
                <w:b w:val="0"/>
                <w:bCs/>
                <w:lang w:val="es-ES_tradnl"/>
              </w:rPr>
              <w:t xml:space="preserve">, [4-5] </w:t>
            </w:r>
            <w:r w:rsidR="0058554F" w:rsidRPr="00616BD9">
              <w:rPr>
                <w:b w:val="0"/>
                <w:bCs/>
                <w:lang w:val="es-ES_tradnl"/>
              </w:rPr>
              <w:t>mayo</w:t>
            </w:r>
            <w:r w:rsidRPr="00616BD9">
              <w:rPr>
                <w:b w:val="0"/>
                <w:bCs/>
                <w:lang w:val="es-ES_tradnl"/>
              </w:rPr>
              <w:t xml:space="preserve"> 2021</w:t>
            </w:r>
            <w:bookmarkEnd w:id="2"/>
            <w:bookmarkEnd w:id="3"/>
            <w:r w:rsidR="00965622" w:rsidRPr="00616BD9">
              <w:rPr>
                <w:b w:val="0"/>
                <w:bCs/>
                <w:lang w:val="es-ES_tradnl"/>
              </w:rPr>
              <w:t>(TBC)</w:t>
            </w:r>
          </w:p>
        </w:tc>
        <w:tc>
          <w:tcPr>
            <w:tcW w:w="288" w:type="dxa"/>
            <w:shd w:val="clear" w:color="auto" w:fill="auto"/>
          </w:tcPr>
          <w:p w14:paraId="05524BFB" w14:textId="77777777" w:rsidR="00252269" w:rsidRPr="00616BD9" w:rsidRDefault="00252269" w:rsidP="0095373C">
            <w:pPr>
              <w:pStyle w:val="H1"/>
              <w:ind w:left="0" w:firstLine="0"/>
              <w:rPr>
                <w:lang w:val="es-ES"/>
              </w:rPr>
            </w:pPr>
          </w:p>
        </w:tc>
        <w:tc>
          <w:tcPr>
            <w:tcW w:w="4660" w:type="dxa"/>
            <w:shd w:val="clear" w:color="auto" w:fill="auto"/>
          </w:tcPr>
          <w:p w14:paraId="413999C6" w14:textId="77777777" w:rsidR="00252269" w:rsidRPr="00616BD9" w:rsidRDefault="00252269" w:rsidP="0095373C">
            <w:pPr>
              <w:pStyle w:val="H1"/>
              <w:ind w:left="0" w:firstLine="0"/>
              <w:rPr>
                <w:lang w:val="es-ES"/>
              </w:rPr>
            </w:pPr>
          </w:p>
        </w:tc>
      </w:tr>
      <w:tr w:rsidR="00252269" w:rsidRPr="00616BD9" w14:paraId="40F158D5" w14:textId="77777777" w:rsidTr="00252269">
        <w:tc>
          <w:tcPr>
            <w:tcW w:w="4893" w:type="dxa"/>
            <w:shd w:val="clear" w:color="auto" w:fill="auto"/>
          </w:tcPr>
          <w:p w14:paraId="2E4EF4CE" w14:textId="77777777" w:rsidR="00252269" w:rsidRPr="00616BD9" w:rsidRDefault="00252269" w:rsidP="000D2C79">
            <w:pPr>
              <w:pStyle w:val="H1"/>
              <w:ind w:left="0" w:firstLine="0"/>
              <w:rPr>
                <w:lang w:val="es-ES"/>
              </w:rPr>
            </w:pPr>
          </w:p>
        </w:tc>
        <w:tc>
          <w:tcPr>
            <w:tcW w:w="288" w:type="dxa"/>
            <w:shd w:val="clear" w:color="auto" w:fill="auto"/>
          </w:tcPr>
          <w:p w14:paraId="26125D47" w14:textId="77777777" w:rsidR="00252269" w:rsidRPr="00616BD9" w:rsidRDefault="00252269" w:rsidP="000D2C79">
            <w:pPr>
              <w:pStyle w:val="H1"/>
              <w:ind w:left="0" w:firstLine="0"/>
              <w:rPr>
                <w:lang w:val="es-ES"/>
              </w:rPr>
            </w:pPr>
          </w:p>
        </w:tc>
        <w:tc>
          <w:tcPr>
            <w:tcW w:w="4660" w:type="dxa"/>
            <w:shd w:val="clear" w:color="auto" w:fill="auto"/>
          </w:tcPr>
          <w:p w14:paraId="2991297D" w14:textId="77777777" w:rsidR="00252269" w:rsidRPr="00616BD9" w:rsidRDefault="00252269" w:rsidP="0095373C">
            <w:pPr>
              <w:pStyle w:val="H1"/>
              <w:ind w:left="0" w:firstLine="0"/>
              <w:rPr>
                <w:lang w:val="es-ES"/>
              </w:rPr>
            </w:pPr>
          </w:p>
        </w:tc>
      </w:tr>
    </w:tbl>
    <w:p w14:paraId="05E9B49B" w14:textId="0430E44D" w:rsidR="002430C5" w:rsidRPr="00616BD9" w:rsidRDefault="002430C5" w:rsidP="008E2513">
      <w:pPr>
        <w:pStyle w:val="SingleTxt"/>
        <w:keepNext/>
        <w:keepLines/>
        <w:spacing w:after="0" w:line="120" w:lineRule="atLeast"/>
        <w:rPr>
          <w:sz w:val="10"/>
          <w:lang w:val="es-ES_tradnl"/>
        </w:rPr>
      </w:pPr>
    </w:p>
    <w:p w14:paraId="0155D12E" w14:textId="0841B557" w:rsidR="001825A6" w:rsidRPr="00616BD9" w:rsidRDefault="002430C5" w:rsidP="009C70BE">
      <w:pPr>
        <w:pStyle w:val="HCh"/>
        <w:ind w:left="1267" w:right="1260" w:hanging="1267"/>
        <w:rPr>
          <w:sz w:val="10"/>
          <w:lang w:val="es-ES_tradnl"/>
        </w:rPr>
      </w:pPr>
      <w:bookmarkStart w:id="4" w:name="_Toc37248989"/>
      <w:bookmarkStart w:id="5" w:name="_Toc39607753"/>
      <w:r w:rsidRPr="00616BD9">
        <w:rPr>
          <w:lang w:val="es-ES_tradnl"/>
        </w:rPr>
        <w:tab/>
      </w:r>
      <w:r w:rsidRPr="00616BD9">
        <w:rPr>
          <w:lang w:val="es-ES_tradnl"/>
        </w:rPr>
        <w:tab/>
      </w:r>
      <w:r w:rsidR="00306A0B" w:rsidRPr="00616BD9">
        <w:rPr>
          <w:lang w:val="es-ES_tradnl"/>
        </w:rPr>
        <w:t xml:space="preserve">Plan de trabajo y recursos para implementar </w:t>
      </w:r>
      <w:r w:rsidR="00C72890" w:rsidRPr="00616BD9">
        <w:rPr>
          <w:lang w:val="es-ES_tradnl"/>
        </w:rPr>
        <w:t xml:space="preserve">la reforma del sistema de solución de controversias entre inversionistas y Estados (SCIE) y </w:t>
      </w:r>
      <w:bookmarkEnd w:id="4"/>
      <w:bookmarkEnd w:id="5"/>
      <w:r w:rsidR="009C70BE" w:rsidRPr="00616BD9">
        <w:rPr>
          <w:lang w:val="es-ES_tradnl"/>
        </w:rPr>
        <w:t>la necesidad de recursos</w:t>
      </w:r>
    </w:p>
    <w:p w14:paraId="2D62774A" w14:textId="358718C4" w:rsidR="001825A6" w:rsidRPr="00616BD9" w:rsidRDefault="001825A6" w:rsidP="008E2513">
      <w:pPr>
        <w:pStyle w:val="SingleTxt"/>
        <w:keepNext/>
        <w:keepLines/>
        <w:spacing w:after="0" w:line="120" w:lineRule="atLeast"/>
        <w:rPr>
          <w:sz w:val="10"/>
          <w:lang w:val="es-ES_tradnl"/>
        </w:rPr>
      </w:pPr>
    </w:p>
    <w:p w14:paraId="1ACDEA9A" w14:textId="5AD60202" w:rsidR="001825A6" w:rsidRPr="00616BD9" w:rsidRDefault="001825A6" w:rsidP="000D2C79">
      <w:pPr>
        <w:pStyle w:val="H1"/>
        <w:ind w:left="1267" w:right="1260" w:hanging="1267"/>
        <w:rPr>
          <w:lang w:val="es-ES_tradnl"/>
        </w:rPr>
      </w:pPr>
      <w:r w:rsidRPr="00616BD9">
        <w:rPr>
          <w:lang w:val="es-ES_tradnl"/>
        </w:rPr>
        <w:tab/>
      </w:r>
      <w:r w:rsidRPr="00616BD9">
        <w:rPr>
          <w:lang w:val="es-ES_tradnl"/>
        </w:rPr>
        <w:tab/>
      </w:r>
      <w:r w:rsidR="00AB7DA3" w:rsidRPr="00616BD9">
        <w:rPr>
          <w:lang w:val="es-ES_tradnl"/>
        </w:rPr>
        <w:t>Nota de la Secretaría</w:t>
      </w:r>
    </w:p>
    <w:p w14:paraId="59A38252" w14:textId="77777777" w:rsidR="002430C5" w:rsidRPr="00616BD9" w:rsidRDefault="002430C5" w:rsidP="008E2513">
      <w:pPr>
        <w:pStyle w:val="SingleTxt"/>
        <w:keepNext/>
        <w:keepLines/>
        <w:spacing w:after="0" w:line="120" w:lineRule="atLeast"/>
        <w:rPr>
          <w:b/>
          <w:sz w:val="10"/>
          <w:lang w:val="es-ES_tradnl"/>
        </w:rPr>
      </w:pPr>
    </w:p>
    <w:p w14:paraId="48491354" w14:textId="77777777" w:rsidR="002430C5" w:rsidRPr="00616BD9" w:rsidRDefault="002430C5" w:rsidP="008E2513">
      <w:pPr>
        <w:pStyle w:val="SingleTxt"/>
        <w:keepNext/>
        <w:keepLines/>
        <w:spacing w:after="0" w:line="120" w:lineRule="atLeast"/>
        <w:rPr>
          <w:b/>
          <w:sz w:val="10"/>
          <w:lang w:val="es-ES_tradnl"/>
        </w:rPr>
      </w:pPr>
    </w:p>
    <w:p w14:paraId="5867FF5F" w14:textId="38B77AA4" w:rsidR="00225006" w:rsidRPr="00616BD9" w:rsidRDefault="00DC0E56"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lang w:val="es-ES_tradnl"/>
        </w:rPr>
      </w:pPr>
      <w:r w:rsidRPr="00616BD9">
        <w:rPr>
          <w:i/>
          <w:iCs/>
          <w:sz w:val="22"/>
          <w:szCs w:val="22"/>
          <w:lang w:val="es-ES_tradnl"/>
        </w:rPr>
        <w:t>De conformidad con el acuerdo alcanzado en el trigésimo noveno período de sesiones, esta nota (en español, francés e inglés; no es una traducción oficial) contiene un borrador inicial de un plan de trabajo y recursos</w:t>
      </w:r>
      <w:r w:rsidR="00B47E12" w:rsidRPr="00616BD9">
        <w:rPr>
          <w:i/>
          <w:iCs/>
          <w:sz w:val="22"/>
          <w:szCs w:val="22"/>
          <w:lang w:val="es-ES_tradnl"/>
        </w:rPr>
        <w:t xml:space="preserve"> </w:t>
      </w:r>
      <w:r w:rsidR="00F8779C" w:rsidRPr="00616BD9">
        <w:rPr>
          <w:i/>
          <w:iCs/>
          <w:sz w:val="22"/>
          <w:szCs w:val="22"/>
          <w:lang w:val="es-ES_tradnl"/>
        </w:rPr>
        <w:t xml:space="preserve">presentada para </w:t>
      </w:r>
      <w:r w:rsidRPr="00616BD9">
        <w:rPr>
          <w:i/>
          <w:iCs/>
          <w:sz w:val="22"/>
          <w:szCs w:val="22"/>
          <w:lang w:val="es-ES_tradnl"/>
        </w:rPr>
        <w:t xml:space="preserve">comentarios de todas las delegaciones </w:t>
      </w:r>
      <w:r w:rsidR="008760AD" w:rsidRPr="00616BD9">
        <w:rPr>
          <w:i/>
          <w:iCs/>
          <w:sz w:val="22"/>
          <w:szCs w:val="22"/>
          <w:lang w:val="es-ES_tradnl"/>
        </w:rPr>
        <w:t>del</w:t>
      </w:r>
      <w:r w:rsidRPr="00616BD9">
        <w:rPr>
          <w:i/>
          <w:iCs/>
          <w:sz w:val="22"/>
          <w:szCs w:val="22"/>
          <w:lang w:val="es-ES_tradnl"/>
        </w:rPr>
        <w:t xml:space="preserve"> Grupo de Trabajo </w:t>
      </w:r>
      <w:r w:rsidRPr="00616BD9">
        <w:rPr>
          <w:i/>
          <w:iCs/>
          <w:sz w:val="22"/>
          <w:szCs w:val="22"/>
          <w:u w:val="single"/>
          <w:lang w:val="es-ES_tradnl"/>
        </w:rPr>
        <w:t>antes del 1 de marzo de 2021</w:t>
      </w:r>
      <w:r w:rsidRPr="00616BD9">
        <w:rPr>
          <w:i/>
          <w:iCs/>
          <w:sz w:val="22"/>
          <w:szCs w:val="22"/>
          <w:lang w:val="es-ES_tradnl"/>
        </w:rPr>
        <w:t>. Para facilitar la etapa de comentarios escritos, el presidente y el relator tienen la intención de celebrar una serie de sesiones informales explicativas sobre el borrador inicial. El presidente y el relator revisarán los comentarios recibidos de las delegaciones y prepararán un borrador revisado del Plan a mediados de</w:t>
      </w:r>
      <w:r w:rsidR="00A566ED" w:rsidRPr="00616BD9">
        <w:rPr>
          <w:i/>
          <w:iCs/>
          <w:sz w:val="22"/>
          <w:szCs w:val="22"/>
          <w:lang w:val="es-ES_tradnl"/>
        </w:rPr>
        <w:t>l mes de</w:t>
      </w:r>
      <w:r w:rsidRPr="00616BD9">
        <w:rPr>
          <w:i/>
          <w:iCs/>
          <w:sz w:val="22"/>
          <w:szCs w:val="22"/>
          <w:lang w:val="es-ES_tradnl"/>
        </w:rPr>
        <w:t xml:space="preserve"> marzo.</w:t>
      </w:r>
    </w:p>
    <w:p w14:paraId="5AAADD55" w14:textId="59071C33" w:rsidR="000D7D65" w:rsidRPr="00616BD9" w:rsidRDefault="00A93E78" w:rsidP="001842D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lang w:val="es-ES_tradnl"/>
        </w:rPr>
      </w:pPr>
      <w:r w:rsidRPr="00616BD9">
        <w:rPr>
          <w:i/>
          <w:iCs/>
          <w:sz w:val="22"/>
          <w:szCs w:val="22"/>
          <w:lang w:val="es-ES_tradnl"/>
        </w:rPr>
        <w:t xml:space="preserve">El Plan revisado se someterá a consideración y aprobación del Grupo de Trabajo en la continuación de su cuadragésima sesión en </w:t>
      </w:r>
      <w:r w:rsidR="001842DF" w:rsidRPr="00616BD9">
        <w:rPr>
          <w:i/>
          <w:iCs/>
          <w:sz w:val="22"/>
          <w:szCs w:val="22"/>
          <w:lang w:val="es-ES_tradnl"/>
        </w:rPr>
        <w:t xml:space="preserve">el mes de </w:t>
      </w:r>
      <w:r w:rsidRPr="00616BD9">
        <w:rPr>
          <w:i/>
          <w:iCs/>
          <w:sz w:val="22"/>
          <w:szCs w:val="22"/>
          <w:lang w:val="es-ES_tradnl"/>
        </w:rPr>
        <w:t>mayo. Luego, el Plan se revisaría para reflejar las deliberaciones y decisiones del Grupo de Trabajo y posteriormente se presentaría a la Comisión para su consideración.</w:t>
      </w:r>
      <w:r w:rsidR="000D7D65" w:rsidRPr="00616BD9">
        <w:rPr>
          <w:i/>
          <w:iCs/>
          <w:sz w:val="22"/>
          <w:szCs w:val="22"/>
          <w:lang w:val="es-ES_tradnl"/>
        </w:rPr>
        <w:t xml:space="preserve"> </w:t>
      </w:r>
    </w:p>
    <w:p w14:paraId="34D8864C" w14:textId="77777777" w:rsidR="000D7D65" w:rsidRPr="00616BD9" w:rsidRDefault="000D7D65" w:rsidP="008E2513">
      <w:pPr>
        <w:pStyle w:val="SingleTxt"/>
        <w:keepNext/>
        <w:keepLines/>
        <w:rPr>
          <w:lang w:val="es-ES_tradnl"/>
        </w:rPr>
      </w:pPr>
    </w:p>
    <w:p w14:paraId="1649BB8F" w14:textId="25AD0B08" w:rsidR="00A3665D" w:rsidRPr="00616BD9" w:rsidRDefault="00A3665D" w:rsidP="008E2513">
      <w:pPr>
        <w:keepNext/>
        <w:keepLines/>
        <w:suppressAutoHyphens w:val="0"/>
        <w:spacing w:after="200" w:line="276" w:lineRule="auto"/>
        <w:rPr>
          <w:lang w:val="es-ES_tradnl"/>
        </w:rPr>
      </w:pPr>
      <w:r w:rsidRPr="00616BD9">
        <w:rPr>
          <w:lang w:val="es-ES_tradnl"/>
        </w:rPr>
        <w:br w:type="page"/>
      </w:r>
    </w:p>
    <w:p w14:paraId="388AB61F" w14:textId="11EFB9A2" w:rsidR="00A3665D" w:rsidRPr="00616BD9" w:rsidRDefault="00A3665D" w:rsidP="000D2C79">
      <w:pPr>
        <w:pStyle w:val="HCh"/>
        <w:ind w:left="1267" w:right="1260" w:hanging="1267"/>
        <w:rPr>
          <w:lang w:val="es-ES_tradnl"/>
        </w:rPr>
      </w:pPr>
      <w:r w:rsidRPr="00616BD9">
        <w:rPr>
          <w:lang w:val="es-ES_tradnl"/>
        </w:rPr>
        <w:lastRenderedPageBreak/>
        <w:tab/>
      </w:r>
      <w:bookmarkStart w:id="6" w:name="_Toc39607755"/>
      <w:r w:rsidRPr="00616BD9">
        <w:rPr>
          <w:lang w:val="es-ES_tradnl"/>
        </w:rPr>
        <w:t>I.</w:t>
      </w:r>
      <w:r w:rsidRPr="00616BD9">
        <w:rPr>
          <w:lang w:val="es-ES_tradnl"/>
        </w:rPr>
        <w:tab/>
        <w:t>I</w:t>
      </w:r>
      <w:bookmarkEnd w:id="6"/>
      <w:r w:rsidR="001842DF" w:rsidRPr="00616BD9">
        <w:rPr>
          <w:lang w:val="es-ES_tradnl"/>
        </w:rPr>
        <w:t>ntroducción</w:t>
      </w:r>
    </w:p>
    <w:p w14:paraId="5BFD4581" w14:textId="1E605E94" w:rsidR="00A3665D" w:rsidRPr="00616BD9" w:rsidRDefault="00A3665D" w:rsidP="008E2513">
      <w:pPr>
        <w:pStyle w:val="SingleTxt"/>
        <w:keepNext/>
        <w:keepLines/>
        <w:spacing w:after="0" w:line="120" w:lineRule="atLeast"/>
        <w:rPr>
          <w:sz w:val="10"/>
          <w:lang w:val="es-ES_tradnl"/>
        </w:rPr>
      </w:pPr>
    </w:p>
    <w:p w14:paraId="64690BA6" w14:textId="2932FC38" w:rsidR="00A76EAA" w:rsidRPr="00616BD9" w:rsidRDefault="00C01367" w:rsidP="0079394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El Grupo de Trabajo tal vez desee recordar </w:t>
      </w:r>
      <w:proofErr w:type="gramStart"/>
      <w:r w:rsidRPr="00616BD9">
        <w:rPr>
          <w:lang w:val="es-ES_tradnl"/>
        </w:rPr>
        <w:t>que</w:t>
      </w:r>
      <w:proofErr w:type="gramEnd"/>
      <w:r w:rsidRPr="00616BD9">
        <w:rPr>
          <w:lang w:val="es-ES_tradnl"/>
        </w:rPr>
        <w:t xml:space="preserve"> en su 37º período de sesiones, en abril de 2019, había examinado varias propuestas de plan de trabajo y había acordado debatir, elaborar y desarrollar múltiples posibles soluciones de reforma simultáneamente. El Grupo de Trabajo había acordado además que se debería preparar un </w:t>
      </w:r>
      <w:r w:rsidR="001A49B3" w:rsidRPr="00616BD9">
        <w:rPr>
          <w:lang w:val="es-ES_tradnl"/>
        </w:rPr>
        <w:t>calendario</w:t>
      </w:r>
      <w:r w:rsidRPr="00616BD9">
        <w:rPr>
          <w:lang w:val="es-ES_tradnl"/>
        </w:rPr>
        <w:t xml:space="preserve"> del proyecto </w:t>
      </w:r>
      <w:r w:rsidR="00AD41D1" w:rsidRPr="00616BD9">
        <w:rPr>
          <w:lang w:val="es-ES_tradnl"/>
        </w:rPr>
        <w:t>a fin de</w:t>
      </w:r>
      <w:r w:rsidRPr="00616BD9">
        <w:rPr>
          <w:lang w:val="es-ES_tradnl"/>
        </w:rPr>
        <w:t xml:space="preserve"> avanzar </w:t>
      </w:r>
      <w:r w:rsidR="00AD41D1" w:rsidRPr="00616BD9">
        <w:rPr>
          <w:lang w:val="es-ES_tradnl"/>
        </w:rPr>
        <w:t xml:space="preserve">en la elaboración de </w:t>
      </w:r>
      <w:r w:rsidRPr="00616BD9">
        <w:rPr>
          <w:lang w:val="es-ES_tradnl"/>
        </w:rPr>
        <w:t>las soluciones propuestas en</w:t>
      </w:r>
      <w:r w:rsidR="009F4B4A" w:rsidRPr="00616BD9">
        <w:rPr>
          <w:lang w:val="es-ES_tradnl"/>
        </w:rPr>
        <w:t xml:space="preserve"> forma</w:t>
      </w:r>
      <w:r w:rsidRPr="00616BD9">
        <w:rPr>
          <w:lang w:val="es-ES_tradnl"/>
        </w:rPr>
        <w:t xml:space="preserve"> paralelo</w:t>
      </w:r>
      <w:r w:rsidR="009F4B4A" w:rsidRPr="00616BD9">
        <w:rPr>
          <w:lang w:val="es-ES_tradnl"/>
        </w:rPr>
        <w:t xml:space="preserve"> utilizando al máximo</w:t>
      </w:r>
      <w:r w:rsidRPr="00616BD9">
        <w:rPr>
          <w:lang w:val="es-ES_tradnl"/>
        </w:rPr>
        <w:t xml:space="preserve"> la capacidad del Grupo de Trabajo y teniendo en cuenta las herramientas disponibles</w:t>
      </w:r>
      <w:r w:rsidR="008B7E36" w:rsidRPr="00616BD9">
        <w:rPr>
          <w:lang w:val="es-ES_tradnl"/>
        </w:rPr>
        <w:t xml:space="preserve"> </w:t>
      </w:r>
      <w:r w:rsidR="00246FD6" w:rsidRPr="00616BD9">
        <w:rPr>
          <w:lang w:val="es-ES_tradnl"/>
        </w:rPr>
        <w:t>(</w:t>
      </w:r>
      <w:hyperlink r:id="rId16" w:history="1">
        <w:r w:rsidR="00246FD6" w:rsidRPr="00616BD9">
          <w:rPr>
            <w:rStyle w:val="Hyperlink"/>
            <w:lang w:val="es-ES_tradnl"/>
          </w:rPr>
          <w:t>A/CN.9/970, para. 81</w:t>
        </w:r>
      </w:hyperlink>
      <w:r w:rsidR="00246FD6" w:rsidRPr="00616BD9">
        <w:rPr>
          <w:lang w:val="es-ES_tradnl"/>
        </w:rPr>
        <w:t xml:space="preserve">). </w:t>
      </w:r>
      <w:r w:rsidR="007339EB" w:rsidRPr="00616BD9">
        <w:rPr>
          <w:lang w:val="es-ES_tradnl"/>
        </w:rPr>
        <w:t xml:space="preserve">En consecuencia, el Grupo de Trabajo </w:t>
      </w:r>
      <w:r w:rsidR="00385560" w:rsidRPr="00616BD9">
        <w:rPr>
          <w:lang w:val="es-ES_tradnl"/>
        </w:rPr>
        <w:t xml:space="preserve">convino en </w:t>
      </w:r>
      <w:r w:rsidR="007339EB" w:rsidRPr="00616BD9">
        <w:rPr>
          <w:lang w:val="es-ES_tradnl"/>
        </w:rPr>
        <w:t xml:space="preserve">un calendario del </w:t>
      </w:r>
      <w:r w:rsidR="00347A23" w:rsidRPr="00616BD9">
        <w:rPr>
          <w:lang w:val="es-ES_tradnl"/>
        </w:rPr>
        <w:t>proyecto</w:t>
      </w:r>
      <w:r w:rsidR="007339EB" w:rsidRPr="00616BD9">
        <w:rPr>
          <w:lang w:val="es-ES_tradnl"/>
        </w:rPr>
        <w:t xml:space="preserve"> en su 38º período de sesiones en octubre de 2009 (</w:t>
      </w:r>
      <w:hyperlink r:id="rId17" w:history="1">
        <w:r w:rsidR="00246FD6" w:rsidRPr="00616BD9">
          <w:rPr>
            <w:rStyle w:val="Hyperlink"/>
            <w:lang w:val="es-ES_tradnl"/>
          </w:rPr>
          <w:t>A/CN.9/1004*, para</w:t>
        </w:r>
        <w:r w:rsidR="00902A56" w:rsidRPr="00616BD9">
          <w:rPr>
            <w:rStyle w:val="Hyperlink"/>
            <w:lang w:val="es-ES_tradnl"/>
          </w:rPr>
          <w:t>s</w:t>
        </w:r>
        <w:r w:rsidR="00246FD6" w:rsidRPr="00616BD9">
          <w:rPr>
            <w:rStyle w:val="Hyperlink"/>
            <w:lang w:val="es-ES_tradnl"/>
          </w:rPr>
          <w:t>. 25 and 27</w:t>
        </w:r>
      </w:hyperlink>
      <w:r w:rsidR="00246FD6" w:rsidRPr="00616BD9">
        <w:rPr>
          <w:lang w:val="es-ES_tradnl"/>
        </w:rPr>
        <w:t>).</w:t>
      </w:r>
      <w:r w:rsidR="00C408C9" w:rsidRPr="00616BD9">
        <w:rPr>
          <w:lang w:val="es-ES_tradnl"/>
        </w:rPr>
        <w:t xml:space="preserve"> Durante las deliberaciones el Grupo de Trabajo </w:t>
      </w:r>
      <w:r w:rsidR="00500D68" w:rsidRPr="00616BD9">
        <w:rPr>
          <w:lang w:val="es-ES_tradnl"/>
        </w:rPr>
        <w:t>consideró diferentes opciones para aplicar un plan de trabajo tal como</w:t>
      </w:r>
      <w:r w:rsidR="000C26FD" w:rsidRPr="00616BD9">
        <w:rPr>
          <w:lang w:val="es-ES_tradnl"/>
        </w:rPr>
        <w:t xml:space="preserve"> figura en el documento </w:t>
      </w:r>
      <w:hyperlink r:id="rId18" w:history="1">
        <w:r w:rsidR="00246FD6" w:rsidRPr="00616BD9">
          <w:rPr>
            <w:rStyle w:val="Hyperlink"/>
            <w:lang w:val="es-ES_tradnl"/>
          </w:rPr>
          <w:t>A/CN.9/WG.III/WP.158</w:t>
        </w:r>
      </w:hyperlink>
      <w:r w:rsidR="00F70F8F" w:rsidRPr="00616BD9">
        <w:rPr>
          <w:lang w:val="es-ES_tradnl"/>
        </w:rPr>
        <w:t>.</w:t>
      </w:r>
      <w:r w:rsidR="00525C70" w:rsidRPr="00616BD9">
        <w:rPr>
          <w:lang w:val="es-ES_tradnl"/>
        </w:rPr>
        <w:t xml:space="preserve"> Se </w:t>
      </w:r>
      <w:r w:rsidR="00E97DDB" w:rsidRPr="00616BD9">
        <w:rPr>
          <w:lang w:val="es-ES_tradnl"/>
        </w:rPr>
        <w:t>convino</w:t>
      </w:r>
      <w:r w:rsidR="00525C70" w:rsidRPr="00616BD9">
        <w:rPr>
          <w:lang w:val="es-ES_tradnl"/>
        </w:rPr>
        <w:t xml:space="preserve"> que el Grupo de Trabajo consideraría el uso de medios y herramientas para mejorar el uso eficiente de su tiempo de conferencias, cuando fuera apropiado y de acuerdo con la práctica de la CNUDMI, particularmente a la luz de la complejidad del proyecto y la necesidad de desarrollar múltiples opciones de reforma.</w:t>
      </w:r>
    </w:p>
    <w:p w14:paraId="2402B94A" w14:textId="77777777" w:rsidR="00F873CE" w:rsidRPr="00616BD9" w:rsidRDefault="00F873CE" w:rsidP="00F873CE">
      <w:pPr>
        <w:pStyle w:val="ListParagraph"/>
        <w:keepNext/>
        <w:keepLines/>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27CFB150" w14:textId="77777777" w:rsidR="0079394E" w:rsidRPr="00616BD9" w:rsidRDefault="00453DB4" w:rsidP="0079394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El Grupo de Trabajo convino </w:t>
      </w:r>
      <w:r w:rsidR="00D31A16" w:rsidRPr="00616BD9">
        <w:rPr>
          <w:lang w:val="es-ES_tradnl"/>
        </w:rPr>
        <w:t>además</w:t>
      </w:r>
      <w:r w:rsidRPr="00616BD9">
        <w:rPr>
          <w:lang w:val="es-ES_tradnl"/>
        </w:rPr>
        <w:t xml:space="preserve"> que esas herramientas podrían incluir </w:t>
      </w:r>
      <w:r w:rsidR="00AB75D7" w:rsidRPr="00616BD9">
        <w:rPr>
          <w:lang w:val="es-ES_tradnl"/>
        </w:rPr>
        <w:t>reuniones oficiosas que se celebrarían en parale</w:t>
      </w:r>
      <w:r w:rsidR="00A96E15" w:rsidRPr="00616BD9">
        <w:rPr>
          <w:lang w:val="es-ES_tradnl"/>
        </w:rPr>
        <w:t>lamente a los períodos de sesiones de la Comisión y del Grupo de Trabajo</w:t>
      </w:r>
      <w:r w:rsidR="00471941" w:rsidRPr="00616BD9">
        <w:rPr>
          <w:lang w:val="es-ES_tradnl"/>
        </w:rPr>
        <w:t>, Grupos de redacción, coloquios, reuniones conjuntas con otras organizaciones internac</w:t>
      </w:r>
      <w:r w:rsidR="00D77C3C" w:rsidRPr="00616BD9">
        <w:rPr>
          <w:lang w:val="es-ES_tradnl"/>
        </w:rPr>
        <w:t xml:space="preserve">ionales, reuniones entre </w:t>
      </w:r>
      <w:r w:rsidR="00D31A16" w:rsidRPr="00616BD9">
        <w:rPr>
          <w:lang w:val="es-ES_tradnl"/>
        </w:rPr>
        <w:t>períodos</w:t>
      </w:r>
      <w:r w:rsidR="00D77C3C" w:rsidRPr="00616BD9">
        <w:rPr>
          <w:lang w:val="es-ES_tradnl"/>
        </w:rPr>
        <w:t xml:space="preserve"> de sesiones y otras actividades que </w:t>
      </w:r>
      <w:r w:rsidR="00D31A16" w:rsidRPr="00616BD9">
        <w:rPr>
          <w:lang w:val="es-ES_tradnl"/>
        </w:rPr>
        <w:t>implicaran</w:t>
      </w:r>
      <w:r w:rsidR="00D77C3C" w:rsidRPr="00616BD9">
        <w:rPr>
          <w:lang w:val="es-ES_tradnl"/>
        </w:rPr>
        <w:t xml:space="preserve"> interactuar con el Foro </w:t>
      </w:r>
      <w:r w:rsidR="00D31A16" w:rsidRPr="00616BD9">
        <w:rPr>
          <w:lang w:val="es-ES_tradnl"/>
        </w:rPr>
        <w:t>Académico</w:t>
      </w:r>
      <w:r w:rsidR="00D77C3C" w:rsidRPr="00616BD9">
        <w:rPr>
          <w:lang w:val="es-ES_tradnl"/>
        </w:rPr>
        <w:t xml:space="preserve"> y el Grupo de Profesionales.</w:t>
      </w:r>
      <w:r w:rsidR="00D31A16" w:rsidRPr="00616BD9">
        <w:rPr>
          <w:lang w:val="es-ES_tradnl"/>
        </w:rPr>
        <w:t xml:space="preserve"> </w:t>
      </w:r>
      <w:r w:rsidR="00F70F8F" w:rsidRPr="00616BD9">
        <w:rPr>
          <w:lang w:val="es-ES_tradnl"/>
        </w:rPr>
        <w:t>(</w:t>
      </w:r>
      <w:hyperlink r:id="rId19" w:history="1">
        <w:r w:rsidR="00F70F8F" w:rsidRPr="00616BD9">
          <w:rPr>
            <w:rStyle w:val="Hyperlink"/>
            <w:lang w:val="es-ES_tradnl"/>
          </w:rPr>
          <w:t>A/CN.9/970, para. 58</w:t>
        </w:r>
      </w:hyperlink>
      <w:r w:rsidR="00F70F8F" w:rsidRPr="00616BD9">
        <w:rPr>
          <w:lang w:val="es-ES_tradnl"/>
        </w:rPr>
        <w:t>)</w:t>
      </w:r>
    </w:p>
    <w:p w14:paraId="65D2057B" w14:textId="77777777" w:rsidR="0079394E" w:rsidRPr="00616BD9" w:rsidRDefault="0079394E" w:rsidP="0079394E">
      <w:pPr>
        <w:pStyle w:val="ListParagraph"/>
        <w:rPr>
          <w:lang w:val="es-ES_tradnl"/>
        </w:rPr>
      </w:pPr>
    </w:p>
    <w:p w14:paraId="4ED7D4B1" w14:textId="0EF097C6" w:rsidR="0079394E" w:rsidRPr="00616BD9" w:rsidRDefault="00781AD4" w:rsidP="0079394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El </w:t>
      </w:r>
      <w:r w:rsidR="0004528C" w:rsidRPr="00616BD9">
        <w:rPr>
          <w:lang w:val="es-ES_tradnl"/>
        </w:rPr>
        <w:t>39º período de sesiones</w:t>
      </w:r>
      <w:r w:rsidR="006426CC" w:rsidRPr="00616BD9">
        <w:rPr>
          <w:lang w:val="es-ES_tradnl"/>
        </w:rPr>
        <w:t xml:space="preserve"> del</w:t>
      </w:r>
      <w:r w:rsidR="0004528C" w:rsidRPr="00616BD9">
        <w:rPr>
          <w:lang w:val="es-ES_tradnl"/>
        </w:rPr>
        <w:t xml:space="preserve"> Grupo de Trabajo</w:t>
      </w:r>
      <w:r w:rsidR="006426CC" w:rsidRPr="00616BD9">
        <w:rPr>
          <w:lang w:val="es-ES_tradnl"/>
        </w:rPr>
        <w:t xml:space="preserve"> agendado para el</w:t>
      </w:r>
      <w:r w:rsidR="0004528C" w:rsidRPr="00616BD9">
        <w:rPr>
          <w:lang w:val="es-ES_tradnl"/>
        </w:rPr>
        <w:t xml:space="preserve"> primer semestre de 2020</w:t>
      </w:r>
      <w:r w:rsidR="002433E7" w:rsidRPr="00616BD9">
        <w:rPr>
          <w:lang w:val="es-ES_tradnl"/>
        </w:rPr>
        <w:t xml:space="preserve"> programó considerar</w:t>
      </w:r>
      <w:r w:rsidR="0004528C" w:rsidRPr="00616BD9">
        <w:rPr>
          <w:lang w:val="es-ES_tradnl"/>
        </w:rPr>
        <w:t>,</w:t>
      </w:r>
      <w:r w:rsidR="004313D4" w:rsidRPr="00616BD9">
        <w:rPr>
          <w:lang w:val="es-ES_tradnl"/>
        </w:rPr>
        <w:t xml:space="preserve"> entre otras cosas, cómo planificar su labor futura y si </w:t>
      </w:r>
      <w:proofErr w:type="gramStart"/>
      <w:r w:rsidR="004313D4" w:rsidRPr="00616BD9">
        <w:rPr>
          <w:lang w:val="es-ES_tradnl"/>
        </w:rPr>
        <w:t>solicitaría</w:t>
      </w:r>
      <w:proofErr w:type="gramEnd"/>
      <w:r w:rsidR="004313D4" w:rsidRPr="00616BD9">
        <w:rPr>
          <w:lang w:val="es-ES_tradnl"/>
        </w:rPr>
        <w:t xml:space="preserve"> tiempo adicional para el período de sesiones de la Comisión dada su carga de trabajo. Sin embargo, esa sesión no pudo realizarse según lo programado debido a la pandemia </w:t>
      </w:r>
      <w:r w:rsidR="00A31A09" w:rsidRPr="00616BD9">
        <w:rPr>
          <w:lang w:val="es-ES_tradnl"/>
        </w:rPr>
        <w:t xml:space="preserve">por enfermedad </w:t>
      </w:r>
      <w:r w:rsidR="004313D4" w:rsidRPr="00616BD9">
        <w:rPr>
          <w:lang w:val="es-ES_tradnl"/>
        </w:rPr>
        <w:t>de COVID-19. En cambio, se llevaron a cabo varias consultas oficiosas antes del 53º período de sesiones de la Comisión sobre cómo llevar a cabo la labor del Grupo de Trabajo.</w:t>
      </w:r>
    </w:p>
    <w:p w14:paraId="49077453" w14:textId="77777777" w:rsidR="0079394E" w:rsidRPr="00616BD9" w:rsidRDefault="0079394E" w:rsidP="0079394E">
      <w:pPr>
        <w:pStyle w:val="ListParagraph"/>
        <w:rPr>
          <w:lang w:val="es-ES_tradnl"/>
        </w:rPr>
      </w:pPr>
    </w:p>
    <w:p w14:paraId="2B7355EF" w14:textId="56D36547" w:rsidR="0079394E" w:rsidRPr="00616BD9" w:rsidRDefault="009F7640" w:rsidP="0079394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En su 53</w:t>
      </w:r>
      <w:r w:rsidR="000E6756" w:rsidRPr="00616BD9">
        <w:rPr>
          <w:lang w:val="es-ES_tradnl"/>
        </w:rPr>
        <w:t xml:space="preserve">o período de sesiones, la Comisión consideró las necesidades de recursos para la ejecución del programa de trabajo con respecto a la reforma de la solución de controversias entre inversionistas y Estados (SCIE) (a la que se hace referencia más adelante como el “Proyecto </w:t>
      </w:r>
      <w:r w:rsidR="00436DDA" w:rsidRPr="00616BD9">
        <w:rPr>
          <w:lang w:val="es-ES_tradnl"/>
        </w:rPr>
        <w:t xml:space="preserve">de </w:t>
      </w:r>
      <w:r w:rsidR="000E6756" w:rsidRPr="00616BD9">
        <w:rPr>
          <w:lang w:val="es-ES_tradnl"/>
        </w:rPr>
        <w:t>SCIE</w:t>
      </w:r>
      <w:r w:rsidR="00511384" w:rsidRPr="00616BD9">
        <w:rPr>
          <w:lang w:val="es-ES_tradnl"/>
        </w:rPr>
        <w:t>”</w:t>
      </w:r>
      <w:r w:rsidR="00AD7AA0" w:rsidRPr="00616BD9">
        <w:rPr>
          <w:lang w:val="es-ES_tradnl"/>
        </w:rPr>
        <w:t>)</w:t>
      </w:r>
      <w:r w:rsidR="00511384" w:rsidRPr="00616BD9">
        <w:rPr>
          <w:lang w:val="es-ES_tradnl"/>
        </w:rPr>
        <w:t xml:space="preserve"> sobre la base de una nota de la </w:t>
      </w:r>
      <w:hyperlink r:id="rId20" w:history="1">
        <w:r w:rsidR="00511384" w:rsidRPr="00616BD9">
          <w:rPr>
            <w:rStyle w:val="Hyperlink"/>
            <w:lang w:val="es-ES_tradnl"/>
          </w:rPr>
          <w:t>Secretaría</w:t>
        </w:r>
        <w:r w:rsidR="003E53D8" w:rsidRPr="00616BD9">
          <w:rPr>
            <w:rStyle w:val="Hyperlink"/>
            <w:lang w:val="es-ES_tradnl"/>
          </w:rPr>
          <w:t xml:space="preserve"> (A/CN.9/1011</w:t>
        </w:r>
      </w:hyperlink>
      <w:r w:rsidR="003E53D8" w:rsidRPr="00616BD9">
        <w:rPr>
          <w:lang w:val="es-ES_tradnl"/>
        </w:rPr>
        <w:t>).</w:t>
      </w:r>
      <w:r w:rsidR="00B56A03" w:rsidRPr="00616BD9">
        <w:rPr>
          <w:vertAlign w:val="superscript"/>
          <w:lang w:val="es-ES_tradnl"/>
        </w:rPr>
        <w:footnoteReference w:id="1"/>
      </w:r>
      <w:r w:rsidR="003E53D8" w:rsidRPr="00616BD9">
        <w:rPr>
          <w:lang w:val="es-ES_tradnl"/>
        </w:rPr>
        <w:t xml:space="preserve"> </w:t>
      </w:r>
      <w:r w:rsidR="00BC1AC7" w:rsidRPr="00616BD9">
        <w:rPr>
          <w:lang w:val="es-ES_tradnl"/>
        </w:rPr>
        <w:t xml:space="preserve">Debido al tiempo limitado disponible en ese período de sesiones y a la divergencia de opiniones, la Comisión no pudo llegar a un consenso sobre una propuesta de camino a seguir y acordó que el tema se examinaría en su período de sesiones de 2021. </w:t>
      </w:r>
      <w:r w:rsidR="00DE31CA" w:rsidRPr="00616BD9">
        <w:rPr>
          <w:lang w:val="es-ES_tradnl"/>
        </w:rPr>
        <w:t>Mientras tanto, la Comisión alentó al Grupo de Trabajo a seguir avanzando en su mandato.</w:t>
      </w:r>
      <w:r w:rsidR="00B56A03" w:rsidRPr="00616BD9">
        <w:rPr>
          <w:vertAlign w:val="superscript"/>
          <w:lang w:val="es-ES_tradnl"/>
        </w:rPr>
        <w:footnoteReference w:id="2"/>
      </w:r>
      <w:r w:rsidR="00B56A03" w:rsidRPr="00616BD9">
        <w:rPr>
          <w:vertAlign w:val="superscript"/>
          <w:lang w:val="es-ES_tradnl"/>
        </w:rPr>
        <w:t xml:space="preserve"> </w:t>
      </w:r>
      <w:r w:rsidR="003E53D8" w:rsidRPr="00616BD9">
        <w:rPr>
          <w:vertAlign w:val="superscript"/>
          <w:lang w:val="es-ES_tradnl"/>
        </w:rPr>
        <w:t xml:space="preserve"> </w:t>
      </w:r>
    </w:p>
    <w:p w14:paraId="02B4720B" w14:textId="77777777" w:rsidR="0079394E" w:rsidRPr="00616BD9" w:rsidRDefault="0079394E" w:rsidP="0079394E">
      <w:pPr>
        <w:pStyle w:val="ListParagraph"/>
        <w:rPr>
          <w:lang w:val="es-ES_tradnl"/>
        </w:rPr>
      </w:pPr>
    </w:p>
    <w:p w14:paraId="6BE43939" w14:textId="5316DCA5" w:rsidR="00CD78F5" w:rsidRPr="00616BD9" w:rsidRDefault="009650E5" w:rsidP="0079394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Grupo de Trabajo, en su 39º período de sesiones en octubre de 2020, acordó el proceso para elaborar un plan de trabajo y recursos para apoyar su labor (en conjunto, el "Plan"): (</w:t>
      </w:r>
      <w:hyperlink r:id="rId21" w:history="1">
        <w:r w:rsidRPr="00616BD9">
          <w:rPr>
            <w:rStyle w:val="Hyperlink"/>
            <w:lang w:val="es-ES_tradnl"/>
          </w:rPr>
          <w:t>A/CN.9/1044</w:t>
        </w:r>
      </w:hyperlink>
      <w:r w:rsidRPr="00616BD9">
        <w:rPr>
          <w:lang w:val="es-ES_tradnl"/>
        </w:rPr>
        <w:t>, párr. 113). Las delegaciones interesadas en participar en el desarrollo de un borrador inicial del plan de trabajo se identificaron en noviembre de 2020. Con el apoyo de la Secretaría, el presidente y el relator trabajaron con todas esas delegaciones desde noviembre de 2020 hasta enero de 2021 para preparar un borrador inicial. La Secretaría también se coordinó estrechamente con el Departamento de Asamblea General y Gestión de Conferencias (DGACM) durante el mismo período.</w:t>
      </w:r>
    </w:p>
    <w:p w14:paraId="1B8519D1" w14:textId="19EE7D53" w:rsidR="00DF1FA0" w:rsidRPr="00616BD9" w:rsidRDefault="00DF1FA0"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s-ES_tradnl"/>
        </w:rPr>
      </w:pPr>
    </w:p>
    <w:p w14:paraId="5D57F797" w14:textId="19C0519A" w:rsidR="009C11F9" w:rsidRPr="00616BD9" w:rsidRDefault="009C11F9"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s-ES_tradnl"/>
        </w:rPr>
        <w:sectPr w:rsidR="009C11F9" w:rsidRPr="00616BD9" w:rsidSect="00383625">
          <w:endnotePr>
            <w:numFmt w:val="decimal"/>
          </w:endnotePr>
          <w:type w:val="continuous"/>
          <w:pgSz w:w="11909" w:h="16834"/>
          <w:pgMar w:top="1440" w:right="1032" w:bottom="1151" w:left="1032" w:header="432" w:footer="504" w:gutter="0"/>
          <w:cols w:space="720"/>
          <w:noEndnote/>
          <w:docGrid w:linePitch="360"/>
        </w:sectPr>
      </w:pPr>
    </w:p>
    <w:p w14:paraId="4F40DED3" w14:textId="7A2BA155" w:rsidR="006F67F9" w:rsidRPr="00616BD9" w:rsidRDefault="006F67F9" w:rsidP="000D2C79">
      <w:pPr>
        <w:pStyle w:val="HCh"/>
        <w:ind w:left="1267" w:right="1260" w:hanging="1267"/>
        <w:rPr>
          <w:lang w:val="es-ES_tradnl"/>
        </w:rPr>
      </w:pPr>
      <w:r w:rsidRPr="00616BD9">
        <w:rPr>
          <w:lang w:val="es-ES_tradnl"/>
        </w:rPr>
        <w:lastRenderedPageBreak/>
        <w:tab/>
        <w:t>II.</w:t>
      </w:r>
      <w:r w:rsidRPr="00616BD9">
        <w:rPr>
          <w:lang w:val="es-ES_tradnl"/>
        </w:rPr>
        <w:tab/>
      </w:r>
      <w:r w:rsidR="006C179C" w:rsidRPr="00616BD9">
        <w:rPr>
          <w:lang w:val="es-ES_tradnl"/>
        </w:rPr>
        <w:t>Plan de Trabajo</w:t>
      </w:r>
      <w:r w:rsidRPr="00616BD9">
        <w:rPr>
          <w:lang w:val="es-ES_tradnl"/>
        </w:rPr>
        <w:t xml:space="preserve">  </w:t>
      </w:r>
    </w:p>
    <w:p w14:paraId="76467D69" w14:textId="040FA72E" w:rsidR="006F67F9" w:rsidRPr="00616BD9" w:rsidRDefault="006F67F9" w:rsidP="008E2513">
      <w:pPr>
        <w:pStyle w:val="SingleTxt"/>
        <w:keepNext/>
        <w:keepLines/>
        <w:spacing w:after="0" w:line="120" w:lineRule="atLeast"/>
        <w:ind w:left="0"/>
        <w:rPr>
          <w:sz w:val="10"/>
          <w:lang w:val="es-ES_tradnl"/>
        </w:rPr>
      </w:pPr>
    </w:p>
    <w:p w14:paraId="5DEDDF40" w14:textId="042FCAC3" w:rsidR="00150878" w:rsidRPr="00616BD9" w:rsidRDefault="00667EC1"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sz w:val="22"/>
          <w:szCs w:val="22"/>
          <w:lang w:val="es-ES_tradnl"/>
        </w:rPr>
      </w:pPr>
      <w:r w:rsidRPr="00616BD9">
        <w:rPr>
          <w:b/>
          <w:bCs/>
          <w:sz w:val="22"/>
          <w:szCs w:val="22"/>
          <w:lang w:val="es-ES_tradnl"/>
        </w:rPr>
        <w:t xml:space="preserve">1. </w:t>
      </w:r>
      <w:r w:rsidR="006C179C" w:rsidRPr="00616BD9">
        <w:rPr>
          <w:b/>
          <w:bCs/>
          <w:sz w:val="22"/>
          <w:szCs w:val="22"/>
          <w:lang w:val="es-ES_tradnl"/>
        </w:rPr>
        <w:t>Calendario de trabajo</w:t>
      </w:r>
      <w:r w:rsidRPr="00616BD9">
        <w:rPr>
          <w:b/>
          <w:bCs/>
          <w:sz w:val="22"/>
          <w:szCs w:val="22"/>
          <w:lang w:val="es-ES_tradnl"/>
        </w:rPr>
        <w:t xml:space="preserve"> </w:t>
      </w:r>
      <w:r w:rsidR="00150878" w:rsidRPr="00616BD9">
        <w:rPr>
          <w:b/>
          <w:bCs/>
          <w:sz w:val="22"/>
          <w:szCs w:val="22"/>
          <w:lang w:val="es-ES_tradnl"/>
        </w:rPr>
        <w:t xml:space="preserve"> </w:t>
      </w:r>
    </w:p>
    <w:tbl>
      <w:tblPr>
        <w:tblW w:w="5000" w:type="pct"/>
        <w:tblLook w:val="04A0" w:firstRow="1" w:lastRow="0" w:firstColumn="1" w:lastColumn="0" w:noHBand="0" w:noVBand="1"/>
      </w:tblPr>
      <w:tblGrid>
        <w:gridCol w:w="536"/>
        <w:gridCol w:w="2114"/>
        <w:gridCol w:w="1185"/>
        <w:gridCol w:w="1230"/>
        <w:gridCol w:w="1568"/>
        <w:gridCol w:w="1942"/>
        <w:gridCol w:w="1194"/>
        <w:gridCol w:w="1150"/>
        <w:gridCol w:w="1594"/>
        <w:gridCol w:w="1149"/>
        <w:gridCol w:w="581"/>
      </w:tblGrid>
      <w:tr w:rsidR="00CC27E3" w:rsidRPr="00616BD9" w14:paraId="2C58947D" w14:textId="77777777" w:rsidTr="007B7419">
        <w:trPr>
          <w:trHeight w:val="1810"/>
        </w:trPr>
        <w:tc>
          <w:tcPr>
            <w:tcW w:w="190" w:type="pct"/>
            <w:tcBorders>
              <w:top w:val="nil"/>
              <w:left w:val="nil"/>
              <w:bottom w:val="nil"/>
              <w:right w:val="nil"/>
            </w:tcBorders>
            <w:shd w:val="clear" w:color="auto" w:fill="auto"/>
            <w:noWrap/>
            <w:vAlign w:val="bottom"/>
            <w:hideMark/>
          </w:tcPr>
          <w:p w14:paraId="04B36A1C" w14:textId="77777777" w:rsidR="006C029B" w:rsidRPr="00616BD9" w:rsidRDefault="006C029B" w:rsidP="006C029B">
            <w:pPr>
              <w:suppressAutoHyphens w:val="0"/>
              <w:spacing w:line="240" w:lineRule="auto"/>
              <w:rPr>
                <w:rFonts w:eastAsia="Times New Roman"/>
                <w:spacing w:val="0"/>
                <w:w w:val="100"/>
                <w:kern w:val="0"/>
                <w:sz w:val="16"/>
                <w:szCs w:val="16"/>
                <w:lang w:val="es-CL"/>
              </w:rPr>
            </w:pPr>
          </w:p>
        </w:tc>
        <w:tc>
          <w:tcPr>
            <w:tcW w:w="702"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1FA629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06" w:type="pct"/>
            <w:tcBorders>
              <w:top w:val="single" w:sz="8" w:space="0" w:color="auto"/>
              <w:left w:val="nil"/>
              <w:bottom w:val="single" w:sz="8" w:space="0" w:color="auto"/>
              <w:right w:val="single" w:sz="4" w:space="0" w:color="auto"/>
            </w:tcBorders>
            <w:shd w:val="clear" w:color="000000" w:fill="F2F2F2"/>
            <w:vAlign w:val="center"/>
            <w:hideMark/>
          </w:tcPr>
          <w:p w14:paraId="2DA515B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Medios alternativos de solución de controversias: Mecanismos y prevención de controversias</w:t>
            </w:r>
          </w:p>
        </w:tc>
        <w:tc>
          <w:tcPr>
            <w:tcW w:w="428" w:type="pct"/>
            <w:tcBorders>
              <w:top w:val="single" w:sz="8" w:space="0" w:color="auto"/>
              <w:left w:val="nil"/>
              <w:bottom w:val="single" w:sz="8" w:space="0" w:color="auto"/>
              <w:right w:val="single" w:sz="4" w:space="0" w:color="auto"/>
            </w:tcBorders>
            <w:shd w:val="clear" w:color="000000" w:fill="F2F2F2"/>
            <w:vAlign w:val="center"/>
            <w:hideMark/>
          </w:tcPr>
          <w:p w14:paraId="313E90B4"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 xml:space="preserve">Selección y nombramiento de </w:t>
            </w:r>
            <w:proofErr w:type="spellStart"/>
            <w:r w:rsidRPr="00616BD9">
              <w:rPr>
                <w:rFonts w:eastAsia="Times New Roman"/>
                <w:b/>
                <w:bCs/>
                <w:spacing w:val="0"/>
                <w:w w:val="100"/>
                <w:kern w:val="0"/>
                <w:sz w:val="16"/>
                <w:szCs w:val="16"/>
                <w:lang w:val="es-CL"/>
              </w:rPr>
              <w:t>arbitros</w:t>
            </w:r>
            <w:proofErr w:type="spellEnd"/>
          </w:p>
        </w:tc>
        <w:tc>
          <w:tcPr>
            <w:tcW w:w="535" w:type="pct"/>
            <w:tcBorders>
              <w:top w:val="single" w:sz="8" w:space="0" w:color="auto"/>
              <w:left w:val="nil"/>
              <w:bottom w:val="single" w:sz="8" w:space="0" w:color="auto"/>
              <w:right w:val="single" w:sz="4" w:space="0" w:color="auto"/>
            </w:tcBorders>
            <w:shd w:val="clear" w:color="000000" w:fill="F2F2F2"/>
            <w:noWrap/>
            <w:vAlign w:val="center"/>
            <w:hideMark/>
          </w:tcPr>
          <w:p w14:paraId="48421BF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Código de </w:t>
            </w:r>
            <w:proofErr w:type="spellStart"/>
            <w:r w:rsidRPr="00616BD9">
              <w:rPr>
                <w:rFonts w:eastAsia="Times New Roman"/>
                <w:b/>
                <w:bCs/>
                <w:spacing w:val="0"/>
                <w:w w:val="100"/>
                <w:kern w:val="0"/>
                <w:sz w:val="16"/>
                <w:szCs w:val="16"/>
                <w:lang w:val="en-US"/>
              </w:rPr>
              <w:t>conducta</w:t>
            </w:r>
            <w:proofErr w:type="spellEnd"/>
          </w:p>
        </w:tc>
        <w:tc>
          <w:tcPr>
            <w:tcW w:w="745" w:type="pct"/>
            <w:tcBorders>
              <w:top w:val="single" w:sz="8" w:space="0" w:color="auto"/>
              <w:left w:val="nil"/>
              <w:bottom w:val="single" w:sz="8" w:space="0" w:color="auto"/>
              <w:right w:val="single" w:sz="4" w:space="0" w:color="auto"/>
            </w:tcBorders>
            <w:shd w:val="clear" w:color="000000" w:fill="F2F2F2"/>
            <w:vAlign w:val="center"/>
            <w:hideMark/>
          </w:tcPr>
          <w:p w14:paraId="2B378CA7"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Reformas de las reglas de procedimiento en SCIE (demandas infundadas, procedimientos múltiples, pérdidas reflejas, reconvención, garantía de cobro de costos, financiación por terceros, interpretación de tratados)</w:t>
            </w:r>
          </w:p>
        </w:tc>
        <w:tc>
          <w:tcPr>
            <w:tcW w:w="422" w:type="pct"/>
            <w:tcBorders>
              <w:top w:val="single" w:sz="8" w:space="0" w:color="auto"/>
              <w:left w:val="nil"/>
              <w:bottom w:val="single" w:sz="8" w:space="0" w:color="auto"/>
              <w:right w:val="single" w:sz="4" w:space="0" w:color="auto"/>
            </w:tcBorders>
            <w:shd w:val="clear" w:color="000000" w:fill="F2F2F2"/>
            <w:vAlign w:val="center"/>
            <w:hideMark/>
          </w:tcPr>
          <w:p w14:paraId="0D1BA5CF"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Centro multilateral de </w:t>
            </w:r>
            <w:proofErr w:type="spellStart"/>
            <w:r w:rsidRPr="00616BD9">
              <w:rPr>
                <w:rFonts w:eastAsia="Times New Roman"/>
                <w:b/>
                <w:bCs/>
                <w:spacing w:val="0"/>
                <w:w w:val="100"/>
                <w:kern w:val="0"/>
                <w:sz w:val="16"/>
                <w:szCs w:val="16"/>
                <w:lang w:val="en-US"/>
              </w:rPr>
              <w:t>asesoramiento</w:t>
            </w:r>
            <w:proofErr w:type="spellEnd"/>
          </w:p>
        </w:tc>
        <w:tc>
          <w:tcPr>
            <w:tcW w:w="412" w:type="pct"/>
            <w:tcBorders>
              <w:top w:val="single" w:sz="8" w:space="0" w:color="auto"/>
              <w:left w:val="nil"/>
              <w:bottom w:val="single" w:sz="8" w:space="0" w:color="auto"/>
              <w:right w:val="single" w:sz="4" w:space="0" w:color="auto"/>
            </w:tcBorders>
            <w:shd w:val="clear" w:color="000000" w:fill="F2F2F2"/>
            <w:vAlign w:val="center"/>
            <w:hideMark/>
          </w:tcPr>
          <w:p w14:paraId="78B4A01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roofErr w:type="spellStart"/>
            <w:r w:rsidRPr="00616BD9">
              <w:rPr>
                <w:rFonts w:eastAsia="Times New Roman"/>
                <w:b/>
                <w:bCs/>
                <w:spacing w:val="0"/>
                <w:w w:val="100"/>
                <w:kern w:val="0"/>
                <w:sz w:val="16"/>
                <w:szCs w:val="16"/>
                <w:lang w:val="en-US"/>
              </w:rPr>
              <w:t>Mecanismo</w:t>
            </w:r>
            <w:proofErr w:type="spellEnd"/>
            <w:r w:rsidRPr="00616BD9">
              <w:rPr>
                <w:rFonts w:eastAsia="Times New Roman"/>
                <w:b/>
                <w:bCs/>
                <w:spacing w:val="0"/>
                <w:w w:val="100"/>
                <w:kern w:val="0"/>
                <w:sz w:val="16"/>
                <w:szCs w:val="16"/>
                <w:lang w:val="en-US"/>
              </w:rPr>
              <w:t xml:space="preserve"> de </w:t>
            </w:r>
            <w:proofErr w:type="spellStart"/>
            <w:r w:rsidRPr="00616BD9">
              <w:rPr>
                <w:rFonts w:eastAsia="Times New Roman"/>
                <w:b/>
                <w:bCs/>
                <w:spacing w:val="0"/>
                <w:w w:val="100"/>
                <w:kern w:val="0"/>
                <w:sz w:val="16"/>
                <w:szCs w:val="16"/>
                <w:lang w:val="en-US"/>
              </w:rPr>
              <w:t>apelación</w:t>
            </w:r>
            <w:proofErr w:type="spellEnd"/>
          </w:p>
        </w:tc>
        <w:tc>
          <w:tcPr>
            <w:tcW w:w="558" w:type="pct"/>
            <w:tcBorders>
              <w:top w:val="single" w:sz="8" w:space="0" w:color="auto"/>
              <w:left w:val="nil"/>
              <w:bottom w:val="single" w:sz="8" w:space="0" w:color="auto"/>
              <w:right w:val="single" w:sz="4" w:space="0" w:color="auto"/>
            </w:tcBorders>
            <w:shd w:val="clear" w:color="000000" w:fill="F2F2F2"/>
            <w:vAlign w:val="center"/>
            <w:hideMark/>
          </w:tcPr>
          <w:p w14:paraId="446E3413"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Tribunal multilateral permanente de inversiones</w:t>
            </w:r>
          </w:p>
        </w:tc>
        <w:tc>
          <w:tcPr>
            <w:tcW w:w="407" w:type="pct"/>
            <w:tcBorders>
              <w:top w:val="single" w:sz="8" w:space="0" w:color="auto"/>
              <w:left w:val="nil"/>
              <w:bottom w:val="single" w:sz="8" w:space="0" w:color="auto"/>
              <w:right w:val="single" w:sz="8" w:space="0" w:color="auto"/>
            </w:tcBorders>
            <w:shd w:val="clear" w:color="000000" w:fill="F2F2F2"/>
            <w:vAlign w:val="center"/>
            <w:hideMark/>
          </w:tcPr>
          <w:p w14:paraId="52D08CDA"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Instrumento multilateral para implementar reformas</w:t>
            </w:r>
          </w:p>
        </w:tc>
        <w:tc>
          <w:tcPr>
            <w:tcW w:w="195" w:type="pct"/>
            <w:tcBorders>
              <w:top w:val="nil"/>
              <w:left w:val="nil"/>
              <w:bottom w:val="nil"/>
              <w:right w:val="nil"/>
            </w:tcBorders>
            <w:shd w:val="clear" w:color="auto" w:fill="auto"/>
            <w:noWrap/>
            <w:vAlign w:val="center"/>
            <w:hideMark/>
          </w:tcPr>
          <w:p w14:paraId="25B859C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6ECD7A9E" w14:textId="77777777" w:rsidTr="007B7419">
        <w:trPr>
          <w:trHeight w:val="540"/>
        </w:trPr>
        <w:tc>
          <w:tcPr>
            <w:tcW w:w="1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45428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2021</w:t>
            </w:r>
          </w:p>
        </w:tc>
        <w:tc>
          <w:tcPr>
            <w:tcW w:w="702" w:type="pct"/>
            <w:tcBorders>
              <w:top w:val="nil"/>
              <w:left w:val="nil"/>
              <w:bottom w:val="single" w:sz="4" w:space="0" w:color="auto"/>
              <w:right w:val="single" w:sz="8" w:space="0" w:color="auto"/>
            </w:tcBorders>
            <w:shd w:val="clear" w:color="000000" w:fill="DDEBF7"/>
            <w:noWrap/>
            <w:vAlign w:val="center"/>
            <w:hideMark/>
          </w:tcPr>
          <w:p w14:paraId="4516C51C" w14:textId="7F55A985"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#40 </w:t>
            </w:r>
          </w:p>
        </w:tc>
        <w:tc>
          <w:tcPr>
            <w:tcW w:w="406" w:type="pct"/>
            <w:tcBorders>
              <w:top w:val="nil"/>
              <w:left w:val="nil"/>
              <w:bottom w:val="single" w:sz="4" w:space="0" w:color="auto"/>
              <w:right w:val="single" w:sz="4" w:space="0" w:color="auto"/>
            </w:tcBorders>
            <w:shd w:val="clear" w:color="000000" w:fill="DDEBF7"/>
            <w:vAlign w:val="center"/>
            <w:hideMark/>
          </w:tcPr>
          <w:p w14:paraId="15948B4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nil"/>
              <w:bottom w:val="single" w:sz="4" w:space="0" w:color="auto"/>
              <w:right w:val="single" w:sz="4" w:space="0" w:color="auto"/>
            </w:tcBorders>
            <w:shd w:val="clear" w:color="000000" w:fill="DDEBF7"/>
            <w:vAlign w:val="center"/>
            <w:hideMark/>
          </w:tcPr>
          <w:p w14:paraId="7EAF0C6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1C7C032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(1 día)</w:t>
            </w:r>
          </w:p>
        </w:tc>
        <w:tc>
          <w:tcPr>
            <w:tcW w:w="745" w:type="pct"/>
            <w:tcBorders>
              <w:top w:val="nil"/>
              <w:left w:val="nil"/>
              <w:bottom w:val="single" w:sz="4" w:space="0" w:color="auto"/>
              <w:right w:val="single" w:sz="4" w:space="0" w:color="auto"/>
            </w:tcBorders>
            <w:shd w:val="clear" w:color="000000" w:fill="DDEBF7"/>
            <w:vAlign w:val="center"/>
            <w:hideMark/>
          </w:tcPr>
          <w:p w14:paraId="5C91649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000000" w:fill="DDEBF7"/>
            <w:vAlign w:val="center"/>
            <w:hideMark/>
          </w:tcPr>
          <w:p w14:paraId="50CD50B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6F9D93F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(2 días)</w:t>
            </w:r>
          </w:p>
        </w:tc>
        <w:tc>
          <w:tcPr>
            <w:tcW w:w="558" w:type="pct"/>
            <w:tcBorders>
              <w:top w:val="nil"/>
              <w:left w:val="nil"/>
              <w:bottom w:val="single" w:sz="4" w:space="0" w:color="auto"/>
              <w:right w:val="single" w:sz="4" w:space="0" w:color="auto"/>
            </w:tcBorders>
            <w:shd w:val="clear" w:color="000000" w:fill="DDEBF7"/>
            <w:noWrap/>
            <w:vAlign w:val="center"/>
            <w:hideMark/>
          </w:tcPr>
          <w:p w14:paraId="0B41E8F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(2 días)</w:t>
            </w:r>
          </w:p>
        </w:tc>
        <w:tc>
          <w:tcPr>
            <w:tcW w:w="407" w:type="pct"/>
            <w:tcBorders>
              <w:top w:val="nil"/>
              <w:left w:val="nil"/>
              <w:bottom w:val="single" w:sz="4" w:space="0" w:color="auto"/>
              <w:right w:val="single" w:sz="8" w:space="0" w:color="auto"/>
            </w:tcBorders>
            <w:shd w:val="clear" w:color="000000" w:fill="DDEBF7"/>
            <w:vAlign w:val="center"/>
            <w:hideMark/>
          </w:tcPr>
          <w:p w14:paraId="7A91E4E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4A064D3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1AE74F8D" w14:textId="77777777" w:rsidTr="007B7419">
        <w:trPr>
          <w:trHeight w:val="878"/>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5BE5E35A"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val="restart"/>
            <w:tcBorders>
              <w:top w:val="nil"/>
              <w:left w:val="single" w:sz="8" w:space="0" w:color="auto"/>
              <w:bottom w:val="single" w:sz="4" w:space="0" w:color="000000"/>
              <w:right w:val="single" w:sz="8" w:space="0" w:color="auto"/>
            </w:tcBorders>
            <w:shd w:val="clear" w:color="auto" w:fill="auto"/>
            <w:vAlign w:val="center"/>
            <w:hideMark/>
          </w:tcPr>
          <w:p w14:paraId="1D4FD98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#40</w:t>
            </w:r>
          </w:p>
        </w:tc>
        <w:tc>
          <w:tcPr>
            <w:tcW w:w="406" w:type="pct"/>
            <w:tcBorders>
              <w:top w:val="nil"/>
              <w:left w:val="nil"/>
              <w:bottom w:val="single" w:sz="4" w:space="0" w:color="auto"/>
              <w:right w:val="single" w:sz="4" w:space="0" w:color="auto"/>
            </w:tcBorders>
            <w:shd w:val="clear" w:color="auto" w:fill="auto"/>
            <w:vAlign w:val="center"/>
            <w:hideMark/>
          </w:tcPr>
          <w:p w14:paraId="1B58BDC0"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367440F2"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24EC67B8"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xml:space="preserve">Otras </w:t>
            </w:r>
            <w:proofErr w:type="gramStart"/>
            <w:r w:rsidRPr="00616BD9">
              <w:rPr>
                <w:rFonts w:eastAsia="Times New Roman"/>
                <w:spacing w:val="0"/>
                <w:w w:val="100"/>
                <w:kern w:val="0"/>
                <w:sz w:val="16"/>
                <w:szCs w:val="16"/>
                <w:lang w:val="es-CL"/>
              </w:rPr>
              <w:t>reuniones  c</w:t>
            </w:r>
            <w:proofErr w:type="gramEnd"/>
            <w:r w:rsidRPr="00616BD9">
              <w:rPr>
                <w:rFonts w:eastAsia="Times New Roman"/>
                <w:spacing w:val="0"/>
                <w:w w:val="100"/>
                <w:kern w:val="0"/>
                <w:sz w:val="16"/>
                <w:szCs w:val="16"/>
                <w:lang w:val="es-CL"/>
              </w:rPr>
              <w:t>/ CIADI (2 días) / Grupo de redacción (2 días)</w:t>
            </w:r>
          </w:p>
        </w:tc>
        <w:tc>
          <w:tcPr>
            <w:tcW w:w="745" w:type="pct"/>
            <w:tcBorders>
              <w:top w:val="nil"/>
              <w:left w:val="nil"/>
              <w:bottom w:val="single" w:sz="4" w:space="0" w:color="auto"/>
              <w:right w:val="single" w:sz="4" w:space="0" w:color="auto"/>
            </w:tcBorders>
            <w:shd w:val="clear" w:color="auto" w:fill="auto"/>
            <w:vAlign w:val="center"/>
            <w:hideMark/>
          </w:tcPr>
          <w:p w14:paraId="1C53D59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OCDE (2 días)</w:t>
            </w:r>
          </w:p>
        </w:tc>
        <w:tc>
          <w:tcPr>
            <w:tcW w:w="422" w:type="pct"/>
            <w:tcBorders>
              <w:top w:val="nil"/>
              <w:left w:val="nil"/>
              <w:bottom w:val="single" w:sz="4" w:space="0" w:color="auto"/>
              <w:right w:val="single" w:sz="4" w:space="0" w:color="auto"/>
            </w:tcBorders>
            <w:shd w:val="clear" w:color="auto" w:fill="auto"/>
            <w:vAlign w:val="center"/>
            <w:hideMark/>
          </w:tcPr>
          <w:p w14:paraId="5735A9D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proofErr w:type="gram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w:t>
            </w:r>
            <w:proofErr w:type="gramEnd"/>
            <w:r w:rsidRPr="00616BD9">
              <w:rPr>
                <w:rFonts w:eastAsia="Times New Roman"/>
                <w:spacing w:val="0"/>
                <w:w w:val="100"/>
                <w:kern w:val="0"/>
                <w:sz w:val="16"/>
                <w:szCs w:val="16"/>
                <w:lang w:val="en-US"/>
              </w:rPr>
              <w:t>5 días)</w:t>
            </w:r>
          </w:p>
        </w:tc>
        <w:tc>
          <w:tcPr>
            <w:tcW w:w="412" w:type="pct"/>
            <w:tcBorders>
              <w:top w:val="nil"/>
              <w:left w:val="nil"/>
              <w:bottom w:val="single" w:sz="4" w:space="0" w:color="auto"/>
              <w:right w:val="single" w:sz="4" w:space="0" w:color="auto"/>
            </w:tcBorders>
            <w:shd w:val="clear" w:color="auto" w:fill="auto"/>
            <w:vAlign w:val="center"/>
            <w:hideMark/>
          </w:tcPr>
          <w:p w14:paraId="40C2835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auto" w:fill="auto"/>
            <w:vAlign w:val="center"/>
            <w:hideMark/>
          </w:tcPr>
          <w:p w14:paraId="0135645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proofErr w:type="gram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w:t>
            </w:r>
            <w:proofErr w:type="gramEnd"/>
            <w:r w:rsidRPr="00616BD9">
              <w:rPr>
                <w:rFonts w:eastAsia="Times New Roman"/>
                <w:spacing w:val="0"/>
                <w:w w:val="100"/>
                <w:kern w:val="0"/>
                <w:sz w:val="16"/>
                <w:szCs w:val="16"/>
                <w:lang w:val="en-US"/>
              </w:rPr>
              <w:t>2 días)</w:t>
            </w:r>
          </w:p>
        </w:tc>
        <w:tc>
          <w:tcPr>
            <w:tcW w:w="407" w:type="pct"/>
            <w:tcBorders>
              <w:top w:val="nil"/>
              <w:left w:val="nil"/>
              <w:bottom w:val="single" w:sz="4" w:space="0" w:color="auto"/>
              <w:right w:val="single" w:sz="8" w:space="0" w:color="auto"/>
            </w:tcBorders>
            <w:shd w:val="clear" w:color="auto" w:fill="auto"/>
            <w:vAlign w:val="center"/>
            <w:hideMark/>
          </w:tcPr>
          <w:p w14:paraId="78573F3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4621D4A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6C029B" w:rsidRPr="00616BD9" w14:paraId="2A16675B" w14:textId="77777777" w:rsidTr="00CC27E3">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36E3A200"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tcBorders>
              <w:top w:val="nil"/>
              <w:left w:val="single" w:sz="8" w:space="0" w:color="auto"/>
              <w:bottom w:val="single" w:sz="4" w:space="0" w:color="000000"/>
              <w:right w:val="single" w:sz="8" w:space="0" w:color="auto"/>
            </w:tcBorders>
            <w:vAlign w:val="center"/>
            <w:hideMark/>
          </w:tcPr>
          <w:p w14:paraId="55CAA24E"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3913" w:type="pct"/>
            <w:gridSpan w:val="8"/>
            <w:tcBorders>
              <w:top w:val="single" w:sz="4" w:space="0" w:color="auto"/>
              <w:left w:val="nil"/>
              <w:bottom w:val="nil"/>
              <w:right w:val="single" w:sz="8" w:space="0" w:color="000000"/>
            </w:tcBorders>
            <w:shd w:val="clear" w:color="000000" w:fill="E2EFDA"/>
            <w:vAlign w:val="center"/>
            <w:hideMark/>
          </w:tcPr>
          <w:p w14:paraId="59C16F0A"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Comisión #54 - Decisión a la solicitud de recursos</w:t>
            </w:r>
          </w:p>
        </w:tc>
        <w:tc>
          <w:tcPr>
            <w:tcW w:w="195" w:type="pct"/>
            <w:tcBorders>
              <w:top w:val="nil"/>
              <w:left w:val="nil"/>
              <w:bottom w:val="nil"/>
              <w:right w:val="nil"/>
            </w:tcBorders>
            <w:shd w:val="clear" w:color="auto" w:fill="auto"/>
            <w:noWrap/>
            <w:vAlign w:val="center"/>
            <w:hideMark/>
          </w:tcPr>
          <w:p w14:paraId="6CCDB144"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2D8E7630" w14:textId="77777777" w:rsidTr="007B7419">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3887C608" w14:textId="77777777" w:rsidR="006C029B" w:rsidRPr="00616BD9" w:rsidRDefault="006C029B" w:rsidP="006C029B">
            <w:pPr>
              <w:suppressAutoHyphens w:val="0"/>
              <w:spacing w:line="240" w:lineRule="auto"/>
              <w:rPr>
                <w:rFonts w:eastAsia="Times New Roman"/>
                <w:b/>
                <w:bCs/>
                <w:spacing w:val="0"/>
                <w:w w:val="100"/>
                <w:kern w:val="0"/>
                <w:sz w:val="16"/>
                <w:szCs w:val="16"/>
                <w:lang w:val="es-CL"/>
              </w:rPr>
            </w:pPr>
          </w:p>
        </w:tc>
        <w:tc>
          <w:tcPr>
            <w:tcW w:w="702" w:type="pct"/>
            <w:tcBorders>
              <w:top w:val="nil"/>
              <w:left w:val="nil"/>
              <w:bottom w:val="single" w:sz="4" w:space="0" w:color="auto"/>
              <w:right w:val="single" w:sz="8" w:space="0" w:color="auto"/>
            </w:tcBorders>
            <w:shd w:val="clear" w:color="000000" w:fill="DDEBF7"/>
            <w:noWrap/>
            <w:vAlign w:val="center"/>
            <w:hideMark/>
          </w:tcPr>
          <w:p w14:paraId="4BC4EEAE" w14:textId="14E70FCB"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#41 </w:t>
            </w:r>
          </w:p>
        </w:tc>
        <w:tc>
          <w:tcPr>
            <w:tcW w:w="406" w:type="pct"/>
            <w:tcBorders>
              <w:top w:val="single" w:sz="4" w:space="0" w:color="auto"/>
              <w:left w:val="nil"/>
              <w:bottom w:val="single" w:sz="4" w:space="0" w:color="auto"/>
              <w:right w:val="single" w:sz="4" w:space="0" w:color="auto"/>
            </w:tcBorders>
            <w:shd w:val="clear" w:color="000000" w:fill="DDEBF7"/>
            <w:vAlign w:val="center"/>
            <w:hideMark/>
          </w:tcPr>
          <w:p w14:paraId="5D0577E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 </w:t>
            </w:r>
          </w:p>
        </w:tc>
        <w:tc>
          <w:tcPr>
            <w:tcW w:w="428" w:type="pct"/>
            <w:tcBorders>
              <w:top w:val="single" w:sz="4" w:space="0" w:color="auto"/>
              <w:left w:val="nil"/>
              <w:bottom w:val="single" w:sz="4" w:space="0" w:color="auto"/>
              <w:right w:val="single" w:sz="4" w:space="0" w:color="auto"/>
            </w:tcBorders>
            <w:shd w:val="clear" w:color="000000" w:fill="DDEBF7"/>
            <w:vAlign w:val="center"/>
            <w:hideMark/>
          </w:tcPr>
          <w:p w14:paraId="35D4D77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4159E8A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745" w:type="pct"/>
            <w:tcBorders>
              <w:top w:val="single" w:sz="4" w:space="0" w:color="auto"/>
              <w:left w:val="nil"/>
              <w:bottom w:val="single" w:sz="4" w:space="0" w:color="auto"/>
              <w:right w:val="single" w:sz="4" w:space="0" w:color="auto"/>
            </w:tcBorders>
            <w:shd w:val="clear" w:color="000000" w:fill="DDEBF7"/>
            <w:vAlign w:val="center"/>
            <w:hideMark/>
          </w:tcPr>
          <w:p w14:paraId="31406B3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0F5E47E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single" w:sz="4" w:space="0" w:color="auto"/>
              <w:left w:val="nil"/>
              <w:bottom w:val="single" w:sz="4" w:space="0" w:color="auto"/>
              <w:right w:val="single" w:sz="4" w:space="0" w:color="auto"/>
            </w:tcBorders>
            <w:shd w:val="clear" w:color="000000" w:fill="DDEBF7"/>
            <w:vAlign w:val="center"/>
            <w:hideMark/>
          </w:tcPr>
          <w:p w14:paraId="2EF8DC0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single" w:sz="4" w:space="0" w:color="auto"/>
              <w:left w:val="nil"/>
              <w:bottom w:val="single" w:sz="4" w:space="0" w:color="auto"/>
              <w:right w:val="single" w:sz="4" w:space="0" w:color="auto"/>
            </w:tcBorders>
            <w:shd w:val="clear" w:color="000000" w:fill="DDEBF7"/>
            <w:vAlign w:val="center"/>
            <w:hideMark/>
          </w:tcPr>
          <w:p w14:paraId="1C1DEF7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single" w:sz="4" w:space="0" w:color="auto"/>
              <w:left w:val="nil"/>
              <w:bottom w:val="single" w:sz="4" w:space="0" w:color="auto"/>
              <w:right w:val="single" w:sz="8" w:space="0" w:color="auto"/>
            </w:tcBorders>
            <w:shd w:val="clear" w:color="000000" w:fill="DDEBF7"/>
            <w:vAlign w:val="center"/>
            <w:hideMark/>
          </w:tcPr>
          <w:p w14:paraId="4378191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7167936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70B4F2A3" w14:textId="77777777" w:rsidTr="007B7419">
        <w:trPr>
          <w:trHeight w:val="126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4D58E9E0"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8" w:space="0" w:color="auto"/>
              <w:right w:val="single" w:sz="8" w:space="0" w:color="auto"/>
            </w:tcBorders>
            <w:shd w:val="clear" w:color="auto" w:fill="auto"/>
            <w:vAlign w:val="center"/>
            <w:hideMark/>
          </w:tcPr>
          <w:p w14:paraId="6711196E"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#41</w:t>
            </w:r>
          </w:p>
        </w:tc>
        <w:tc>
          <w:tcPr>
            <w:tcW w:w="406" w:type="pct"/>
            <w:tcBorders>
              <w:top w:val="nil"/>
              <w:left w:val="nil"/>
              <w:bottom w:val="single" w:sz="8" w:space="0" w:color="auto"/>
              <w:right w:val="single" w:sz="4" w:space="0" w:color="auto"/>
            </w:tcBorders>
            <w:shd w:val="clear" w:color="auto" w:fill="auto"/>
            <w:vAlign w:val="center"/>
            <w:hideMark/>
          </w:tcPr>
          <w:p w14:paraId="16096FC0"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xml:space="preserve">Otras </w:t>
            </w:r>
            <w:proofErr w:type="gramStart"/>
            <w:r w:rsidRPr="00616BD9">
              <w:rPr>
                <w:rFonts w:eastAsia="Times New Roman"/>
                <w:spacing w:val="0"/>
                <w:w w:val="100"/>
                <w:kern w:val="0"/>
                <w:sz w:val="16"/>
                <w:szCs w:val="16"/>
                <w:lang w:val="es-CL"/>
              </w:rPr>
              <w:t>reuniones  (</w:t>
            </w:r>
            <w:proofErr w:type="gramEnd"/>
            <w:r w:rsidRPr="00616BD9">
              <w:rPr>
                <w:rFonts w:eastAsia="Times New Roman"/>
                <w:spacing w:val="0"/>
                <w:w w:val="100"/>
                <w:kern w:val="0"/>
                <w:sz w:val="16"/>
                <w:szCs w:val="16"/>
                <w:lang w:val="es-CL"/>
              </w:rPr>
              <w:t>3 días)/ Reunión entre período de sesiones - HKSAR (2 días)</w:t>
            </w:r>
          </w:p>
        </w:tc>
        <w:tc>
          <w:tcPr>
            <w:tcW w:w="428" w:type="pct"/>
            <w:tcBorders>
              <w:top w:val="nil"/>
              <w:left w:val="nil"/>
              <w:bottom w:val="single" w:sz="8" w:space="0" w:color="auto"/>
              <w:right w:val="single" w:sz="4" w:space="0" w:color="auto"/>
            </w:tcBorders>
            <w:shd w:val="clear" w:color="auto" w:fill="auto"/>
            <w:vAlign w:val="center"/>
            <w:hideMark/>
          </w:tcPr>
          <w:p w14:paraId="0310C39D"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8" w:space="0" w:color="auto"/>
              <w:right w:val="single" w:sz="4" w:space="0" w:color="auto"/>
            </w:tcBorders>
            <w:shd w:val="clear" w:color="auto" w:fill="auto"/>
            <w:vAlign w:val="center"/>
            <w:hideMark/>
          </w:tcPr>
          <w:p w14:paraId="352D0D9E"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8" w:space="0" w:color="auto"/>
              <w:right w:val="single" w:sz="4" w:space="0" w:color="auto"/>
            </w:tcBorders>
            <w:shd w:val="clear" w:color="auto" w:fill="auto"/>
            <w:vAlign w:val="center"/>
            <w:hideMark/>
          </w:tcPr>
          <w:p w14:paraId="1C7026FE"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8" w:space="0" w:color="auto"/>
              <w:right w:val="single" w:sz="4" w:space="0" w:color="auto"/>
            </w:tcBorders>
            <w:shd w:val="clear" w:color="auto" w:fill="auto"/>
            <w:vAlign w:val="center"/>
            <w:hideMark/>
          </w:tcPr>
          <w:p w14:paraId="1594986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(1 día)</w:t>
            </w:r>
          </w:p>
        </w:tc>
        <w:tc>
          <w:tcPr>
            <w:tcW w:w="412" w:type="pct"/>
            <w:tcBorders>
              <w:top w:val="nil"/>
              <w:left w:val="nil"/>
              <w:bottom w:val="single" w:sz="8" w:space="0" w:color="auto"/>
              <w:right w:val="single" w:sz="4" w:space="0" w:color="auto"/>
            </w:tcBorders>
            <w:shd w:val="clear" w:color="auto" w:fill="auto"/>
            <w:vAlign w:val="center"/>
            <w:hideMark/>
          </w:tcPr>
          <w:p w14:paraId="00A818EB" w14:textId="63515046"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 (2 días)</w:t>
            </w:r>
          </w:p>
        </w:tc>
        <w:tc>
          <w:tcPr>
            <w:tcW w:w="558" w:type="pct"/>
            <w:tcBorders>
              <w:top w:val="nil"/>
              <w:left w:val="nil"/>
              <w:bottom w:val="single" w:sz="8" w:space="0" w:color="auto"/>
              <w:right w:val="single" w:sz="4" w:space="0" w:color="auto"/>
            </w:tcBorders>
            <w:shd w:val="clear" w:color="auto" w:fill="auto"/>
            <w:vAlign w:val="center"/>
            <w:hideMark/>
          </w:tcPr>
          <w:p w14:paraId="4BD08CE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proofErr w:type="gramStart"/>
            <w:r w:rsidRPr="00616BD9">
              <w:rPr>
                <w:rFonts w:eastAsia="Times New Roman"/>
                <w:spacing w:val="0"/>
                <w:w w:val="100"/>
                <w:kern w:val="0"/>
                <w:sz w:val="16"/>
                <w:szCs w:val="16"/>
                <w:lang w:val="en-US"/>
              </w:rPr>
              <w:t>redación</w:t>
            </w:r>
            <w:proofErr w:type="spellEnd"/>
            <w:r w:rsidRPr="00616BD9">
              <w:rPr>
                <w:rFonts w:eastAsia="Times New Roman"/>
                <w:spacing w:val="0"/>
                <w:w w:val="100"/>
                <w:kern w:val="0"/>
                <w:sz w:val="16"/>
                <w:szCs w:val="16"/>
                <w:lang w:val="en-US"/>
              </w:rPr>
              <w:t xml:space="preserve">  (</w:t>
            </w:r>
            <w:proofErr w:type="gramEnd"/>
            <w:r w:rsidRPr="00616BD9">
              <w:rPr>
                <w:rFonts w:eastAsia="Times New Roman"/>
                <w:spacing w:val="0"/>
                <w:w w:val="100"/>
                <w:kern w:val="0"/>
                <w:sz w:val="16"/>
                <w:szCs w:val="16"/>
                <w:lang w:val="en-US"/>
              </w:rPr>
              <w:t>2 días)</w:t>
            </w:r>
          </w:p>
        </w:tc>
        <w:tc>
          <w:tcPr>
            <w:tcW w:w="407" w:type="pct"/>
            <w:tcBorders>
              <w:top w:val="nil"/>
              <w:left w:val="nil"/>
              <w:bottom w:val="single" w:sz="8" w:space="0" w:color="auto"/>
              <w:right w:val="single" w:sz="8" w:space="0" w:color="auto"/>
            </w:tcBorders>
            <w:shd w:val="clear" w:color="auto" w:fill="auto"/>
            <w:vAlign w:val="center"/>
            <w:hideMark/>
          </w:tcPr>
          <w:p w14:paraId="1AB9F66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(1 día)</w:t>
            </w:r>
          </w:p>
        </w:tc>
        <w:tc>
          <w:tcPr>
            <w:tcW w:w="195" w:type="pct"/>
            <w:tcBorders>
              <w:top w:val="nil"/>
              <w:left w:val="nil"/>
              <w:bottom w:val="nil"/>
              <w:right w:val="nil"/>
            </w:tcBorders>
            <w:shd w:val="clear" w:color="auto" w:fill="auto"/>
            <w:noWrap/>
            <w:vAlign w:val="center"/>
            <w:hideMark/>
          </w:tcPr>
          <w:p w14:paraId="6B2E77C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08534F0E" w14:textId="77777777" w:rsidTr="007B7419">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CD5B03"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2022</w:t>
            </w:r>
          </w:p>
        </w:tc>
        <w:tc>
          <w:tcPr>
            <w:tcW w:w="702" w:type="pct"/>
            <w:tcBorders>
              <w:top w:val="nil"/>
              <w:left w:val="nil"/>
              <w:bottom w:val="single" w:sz="4" w:space="0" w:color="auto"/>
              <w:right w:val="single" w:sz="8" w:space="0" w:color="auto"/>
            </w:tcBorders>
            <w:shd w:val="clear" w:color="000000" w:fill="DDEBF7"/>
            <w:noWrap/>
            <w:vAlign w:val="center"/>
            <w:hideMark/>
          </w:tcPr>
          <w:p w14:paraId="29296F69" w14:textId="62CAB0A2"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#42</w:t>
            </w:r>
          </w:p>
        </w:tc>
        <w:tc>
          <w:tcPr>
            <w:tcW w:w="406" w:type="pct"/>
            <w:tcBorders>
              <w:top w:val="nil"/>
              <w:left w:val="nil"/>
              <w:bottom w:val="nil"/>
              <w:right w:val="nil"/>
            </w:tcBorders>
            <w:shd w:val="clear" w:color="000000" w:fill="DDEBF7"/>
            <w:noWrap/>
            <w:vAlign w:val="bottom"/>
            <w:hideMark/>
          </w:tcPr>
          <w:p w14:paraId="35A3E982" w14:textId="77777777" w:rsidR="006C029B" w:rsidRPr="00616BD9" w:rsidRDefault="006C029B" w:rsidP="006C029B">
            <w:pPr>
              <w:suppressAutoHyphens w:val="0"/>
              <w:spacing w:line="240" w:lineRule="auto"/>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single" w:sz="4" w:space="0" w:color="auto"/>
              <w:bottom w:val="single" w:sz="4" w:space="0" w:color="auto"/>
              <w:right w:val="single" w:sz="4" w:space="0" w:color="auto"/>
            </w:tcBorders>
            <w:shd w:val="clear" w:color="000000" w:fill="DDEBF7"/>
            <w:vAlign w:val="center"/>
            <w:hideMark/>
          </w:tcPr>
          <w:p w14:paraId="6C41FC5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3A796BF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8" w:space="0" w:color="auto"/>
              <w:left w:val="nil"/>
              <w:bottom w:val="single" w:sz="4" w:space="0" w:color="auto"/>
              <w:right w:val="single" w:sz="4" w:space="0" w:color="auto"/>
            </w:tcBorders>
            <w:shd w:val="clear" w:color="000000" w:fill="DDEBF7"/>
            <w:vAlign w:val="center"/>
            <w:hideMark/>
          </w:tcPr>
          <w:p w14:paraId="5F2FD9F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49C8CC0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w:t>
            </w:r>
          </w:p>
        </w:tc>
        <w:tc>
          <w:tcPr>
            <w:tcW w:w="412" w:type="pct"/>
            <w:tcBorders>
              <w:top w:val="nil"/>
              <w:left w:val="nil"/>
              <w:bottom w:val="single" w:sz="4" w:space="0" w:color="auto"/>
              <w:right w:val="single" w:sz="4" w:space="0" w:color="auto"/>
            </w:tcBorders>
            <w:shd w:val="clear" w:color="000000" w:fill="DDEBF7"/>
            <w:vAlign w:val="center"/>
            <w:hideMark/>
          </w:tcPr>
          <w:p w14:paraId="37478AA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4E9EC9F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407" w:type="pct"/>
            <w:tcBorders>
              <w:top w:val="nil"/>
              <w:left w:val="nil"/>
              <w:bottom w:val="single" w:sz="4" w:space="0" w:color="auto"/>
              <w:right w:val="single" w:sz="8" w:space="0" w:color="auto"/>
            </w:tcBorders>
            <w:shd w:val="clear" w:color="000000" w:fill="DDEBF7"/>
            <w:vAlign w:val="center"/>
            <w:hideMark/>
          </w:tcPr>
          <w:p w14:paraId="3CB5C88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24DB337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0F0E80A7"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F0C7D3C"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auto" w:fill="auto"/>
            <w:vAlign w:val="center"/>
            <w:hideMark/>
          </w:tcPr>
          <w:p w14:paraId="1D2D6CFF"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#42</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2BB326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1289630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(1 día)</w:t>
            </w:r>
          </w:p>
        </w:tc>
        <w:tc>
          <w:tcPr>
            <w:tcW w:w="535" w:type="pct"/>
            <w:tcBorders>
              <w:top w:val="nil"/>
              <w:left w:val="nil"/>
              <w:bottom w:val="single" w:sz="4" w:space="0" w:color="auto"/>
              <w:right w:val="single" w:sz="4" w:space="0" w:color="auto"/>
            </w:tcBorders>
            <w:shd w:val="clear" w:color="auto" w:fill="auto"/>
            <w:vAlign w:val="center"/>
            <w:hideMark/>
          </w:tcPr>
          <w:p w14:paraId="3BA7B8D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auto" w:fill="auto"/>
            <w:vAlign w:val="center"/>
            <w:hideMark/>
          </w:tcPr>
          <w:p w14:paraId="2C6BC32A"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xml:space="preserve">Otras reuniones (1 </w:t>
            </w:r>
            <w:proofErr w:type="gramStart"/>
            <w:r w:rsidRPr="00616BD9">
              <w:rPr>
                <w:rFonts w:eastAsia="Times New Roman"/>
                <w:spacing w:val="0"/>
                <w:w w:val="100"/>
                <w:kern w:val="0"/>
                <w:sz w:val="16"/>
                <w:szCs w:val="16"/>
                <w:lang w:val="es-CL"/>
              </w:rPr>
              <w:t>día)/</w:t>
            </w:r>
            <w:proofErr w:type="gramEnd"/>
            <w:r w:rsidRPr="00616BD9">
              <w:rPr>
                <w:rFonts w:eastAsia="Times New Roman"/>
                <w:spacing w:val="0"/>
                <w:w w:val="100"/>
                <w:kern w:val="0"/>
                <w:sz w:val="16"/>
                <w:szCs w:val="16"/>
                <w:lang w:val="es-CL"/>
              </w:rPr>
              <w:t>Grupo de redacción (2 días)</w:t>
            </w:r>
          </w:p>
        </w:tc>
        <w:tc>
          <w:tcPr>
            <w:tcW w:w="422" w:type="pct"/>
            <w:tcBorders>
              <w:top w:val="nil"/>
              <w:left w:val="nil"/>
              <w:bottom w:val="single" w:sz="4" w:space="0" w:color="auto"/>
              <w:right w:val="single" w:sz="4" w:space="0" w:color="auto"/>
            </w:tcBorders>
            <w:shd w:val="clear" w:color="auto" w:fill="auto"/>
            <w:vAlign w:val="center"/>
            <w:hideMark/>
          </w:tcPr>
          <w:p w14:paraId="3D2AE3AC"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4" w:space="0" w:color="auto"/>
              <w:right w:val="single" w:sz="4" w:space="0" w:color="auto"/>
            </w:tcBorders>
            <w:shd w:val="clear" w:color="auto" w:fill="auto"/>
            <w:vAlign w:val="center"/>
            <w:hideMark/>
          </w:tcPr>
          <w:p w14:paraId="316D06EA"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xml:space="preserve">Reunión entre período de sesiones </w:t>
            </w:r>
            <w:proofErr w:type="gramStart"/>
            <w:r w:rsidRPr="00616BD9">
              <w:rPr>
                <w:rFonts w:eastAsia="Times New Roman"/>
                <w:spacing w:val="0"/>
                <w:w w:val="100"/>
                <w:kern w:val="0"/>
                <w:sz w:val="16"/>
                <w:szCs w:val="16"/>
                <w:lang w:val="es-CL"/>
              </w:rPr>
              <w:t>( 2</w:t>
            </w:r>
            <w:proofErr w:type="gramEnd"/>
            <w:r w:rsidRPr="00616BD9">
              <w:rPr>
                <w:rFonts w:eastAsia="Times New Roman"/>
                <w:spacing w:val="0"/>
                <w:w w:val="100"/>
                <w:kern w:val="0"/>
                <w:sz w:val="16"/>
                <w:szCs w:val="16"/>
                <w:lang w:val="es-CL"/>
              </w:rPr>
              <w:t xml:space="preserve"> días)</w:t>
            </w:r>
          </w:p>
        </w:tc>
        <w:tc>
          <w:tcPr>
            <w:tcW w:w="558" w:type="pct"/>
            <w:tcBorders>
              <w:top w:val="nil"/>
              <w:left w:val="nil"/>
              <w:bottom w:val="single" w:sz="4" w:space="0" w:color="auto"/>
              <w:right w:val="single" w:sz="4" w:space="0" w:color="auto"/>
            </w:tcBorders>
            <w:shd w:val="clear" w:color="auto" w:fill="auto"/>
            <w:vAlign w:val="center"/>
            <w:hideMark/>
          </w:tcPr>
          <w:p w14:paraId="3EAF192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xml:space="preserve">Reunión entre período de sesiones </w:t>
            </w:r>
            <w:proofErr w:type="gramStart"/>
            <w:r w:rsidRPr="00616BD9">
              <w:rPr>
                <w:rFonts w:eastAsia="Times New Roman"/>
                <w:spacing w:val="0"/>
                <w:w w:val="100"/>
                <w:kern w:val="0"/>
                <w:sz w:val="16"/>
                <w:szCs w:val="16"/>
                <w:lang w:val="es-CL"/>
              </w:rPr>
              <w:t>( 2</w:t>
            </w:r>
            <w:proofErr w:type="gramEnd"/>
            <w:r w:rsidRPr="00616BD9">
              <w:rPr>
                <w:rFonts w:eastAsia="Times New Roman"/>
                <w:spacing w:val="0"/>
                <w:w w:val="100"/>
                <w:kern w:val="0"/>
                <w:sz w:val="16"/>
                <w:szCs w:val="16"/>
                <w:lang w:val="es-CL"/>
              </w:rPr>
              <w:t xml:space="preserve"> días)</w:t>
            </w:r>
          </w:p>
        </w:tc>
        <w:tc>
          <w:tcPr>
            <w:tcW w:w="407" w:type="pct"/>
            <w:tcBorders>
              <w:top w:val="nil"/>
              <w:left w:val="nil"/>
              <w:bottom w:val="single" w:sz="4" w:space="0" w:color="auto"/>
              <w:right w:val="single" w:sz="8" w:space="0" w:color="auto"/>
            </w:tcBorders>
            <w:shd w:val="clear" w:color="auto" w:fill="auto"/>
            <w:vAlign w:val="center"/>
            <w:hideMark/>
          </w:tcPr>
          <w:p w14:paraId="5E648DF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(1 día)</w:t>
            </w:r>
          </w:p>
        </w:tc>
        <w:tc>
          <w:tcPr>
            <w:tcW w:w="195" w:type="pct"/>
            <w:tcBorders>
              <w:top w:val="nil"/>
              <w:left w:val="nil"/>
              <w:bottom w:val="nil"/>
              <w:right w:val="nil"/>
            </w:tcBorders>
            <w:shd w:val="clear" w:color="auto" w:fill="auto"/>
            <w:noWrap/>
            <w:vAlign w:val="center"/>
            <w:hideMark/>
          </w:tcPr>
          <w:p w14:paraId="52A7EBD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30F89C97"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A6A4456"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000000" w:fill="DDEBF7"/>
            <w:noWrap/>
            <w:vAlign w:val="center"/>
            <w:hideMark/>
          </w:tcPr>
          <w:p w14:paraId="19CC5D87" w14:textId="189DC3BE"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#43</w:t>
            </w:r>
          </w:p>
        </w:tc>
        <w:tc>
          <w:tcPr>
            <w:tcW w:w="406" w:type="pct"/>
            <w:tcBorders>
              <w:top w:val="nil"/>
              <w:left w:val="nil"/>
              <w:bottom w:val="single" w:sz="4" w:space="0" w:color="auto"/>
              <w:right w:val="single" w:sz="4" w:space="0" w:color="auto"/>
            </w:tcBorders>
            <w:shd w:val="clear" w:color="000000" w:fill="DDEBF7"/>
            <w:vAlign w:val="center"/>
            <w:hideMark/>
          </w:tcPr>
          <w:p w14:paraId="502CC60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w:t>
            </w:r>
          </w:p>
        </w:tc>
        <w:tc>
          <w:tcPr>
            <w:tcW w:w="428" w:type="pct"/>
            <w:tcBorders>
              <w:top w:val="nil"/>
              <w:left w:val="nil"/>
              <w:bottom w:val="single" w:sz="4" w:space="0" w:color="auto"/>
              <w:right w:val="single" w:sz="4" w:space="0" w:color="auto"/>
            </w:tcBorders>
            <w:shd w:val="clear" w:color="000000" w:fill="DDEBF7"/>
            <w:vAlign w:val="center"/>
            <w:hideMark/>
          </w:tcPr>
          <w:p w14:paraId="60B6E1E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6305141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54E0808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422" w:type="pct"/>
            <w:tcBorders>
              <w:top w:val="nil"/>
              <w:left w:val="nil"/>
              <w:bottom w:val="single" w:sz="4" w:space="0" w:color="auto"/>
              <w:right w:val="single" w:sz="4" w:space="0" w:color="auto"/>
            </w:tcBorders>
            <w:shd w:val="clear" w:color="000000" w:fill="DDEBF7"/>
            <w:vAlign w:val="center"/>
            <w:hideMark/>
          </w:tcPr>
          <w:p w14:paraId="43AFDAD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4C6C3AF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6F1FA23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2B9E516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73A58BF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5F51E48C"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C9C1682"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val="restart"/>
            <w:tcBorders>
              <w:top w:val="nil"/>
              <w:left w:val="single" w:sz="8" w:space="0" w:color="auto"/>
              <w:bottom w:val="single" w:sz="4" w:space="0" w:color="000000"/>
              <w:right w:val="single" w:sz="8" w:space="0" w:color="auto"/>
            </w:tcBorders>
            <w:shd w:val="clear" w:color="auto" w:fill="auto"/>
            <w:vAlign w:val="center"/>
            <w:hideMark/>
          </w:tcPr>
          <w:p w14:paraId="1B18684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#43</w:t>
            </w:r>
          </w:p>
        </w:tc>
        <w:tc>
          <w:tcPr>
            <w:tcW w:w="406" w:type="pct"/>
            <w:tcBorders>
              <w:top w:val="single" w:sz="4" w:space="0" w:color="auto"/>
              <w:left w:val="nil"/>
              <w:bottom w:val="single" w:sz="4" w:space="0" w:color="auto"/>
              <w:right w:val="nil"/>
            </w:tcBorders>
            <w:shd w:val="clear" w:color="auto" w:fill="auto"/>
            <w:noWrap/>
            <w:vAlign w:val="bottom"/>
            <w:hideMark/>
          </w:tcPr>
          <w:p w14:paraId="12650040"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p>
        </w:tc>
        <w:tc>
          <w:tcPr>
            <w:tcW w:w="428" w:type="pct"/>
            <w:tcBorders>
              <w:top w:val="nil"/>
              <w:left w:val="single" w:sz="4" w:space="0" w:color="auto"/>
              <w:bottom w:val="single" w:sz="4" w:space="0" w:color="auto"/>
              <w:right w:val="single" w:sz="4" w:space="0" w:color="auto"/>
            </w:tcBorders>
            <w:shd w:val="clear" w:color="auto" w:fill="auto"/>
            <w:vAlign w:val="center"/>
            <w:hideMark/>
          </w:tcPr>
          <w:p w14:paraId="47C76147"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46EBCC51"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5F0A0C0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22" w:type="pct"/>
            <w:tcBorders>
              <w:top w:val="nil"/>
              <w:left w:val="nil"/>
              <w:bottom w:val="single" w:sz="4" w:space="0" w:color="auto"/>
              <w:right w:val="single" w:sz="4" w:space="0" w:color="auto"/>
            </w:tcBorders>
            <w:shd w:val="clear" w:color="auto" w:fill="auto"/>
            <w:vAlign w:val="center"/>
            <w:hideMark/>
          </w:tcPr>
          <w:p w14:paraId="1F7B4E4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(1 día)</w:t>
            </w:r>
          </w:p>
        </w:tc>
        <w:tc>
          <w:tcPr>
            <w:tcW w:w="412" w:type="pct"/>
            <w:tcBorders>
              <w:top w:val="nil"/>
              <w:left w:val="nil"/>
              <w:bottom w:val="single" w:sz="4" w:space="0" w:color="auto"/>
              <w:right w:val="single" w:sz="4" w:space="0" w:color="auto"/>
            </w:tcBorders>
            <w:shd w:val="clear" w:color="auto" w:fill="auto"/>
            <w:vAlign w:val="center"/>
            <w:hideMark/>
          </w:tcPr>
          <w:p w14:paraId="5876609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558" w:type="pct"/>
            <w:tcBorders>
              <w:top w:val="nil"/>
              <w:left w:val="nil"/>
              <w:bottom w:val="single" w:sz="4" w:space="0" w:color="auto"/>
              <w:right w:val="single" w:sz="4" w:space="0" w:color="auto"/>
            </w:tcBorders>
            <w:shd w:val="clear" w:color="auto" w:fill="auto"/>
            <w:vAlign w:val="center"/>
            <w:hideMark/>
          </w:tcPr>
          <w:p w14:paraId="5065660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auto" w:fill="auto"/>
            <w:noWrap/>
            <w:vAlign w:val="bottom"/>
            <w:hideMark/>
          </w:tcPr>
          <w:p w14:paraId="5D0862E6" w14:textId="77777777" w:rsidR="006C029B" w:rsidRPr="00616BD9" w:rsidRDefault="006C029B" w:rsidP="006C029B">
            <w:pPr>
              <w:suppressAutoHyphens w:val="0"/>
              <w:spacing w:line="240" w:lineRule="auto"/>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25C70685" w14:textId="77777777" w:rsidR="006C029B" w:rsidRPr="00616BD9" w:rsidRDefault="006C029B" w:rsidP="006C029B">
            <w:pPr>
              <w:suppressAutoHyphens w:val="0"/>
              <w:spacing w:line="240" w:lineRule="auto"/>
              <w:rPr>
                <w:rFonts w:eastAsia="Times New Roman"/>
                <w:spacing w:val="0"/>
                <w:w w:val="100"/>
                <w:kern w:val="0"/>
                <w:sz w:val="16"/>
                <w:szCs w:val="16"/>
                <w:lang w:val="en-US"/>
              </w:rPr>
            </w:pPr>
          </w:p>
        </w:tc>
      </w:tr>
      <w:tr w:rsidR="006C029B" w:rsidRPr="00616BD9" w14:paraId="4E52CD06" w14:textId="77777777" w:rsidTr="00CC27E3">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3B9AC98"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tcBorders>
              <w:top w:val="nil"/>
              <w:left w:val="single" w:sz="8" w:space="0" w:color="auto"/>
              <w:bottom w:val="single" w:sz="4" w:space="0" w:color="000000"/>
              <w:right w:val="single" w:sz="8" w:space="0" w:color="auto"/>
            </w:tcBorders>
            <w:vAlign w:val="center"/>
            <w:hideMark/>
          </w:tcPr>
          <w:p w14:paraId="651F25F9"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3913" w:type="pct"/>
            <w:gridSpan w:val="8"/>
            <w:tcBorders>
              <w:top w:val="single" w:sz="4" w:space="0" w:color="auto"/>
              <w:left w:val="nil"/>
              <w:bottom w:val="nil"/>
              <w:right w:val="single" w:sz="8" w:space="0" w:color="000000"/>
            </w:tcBorders>
            <w:shd w:val="clear" w:color="000000" w:fill="E2EFDA"/>
            <w:vAlign w:val="center"/>
            <w:hideMark/>
          </w:tcPr>
          <w:p w14:paraId="7700AABA"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Comisión #55 - Aprobación en principio del Código de Conducta</w:t>
            </w:r>
          </w:p>
        </w:tc>
        <w:tc>
          <w:tcPr>
            <w:tcW w:w="195" w:type="pct"/>
            <w:tcBorders>
              <w:top w:val="nil"/>
              <w:left w:val="nil"/>
              <w:bottom w:val="nil"/>
              <w:right w:val="nil"/>
            </w:tcBorders>
            <w:shd w:val="clear" w:color="auto" w:fill="auto"/>
            <w:noWrap/>
            <w:vAlign w:val="center"/>
            <w:hideMark/>
          </w:tcPr>
          <w:p w14:paraId="6FA2A9A3"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15601D1F"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9902DEE" w14:textId="77777777" w:rsidR="006C029B" w:rsidRPr="00616BD9" w:rsidRDefault="006C029B" w:rsidP="006C029B">
            <w:pPr>
              <w:suppressAutoHyphens w:val="0"/>
              <w:spacing w:line="240" w:lineRule="auto"/>
              <w:rPr>
                <w:rFonts w:eastAsia="Times New Roman"/>
                <w:b/>
                <w:bCs/>
                <w:spacing w:val="0"/>
                <w:w w:val="100"/>
                <w:kern w:val="0"/>
                <w:sz w:val="16"/>
                <w:szCs w:val="16"/>
                <w:lang w:val="es-CL"/>
              </w:rPr>
            </w:pPr>
          </w:p>
        </w:tc>
        <w:tc>
          <w:tcPr>
            <w:tcW w:w="702" w:type="pct"/>
            <w:tcBorders>
              <w:top w:val="nil"/>
              <w:left w:val="nil"/>
              <w:bottom w:val="single" w:sz="4" w:space="0" w:color="auto"/>
              <w:right w:val="single" w:sz="8" w:space="0" w:color="auto"/>
            </w:tcBorders>
            <w:shd w:val="clear" w:color="000000" w:fill="DDEBF7"/>
            <w:noWrap/>
            <w:vAlign w:val="center"/>
            <w:hideMark/>
          </w:tcPr>
          <w:p w14:paraId="0B3ED9A2" w14:textId="14555E29"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#44</w:t>
            </w:r>
          </w:p>
        </w:tc>
        <w:tc>
          <w:tcPr>
            <w:tcW w:w="406" w:type="pct"/>
            <w:tcBorders>
              <w:top w:val="single" w:sz="4" w:space="0" w:color="auto"/>
              <w:left w:val="nil"/>
              <w:bottom w:val="single" w:sz="4" w:space="0" w:color="auto"/>
              <w:right w:val="single" w:sz="4" w:space="0" w:color="auto"/>
            </w:tcBorders>
            <w:shd w:val="clear" w:color="000000" w:fill="DDEBF7"/>
            <w:vAlign w:val="center"/>
            <w:hideMark/>
          </w:tcPr>
          <w:p w14:paraId="052FCAF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single" w:sz="4" w:space="0" w:color="auto"/>
              <w:left w:val="nil"/>
              <w:bottom w:val="single" w:sz="4" w:space="0" w:color="auto"/>
              <w:right w:val="single" w:sz="4" w:space="0" w:color="auto"/>
            </w:tcBorders>
            <w:shd w:val="clear" w:color="000000" w:fill="DDEBF7"/>
            <w:vAlign w:val="center"/>
            <w:hideMark/>
          </w:tcPr>
          <w:p w14:paraId="158AE2B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0C275C2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4" w:space="0" w:color="auto"/>
              <w:left w:val="nil"/>
              <w:bottom w:val="single" w:sz="4" w:space="0" w:color="auto"/>
              <w:right w:val="single" w:sz="4" w:space="0" w:color="auto"/>
            </w:tcBorders>
            <w:shd w:val="clear" w:color="000000" w:fill="DDEBF7"/>
            <w:vAlign w:val="center"/>
            <w:hideMark/>
          </w:tcPr>
          <w:p w14:paraId="5D07BC7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0CD692E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single" w:sz="4" w:space="0" w:color="auto"/>
              <w:left w:val="nil"/>
              <w:bottom w:val="single" w:sz="4" w:space="0" w:color="auto"/>
              <w:right w:val="single" w:sz="4" w:space="0" w:color="auto"/>
            </w:tcBorders>
            <w:shd w:val="clear" w:color="000000" w:fill="DDEBF7"/>
            <w:vAlign w:val="center"/>
            <w:hideMark/>
          </w:tcPr>
          <w:p w14:paraId="1ECD6D3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558" w:type="pct"/>
            <w:tcBorders>
              <w:top w:val="single" w:sz="4" w:space="0" w:color="auto"/>
              <w:left w:val="nil"/>
              <w:bottom w:val="single" w:sz="4" w:space="0" w:color="auto"/>
              <w:right w:val="single" w:sz="4" w:space="0" w:color="auto"/>
            </w:tcBorders>
            <w:shd w:val="clear" w:color="000000" w:fill="DDEBF7"/>
            <w:vAlign w:val="center"/>
            <w:hideMark/>
          </w:tcPr>
          <w:p w14:paraId="49E2FE7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single" w:sz="4" w:space="0" w:color="auto"/>
              <w:left w:val="nil"/>
              <w:bottom w:val="single" w:sz="4" w:space="0" w:color="auto"/>
              <w:right w:val="single" w:sz="8" w:space="0" w:color="auto"/>
            </w:tcBorders>
            <w:shd w:val="clear" w:color="000000" w:fill="DDEBF7"/>
            <w:vAlign w:val="center"/>
            <w:hideMark/>
          </w:tcPr>
          <w:p w14:paraId="2449EDC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w:t>
            </w:r>
          </w:p>
        </w:tc>
        <w:tc>
          <w:tcPr>
            <w:tcW w:w="195" w:type="pct"/>
            <w:tcBorders>
              <w:top w:val="nil"/>
              <w:left w:val="nil"/>
              <w:bottom w:val="nil"/>
              <w:right w:val="nil"/>
            </w:tcBorders>
            <w:shd w:val="clear" w:color="auto" w:fill="auto"/>
            <w:noWrap/>
            <w:vAlign w:val="center"/>
            <w:hideMark/>
          </w:tcPr>
          <w:p w14:paraId="4332F7F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22149AA8"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2349E5EF"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auto" w:fill="auto"/>
            <w:vAlign w:val="center"/>
            <w:hideMark/>
          </w:tcPr>
          <w:p w14:paraId="6506DA1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#44</w:t>
            </w:r>
          </w:p>
        </w:tc>
        <w:tc>
          <w:tcPr>
            <w:tcW w:w="406" w:type="pct"/>
            <w:tcBorders>
              <w:top w:val="nil"/>
              <w:left w:val="nil"/>
              <w:bottom w:val="single" w:sz="4" w:space="0" w:color="auto"/>
              <w:right w:val="single" w:sz="4" w:space="0" w:color="auto"/>
            </w:tcBorders>
            <w:shd w:val="clear" w:color="auto" w:fill="auto"/>
            <w:vAlign w:val="center"/>
            <w:hideMark/>
          </w:tcPr>
          <w:p w14:paraId="52E97D2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28" w:type="pct"/>
            <w:tcBorders>
              <w:top w:val="nil"/>
              <w:left w:val="nil"/>
              <w:bottom w:val="single" w:sz="4" w:space="0" w:color="auto"/>
              <w:right w:val="single" w:sz="4" w:space="0" w:color="auto"/>
            </w:tcBorders>
            <w:shd w:val="clear" w:color="auto" w:fill="auto"/>
            <w:vAlign w:val="center"/>
            <w:hideMark/>
          </w:tcPr>
          <w:p w14:paraId="6272D7A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auto" w:fill="auto"/>
            <w:vAlign w:val="center"/>
            <w:hideMark/>
          </w:tcPr>
          <w:p w14:paraId="6AC7C1A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auto" w:fill="auto"/>
            <w:vAlign w:val="center"/>
            <w:hideMark/>
          </w:tcPr>
          <w:p w14:paraId="0C5D5FB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22" w:type="pct"/>
            <w:tcBorders>
              <w:top w:val="nil"/>
              <w:left w:val="nil"/>
              <w:bottom w:val="single" w:sz="4" w:space="0" w:color="auto"/>
              <w:right w:val="single" w:sz="4" w:space="0" w:color="auto"/>
            </w:tcBorders>
            <w:shd w:val="clear" w:color="auto" w:fill="auto"/>
            <w:vAlign w:val="center"/>
            <w:hideMark/>
          </w:tcPr>
          <w:p w14:paraId="752EAC8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auto" w:fill="auto"/>
            <w:vAlign w:val="center"/>
            <w:hideMark/>
          </w:tcPr>
          <w:p w14:paraId="1A9C985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auto" w:fill="auto"/>
            <w:vAlign w:val="center"/>
            <w:hideMark/>
          </w:tcPr>
          <w:p w14:paraId="048D4CE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07" w:type="pct"/>
            <w:tcBorders>
              <w:top w:val="nil"/>
              <w:left w:val="nil"/>
              <w:bottom w:val="single" w:sz="4" w:space="0" w:color="auto"/>
              <w:right w:val="single" w:sz="8" w:space="0" w:color="auto"/>
            </w:tcBorders>
            <w:shd w:val="clear" w:color="auto" w:fill="auto"/>
            <w:vAlign w:val="center"/>
            <w:hideMark/>
          </w:tcPr>
          <w:p w14:paraId="3BCBE0B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1779433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0C8A91E9"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B7DD44F"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000000" w:fill="DDEBF7"/>
            <w:noWrap/>
            <w:vAlign w:val="center"/>
            <w:hideMark/>
          </w:tcPr>
          <w:p w14:paraId="754693CB" w14:textId="2A0A14B3"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#45</w:t>
            </w:r>
          </w:p>
        </w:tc>
        <w:tc>
          <w:tcPr>
            <w:tcW w:w="406" w:type="pct"/>
            <w:tcBorders>
              <w:top w:val="nil"/>
              <w:left w:val="nil"/>
              <w:bottom w:val="single" w:sz="4" w:space="0" w:color="auto"/>
              <w:right w:val="single" w:sz="4" w:space="0" w:color="auto"/>
            </w:tcBorders>
            <w:shd w:val="clear" w:color="000000" w:fill="DDEBF7"/>
            <w:vAlign w:val="center"/>
            <w:hideMark/>
          </w:tcPr>
          <w:p w14:paraId="2FA0BC5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(2 días)</w:t>
            </w:r>
          </w:p>
        </w:tc>
        <w:tc>
          <w:tcPr>
            <w:tcW w:w="428" w:type="pct"/>
            <w:tcBorders>
              <w:top w:val="nil"/>
              <w:left w:val="nil"/>
              <w:bottom w:val="single" w:sz="4" w:space="0" w:color="auto"/>
              <w:right w:val="single" w:sz="4" w:space="0" w:color="auto"/>
            </w:tcBorders>
            <w:shd w:val="clear" w:color="000000" w:fill="DDEBF7"/>
            <w:vAlign w:val="center"/>
            <w:hideMark/>
          </w:tcPr>
          <w:p w14:paraId="44656D1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0216899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35A7FF0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continuación</w:t>
            </w:r>
            <w:proofErr w:type="spellEnd"/>
            <w:r w:rsidRPr="00616BD9">
              <w:rPr>
                <w:rFonts w:eastAsia="Times New Roman"/>
                <w:spacing w:val="0"/>
                <w:w w:val="100"/>
                <w:kern w:val="0"/>
                <w:sz w:val="16"/>
                <w:szCs w:val="16"/>
                <w:lang w:val="en-US"/>
              </w:rPr>
              <w:t>) (2 días)</w:t>
            </w:r>
          </w:p>
        </w:tc>
        <w:tc>
          <w:tcPr>
            <w:tcW w:w="422" w:type="pct"/>
            <w:tcBorders>
              <w:top w:val="nil"/>
              <w:left w:val="nil"/>
              <w:bottom w:val="single" w:sz="4" w:space="0" w:color="auto"/>
              <w:right w:val="single" w:sz="4" w:space="0" w:color="auto"/>
            </w:tcBorders>
            <w:shd w:val="clear" w:color="000000" w:fill="DDEBF7"/>
            <w:vAlign w:val="center"/>
            <w:hideMark/>
          </w:tcPr>
          <w:p w14:paraId="08EE8AD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4251B49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538A1E8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74C2362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59A43B7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5A2172DE"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B0C6246"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8" w:space="0" w:color="auto"/>
              <w:right w:val="single" w:sz="8" w:space="0" w:color="auto"/>
            </w:tcBorders>
            <w:shd w:val="clear" w:color="auto" w:fill="auto"/>
            <w:vAlign w:val="center"/>
            <w:hideMark/>
          </w:tcPr>
          <w:p w14:paraId="6522EDF8"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#45</w:t>
            </w:r>
          </w:p>
        </w:tc>
        <w:tc>
          <w:tcPr>
            <w:tcW w:w="406" w:type="pct"/>
            <w:tcBorders>
              <w:top w:val="nil"/>
              <w:left w:val="nil"/>
              <w:bottom w:val="single" w:sz="8" w:space="0" w:color="auto"/>
              <w:right w:val="single" w:sz="4" w:space="0" w:color="auto"/>
            </w:tcBorders>
            <w:shd w:val="clear" w:color="auto" w:fill="auto"/>
            <w:vAlign w:val="center"/>
            <w:hideMark/>
          </w:tcPr>
          <w:p w14:paraId="08103B6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28" w:type="pct"/>
            <w:tcBorders>
              <w:top w:val="nil"/>
              <w:left w:val="nil"/>
              <w:bottom w:val="single" w:sz="8" w:space="0" w:color="auto"/>
              <w:right w:val="single" w:sz="4" w:space="0" w:color="auto"/>
            </w:tcBorders>
            <w:shd w:val="clear" w:color="auto" w:fill="auto"/>
            <w:vAlign w:val="center"/>
            <w:hideMark/>
          </w:tcPr>
          <w:p w14:paraId="71C4B9D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Otras</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reuniones</w:t>
            </w:r>
            <w:proofErr w:type="spellEnd"/>
            <w:r w:rsidRPr="00616BD9">
              <w:rPr>
                <w:rFonts w:eastAsia="Times New Roman"/>
                <w:spacing w:val="0"/>
                <w:w w:val="100"/>
                <w:kern w:val="0"/>
                <w:sz w:val="16"/>
                <w:szCs w:val="16"/>
                <w:lang w:val="en-US"/>
              </w:rPr>
              <w:t xml:space="preserve"> (1 día)</w:t>
            </w:r>
          </w:p>
        </w:tc>
        <w:tc>
          <w:tcPr>
            <w:tcW w:w="535" w:type="pct"/>
            <w:tcBorders>
              <w:top w:val="nil"/>
              <w:left w:val="nil"/>
              <w:bottom w:val="single" w:sz="8" w:space="0" w:color="auto"/>
              <w:right w:val="single" w:sz="4" w:space="0" w:color="auto"/>
            </w:tcBorders>
            <w:shd w:val="clear" w:color="auto" w:fill="auto"/>
            <w:vAlign w:val="center"/>
            <w:hideMark/>
          </w:tcPr>
          <w:p w14:paraId="231B110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8" w:space="0" w:color="auto"/>
              <w:right w:val="single" w:sz="4" w:space="0" w:color="auto"/>
            </w:tcBorders>
            <w:shd w:val="clear" w:color="auto" w:fill="auto"/>
            <w:vAlign w:val="center"/>
            <w:hideMark/>
          </w:tcPr>
          <w:p w14:paraId="606906C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22" w:type="pct"/>
            <w:tcBorders>
              <w:top w:val="nil"/>
              <w:left w:val="nil"/>
              <w:bottom w:val="single" w:sz="8" w:space="0" w:color="auto"/>
              <w:right w:val="single" w:sz="4" w:space="0" w:color="auto"/>
            </w:tcBorders>
            <w:shd w:val="clear" w:color="auto" w:fill="auto"/>
            <w:vAlign w:val="center"/>
            <w:hideMark/>
          </w:tcPr>
          <w:p w14:paraId="38367E0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8" w:space="0" w:color="auto"/>
              <w:right w:val="single" w:sz="4" w:space="0" w:color="auto"/>
            </w:tcBorders>
            <w:shd w:val="clear" w:color="auto" w:fill="auto"/>
            <w:vAlign w:val="center"/>
            <w:hideMark/>
          </w:tcPr>
          <w:p w14:paraId="1D8CA13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558" w:type="pct"/>
            <w:tcBorders>
              <w:top w:val="nil"/>
              <w:left w:val="nil"/>
              <w:bottom w:val="single" w:sz="8" w:space="0" w:color="auto"/>
              <w:right w:val="single" w:sz="4" w:space="0" w:color="auto"/>
            </w:tcBorders>
            <w:shd w:val="clear" w:color="auto" w:fill="auto"/>
            <w:vAlign w:val="center"/>
            <w:hideMark/>
          </w:tcPr>
          <w:p w14:paraId="37108A7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8" w:space="0" w:color="auto"/>
              <w:right w:val="single" w:sz="8" w:space="0" w:color="auto"/>
            </w:tcBorders>
            <w:shd w:val="clear" w:color="auto" w:fill="auto"/>
            <w:vAlign w:val="center"/>
            <w:hideMark/>
          </w:tcPr>
          <w:p w14:paraId="109C39B8"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Reunión entre período de sesiones (2 días)</w:t>
            </w:r>
          </w:p>
        </w:tc>
        <w:tc>
          <w:tcPr>
            <w:tcW w:w="195" w:type="pct"/>
            <w:tcBorders>
              <w:top w:val="nil"/>
              <w:left w:val="nil"/>
              <w:bottom w:val="nil"/>
              <w:right w:val="nil"/>
            </w:tcBorders>
            <w:shd w:val="clear" w:color="auto" w:fill="auto"/>
            <w:noWrap/>
            <w:vAlign w:val="center"/>
            <w:hideMark/>
          </w:tcPr>
          <w:p w14:paraId="545EF673"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r>
      <w:tr w:rsidR="00CC27E3" w:rsidRPr="00616BD9" w14:paraId="1E5697AA" w14:textId="77777777" w:rsidTr="007B7419">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040875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2023</w:t>
            </w:r>
          </w:p>
        </w:tc>
        <w:tc>
          <w:tcPr>
            <w:tcW w:w="702" w:type="pct"/>
            <w:tcBorders>
              <w:top w:val="nil"/>
              <w:left w:val="nil"/>
              <w:bottom w:val="single" w:sz="4" w:space="0" w:color="auto"/>
              <w:right w:val="single" w:sz="8" w:space="0" w:color="auto"/>
            </w:tcBorders>
            <w:shd w:val="clear" w:color="000000" w:fill="DDEBF7"/>
            <w:noWrap/>
            <w:vAlign w:val="center"/>
            <w:hideMark/>
          </w:tcPr>
          <w:p w14:paraId="5695D70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#46</w:t>
            </w:r>
          </w:p>
        </w:tc>
        <w:tc>
          <w:tcPr>
            <w:tcW w:w="406" w:type="pct"/>
            <w:tcBorders>
              <w:top w:val="single" w:sz="4" w:space="0" w:color="auto"/>
              <w:left w:val="nil"/>
              <w:bottom w:val="single" w:sz="4" w:space="0" w:color="auto"/>
              <w:right w:val="single" w:sz="4" w:space="0" w:color="auto"/>
            </w:tcBorders>
            <w:shd w:val="clear" w:color="000000" w:fill="DDEBF7"/>
            <w:vAlign w:val="center"/>
            <w:hideMark/>
          </w:tcPr>
          <w:p w14:paraId="4D66CBA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(2 días)</w:t>
            </w:r>
          </w:p>
        </w:tc>
        <w:tc>
          <w:tcPr>
            <w:tcW w:w="428" w:type="pct"/>
            <w:tcBorders>
              <w:top w:val="nil"/>
              <w:left w:val="nil"/>
              <w:bottom w:val="single" w:sz="4" w:space="0" w:color="auto"/>
              <w:right w:val="single" w:sz="4" w:space="0" w:color="auto"/>
            </w:tcBorders>
            <w:shd w:val="clear" w:color="000000" w:fill="DDEBF7"/>
            <w:vAlign w:val="center"/>
            <w:hideMark/>
          </w:tcPr>
          <w:p w14:paraId="7B9FDAF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3EA1693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8" w:space="0" w:color="auto"/>
              <w:left w:val="nil"/>
              <w:bottom w:val="single" w:sz="4" w:space="0" w:color="auto"/>
              <w:right w:val="single" w:sz="4" w:space="0" w:color="auto"/>
            </w:tcBorders>
            <w:shd w:val="clear" w:color="000000" w:fill="DDEBF7"/>
            <w:vAlign w:val="center"/>
            <w:hideMark/>
          </w:tcPr>
          <w:p w14:paraId="514E312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000000" w:fill="DDEBF7"/>
            <w:vAlign w:val="center"/>
            <w:hideMark/>
          </w:tcPr>
          <w:p w14:paraId="3FBFAA2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(2 días)</w:t>
            </w:r>
          </w:p>
        </w:tc>
        <w:tc>
          <w:tcPr>
            <w:tcW w:w="412" w:type="pct"/>
            <w:tcBorders>
              <w:top w:val="nil"/>
              <w:left w:val="nil"/>
              <w:bottom w:val="single" w:sz="4" w:space="0" w:color="auto"/>
              <w:right w:val="single" w:sz="4" w:space="0" w:color="auto"/>
            </w:tcBorders>
            <w:shd w:val="clear" w:color="000000" w:fill="DDEBF7"/>
            <w:vAlign w:val="center"/>
            <w:hideMark/>
          </w:tcPr>
          <w:p w14:paraId="36EED0D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02CD9C1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24E9369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21DFB60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6A42839F"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B0510EC"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auto" w:fill="auto"/>
            <w:vAlign w:val="center"/>
            <w:hideMark/>
          </w:tcPr>
          <w:p w14:paraId="0C672878"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#46</w:t>
            </w:r>
          </w:p>
        </w:tc>
        <w:tc>
          <w:tcPr>
            <w:tcW w:w="406" w:type="pct"/>
            <w:tcBorders>
              <w:top w:val="nil"/>
              <w:left w:val="nil"/>
              <w:bottom w:val="single" w:sz="4" w:space="0" w:color="auto"/>
              <w:right w:val="single" w:sz="4" w:space="0" w:color="auto"/>
            </w:tcBorders>
            <w:shd w:val="clear" w:color="auto" w:fill="auto"/>
            <w:vAlign w:val="center"/>
            <w:hideMark/>
          </w:tcPr>
          <w:p w14:paraId="6C884B73"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43C35C09"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38AE966B"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1CCD55D9"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4" w:space="0" w:color="auto"/>
              <w:right w:val="single" w:sz="4" w:space="0" w:color="auto"/>
            </w:tcBorders>
            <w:shd w:val="clear" w:color="auto" w:fill="auto"/>
            <w:vAlign w:val="center"/>
            <w:hideMark/>
          </w:tcPr>
          <w:p w14:paraId="0C632A8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12" w:type="pct"/>
            <w:tcBorders>
              <w:top w:val="nil"/>
              <w:left w:val="nil"/>
              <w:bottom w:val="single" w:sz="4" w:space="0" w:color="auto"/>
              <w:right w:val="single" w:sz="4" w:space="0" w:color="auto"/>
            </w:tcBorders>
            <w:shd w:val="clear" w:color="auto" w:fill="auto"/>
            <w:vAlign w:val="center"/>
            <w:hideMark/>
          </w:tcPr>
          <w:p w14:paraId="5363DFA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auto" w:fill="auto"/>
            <w:vAlign w:val="center"/>
            <w:hideMark/>
          </w:tcPr>
          <w:p w14:paraId="3986E1C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auto" w:fill="auto"/>
            <w:vAlign w:val="center"/>
            <w:hideMark/>
          </w:tcPr>
          <w:p w14:paraId="068F80C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4A4C401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1B86258C"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4C0547D"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000000" w:fill="DDEBF7"/>
            <w:noWrap/>
            <w:vAlign w:val="center"/>
            <w:hideMark/>
          </w:tcPr>
          <w:p w14:paraId="3175FE34"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#47</w:t>
            </w:r>
          </w:p>
        </w:tc>
        <w:tc>
          <w:tcPr>
            <w:tcW w:w="406" w:type="pct"/>
            <w:tcBorders>
              <w:top w:val="nil"/>
              <w:left w:val="nil"/>
              <w:bottom w:val="single" w:sz="4" w:space="0" w:color="auto"/>
              <w:right w:val="single" w:sz="4" w:space="0" w:color="auto"/>
            </w:tcBorders>
            <w:shd w:val="clear" w:color="000000" w:fill="DDEBF7"/>
            <w:vAlign w:val="center"/>
            <w:hideMark/>
          </w:tcPr>
          <w:p w14:paraId="16A5CC9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nil"/>
              <w:bottom w:val="single" w:sz="4" w:space="0" w:color="auto"/>
              <w:right w:val="single" w:sz="4" w:space="0" w:color="auto"/>
            </w:tcBorders>
            <w:shd w:val="clear" w:color="000000" w:fill="DDEBF7"/>
            <w:vAlign w:val="center"/>
            <w:hideMark/>
          </w:tcPr>
          <w:p w14:paraId="71A74D9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w:t>
            </w:r>
          </w:p>
        </w:tc>
        <w:tc>
          <w:tcPr>
            <w:tcW w:w="535" w:type="pct"/>
            <w:tcBorders>
              <w:top w:val="nil"/>
              <w:left w:val="nil"/>
              <w:bottom w:val="single" w:sz="4" w:space="0" w:color="auto"/>
              <w:right w:val="single" w:sz="4" w:space="0" w:color="auto"/>
            </w:tcBorders>
            <w:shd w:val="clear" w:color="000000" w:fill="DDEBF7"/>
            <w:vAlign w:val="center"/>
            <w:hideMark/>
          </w:tcPr>
          <w:p w14:paraId="3A58A0A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7517F7D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422" w:type="pct"/>
            <w:tcBorders>
              <w:top w:val="nil"/>
              <w:left w:val="nil"/>
              <w:bottom w:val="single" w:sz="4" w:space="0" w:color="auto"/>
              <w:right w:val="single" w:sz="4" w:space="0" w:color="auto"/>
            </w:tcBorders>
            <w:shd w:val="clear" w:color="000000" w:fill="DDEBF7"/>
            <w:vAlign w:val="center"/>
            <w:hideMark/>
          </w:tcPr>
          <w:p w14:paraId="338ADBE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7122F1C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64A2365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3E0C43F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7797F45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34E9BF70"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45B214A"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val="restart"/>
            <w:tcBorders>
              <w:top w:val="nil"/>
              <w:left w:val="single" w:sz="8" w:space="0" w:color="auto"/>
              <w:bottom w:val="single" w:sz="4" w:space="0" w:color="000000"/>
              <w:right w:val="single" w:sz="8" w:space="0" w:color="auto"/>
            </w:tcBorders>
            <w:shd w:val="clear" w:color="auto" w:fill="auto"/>
            <w:vAlign w:val="center"/>
            <w:hideMark/>
          </w:tcPr>
          <w:p w14:paraId="3718B48D" w14:textId="3381F52E"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w:t>
            </w:r>
            <w:r w:rsidR="007B7419" w:rsidRPr="00616BD9">
              <w:rPr>
                <w:rFonts w:eastAsia="Times New Roman"/>
                <w:b/>
                <w:bCs/>
                <w:spacing w:val="0"/>
                <w:w w:val="100"/>
                <w:kern w:val="0"/>
                <w:sz w:val="16"/>
                <w:szCs w:val="16"/>
                <w:lang w:val="es-CL"/>
              </w:rPr>
              <w:t xml:space="preserve"> </w:t>
            </w:r>
            <w:r w:rsidRPr="00616BD9">
              <w:rPr>
                <w:rFonts w:eastAsia="Times New Roman"/>
                <w:b/>
                <w:bCs/>
                <w:spacing w:val="0"/>
                <w:w w:val="100"/>
                <w:kern w:val="0"/>
                <w:sz w:val="16"/>
                <w:szCs w:val="16"/>
                <w:lang w:val="es-CL"/>
              </w:rPr>
              <w:t>#47</w:t>
            </w:r>
          </w:p>
        </w:tc>
        <w:tc>
          <w:tcPr>
            <w:tcW w:w="406" w:type="pct"/>
            <w:tcBorders>
              <w:top w:val="nil"/>
              <w:left w:val="nil"/>
              <w:bottom w:val="single" w:sz="4" w:space="0" w:color="auto"/>
              <w:right w:val="single" w:sz="4" w:space="0" w:color="auto"/>
            </w:tcBorders>
            <w:shd w:val="clear" w:color="auto" w:fill="auto"/>
            <w:vAlign w:val="center"/>
            <w:hideMark/>
          </w:tcPr>
          <w:p w14:paraId="49D3668E"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4E122D8D"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2A6A5D81"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4D91EB30"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4" w:space="0" w:color="auto"/>
              <w:right w:val="single" w:sz="4" w:space="0" w:color="auto"/>
            </w:tcBorders>
            <w:shd w:val="clear" w:color="auto" w:fill="auto"/>
            <w:vAlign w:val="center"/>
            <w:hideMark/>
          </w:tcPr>
          <w:p w14:paraId="71F87BA8"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4" w:space="0" w:color="auto"/>
              <w:right w:val="single" w:sz="4" w:space="0" w:color="auto"/>
            </w:tcBorders>
            <w:shd w:val="clear" w:color="auto" w:fill="auto"/>
            <w:vAlign w:val="center"/>
            <w:hideMark/>
          </w:tcPr>
          <w:p w14:paraId="64ACD97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558" w:type="pct"/>
            <w:tcBorders>
              <w:top w:val="nil"/>
              <w:left w:val="nil"/>
              <w:bottom w:val="single" w:sz="4" w:space="0" w:color="auto"/>
              <w:right w:val="single" w:sz="4" w:space="0" w:color="auto"/>
            </w:tcBorders>
            <w:shd w:val="clear" w:color="auto" w:fill="auto"/>
            <w:vAlign w:val="center"/>
            <w:hideMark/>
          </w:tcPr>
          <w:p w14:paraId="561F606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407" w:type="pct"/>
            <w:tcBorders>
              <w:top w:val="nil"/>
              <w:left w:val="nil"/>
              <w:bottom w:val="single" w:sz="4" w:space="0" w:color="auto"/>
              <w:right w:val="single" w:sz="8" w:space="0" w:color="auto"/>
            </w:tcBorders>
            <w:shd w:val="clear" w:color="auto" w:fill="auto"/>
            <w:vAlign w:val="center"/>
            <w:hideMark/>
          </w:tcPr>
          <w:p w14:paraId="0CC235C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1195A50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6C029B" w:rsidRPr="00616BD9" w14:paraId="7AD59BD8" w14:textId="77777777" w:rsidTr="00CC27E3">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661EBC1"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vMerge/>
            <w:tcBorders>
              <w:top w:val="nil"/>
              <w:left w:val="single" w:sz="8" w:space="0" w:color="auto"/>
              <w:bottom w:val="single" w:sz="4" w:space="0" w:color="000000"/>
              <w:right w:val="single" w:sz="8" w:space="0" w:color="auto"/>
            </w:tcBorders>
            <w:vAlign w:val="center"/>
            <w:hideMark/>
          </w:tcPr>
          <w:p w14:paraId="759E0A33"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3913" w:type="pct"/>
            <w:gridSpan w:val="8"/>
            <w:tcBorders>
              <w:top w:val="single" w:sz="4" w:space="0" w:color="auto"/>
              <w:left w:val="nil"/>
              <w:bottom w:val="nil"/>
              <w:right w:val="single" w:sz="8" w:space="0" w:color="000000"/>
            </w:tcBorders>
            <w:shd w:val="clear" w:color="000000" w:fill="E2EFDA"/>
            <w:vAlign w:val="center"/>
            <w:hideMark/>
          </w:tcPr>
          <w:p w14:paraId="4AFA447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Comisión #56 - Aprobación en principio de las Reformas de las reglas de procedimiento en SCIE y Medios alternativos de solución de controversias: Mecanismos y prevención de controversias.</w:t>
            </w:r>
          </w:p>
        </w:tc>
        <w:tc>
          <w:tcPr>
            <w:tcW w:w="195" w:type="pct"/>
            <w:tcBorders>
              <w:top w:val="nil"/>
              <w:left w:val="nil"/>
              <w:bottom w:val="nil"/>
              <w:right w:val="nil"/>
            </w:tcBorders>
            <w:shd w:val="clear" w:color="auto" w:fill="auto"/>
            <w:vAlign w:val="center"/>
            <w:hideMark/>
          </w:tcPr>
          <w:p w14:paraId="7E22098F"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4ACB4CEB"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FC8B90F" w14:textId="77777777" w:rsidR="006C029B" w:rsidRPr="00616BD9" w:rsidRDefault="006C029B" w:rsidP="006C029B">
            <w:pPr>
              <w:suppressAutoHyphens w:val="0"/>
              <w:spacing w:line="240" w:lineRule="auto"/>
              <w:rPr>
                <w:rFonts w:eastAsia="Times New Roman"/>
                <w:b/>
                <w:bCs/>
                <w:spacing w:val="0"/>
                <w:w w:val="100"/>
                <w:kern w:val="0"/>
                <w:sz w:val="16"/>
                <w:szCs w:val="16"/>
                <w:lang w:val="es-CL"/>
              </w:rPr>
            </w:pPr>
          </w:p>
        </w:tc>
        <w:tc>
          <w:tcPr>
            <w:tcW w:w="702" w:type="pct"/>
            <w:tcBorders>
              <w:top w:val="nil"/>
              <w:left w:val="nil"/>
              <w:bottom w:val="single" w:sz="4" w:space="0" w:color="auto"/>
              <w:right w:val="single" w:sz="8" w:space="0" w:color="auto"/>
            </w:tcBorders>
            <w:shd w:val="clear" w:color="000000" w:fill="DDEBF7"/>
            <w:noWrap/>
            <w:vAlign w:val="center"/>
            <w:hideMark/>
          </w:tcPr>
          <w:p w14:paraId="02705D94" w14:textId="1BA7AFAB"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#48</w:t>
            </w:r>
          </w:p>
        </w:tc>
        <w:tc>
          <w:tcPr>
            <w:tcW w:w="406" w:type="pct"/>
            <w:tcBorders>
              <w:top w:val="single" w:sz="4" w:space="0" w:color="auto"/>
              <w:left w:val="nil"/>
              <w:bottom w:val="single" w:sz="4" w:space="0" w:color="auto"/>
              <w:right w:val="single" w:sz="4" w:space="0" w:color="auto"/>
            </w:tcBorders>
            <w:shd w:val="clear" w:color="000000" w:fill="DDEBF7"/>
            <w:vAlign w:val="center"/>
            <w:hideMark/>
          </w:tcPr>
          <w:p w14:paraId="2BC2A44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single" w:sz="4" w:space="0" w:color="auto"/>
              <w:left w:val="nil"/>
              <w:bottom w:val="single" w:sz="4" w:space="0" w:color="auto"/>
              <w:right w:val="single" w:sz="4" w:space="0" w:color="auto"/>
            </w:tcBorders>
            <w:shd w:val="clear" w:color="000000" w:fill="DDEBF7"/>
            <w:vAlign w:val="center"/>
            <w:hideMark/>
          </w:tcPr>
          <w:p w14:paraId="6523E88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2D9CFD4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4" w:space="0" w:color="auto"/>
              <w:left w:val="nil"/>
              <w:bottom w:val="single" w:sz="4" w:space="0" w:color="auto"/>
              <w:right w:val="single" w:sz="4" w:space="0" w:color="auto"/>
            </w:tcBorders>
            <w:shd w:val="clear" w:color="000000" w:fill="DDEBF7"/>
            <w:vAlign w:val="center"/>
            <w:hideMark/>
          </w:tcPr>
          <w:p w14:paraId="7AAE66E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0FADEC3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single" w:sz="4" w:space="0" w:color="auto"/>
              <w:left w:val="nil"/>
              <w:bottom w:val="single" w:sz="4" w:space="0" w:color="auto"/>
              <w:right w:val="single" w:sz="4" w:space="0" w:color="auto"/>
            </w:tcBorders>
            <w:shd w:val="clear" w:color="000000" w:fill="DDEBF7"/>
            <w:vAlign w:val="center"/>
            <w:hideMark/>
          </w:tcPr>
          <w:p w14:paraId="1E4C5E4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Reglas</w:t>
            </w:r>
            <w:proofErr w:type="spellEnd"/>
            <w:r w:rsidRPr="00616BD9">
              <w:rPr>
                <w:rFonts w:eastAsia="Times New Roman"/>
                <w:spacing w:val="0"/>
                <w:w w:val="100"/>
                <w:kern w:val="0"/>
                <w:sz w:val="16"/>
                <w:szCs w:val="16"/>
                <w:lang w:val="en-US"/>
              </w:rPr>
              <w:t xml:space="preserve"> de </w:t>
            </w:r>
            <w:proofErr w:type="spellStart"/>
            <w:r w:rsidRPr="00616BD9">
              <w:rPr>
                <w:rFonts w:eastAsia="Times New Roman"/>
                <w:spacing w:val="0"/>
                <w:w w:val="100"/>
                <w:kern w:val="0"/>
                <w:sz w:val="16"/>
                <w:szCs w:val="16"/>
                <w:lang w:val="en-US"/>
              </w:rPr>
              <w:t>Procedimiento</w:t>
            </w:r>
            <w:proofErr w:type="spellEnd"/>
            <w:r w:rsidRPr="00616BD9">
              <w:rPr>
                <w:rFonts w:eastAsia="Times New Roman"/>
                <w:spacing w:val="0"/>
                <w:w w:val="100"/>
                <w:kern w:val="0"/>
                <w:sz w:val="16"/>
                <w:szCs w:val="16"/>
                <w:lang w:val="en-US"/>
              </w:rPr>
              <w:t xml:space="preserve"> (2 días)</w:t>
            </w:r>
          </w:p>
        </w:tc>
        <w:tc>
          <w:tcPr>
            <w:tcW w:w="558" w:type="pct"/>
            <w:tcBorders>
              <w:top w:val="single" w:sz="4" w:space="0" w:color="auto"/>
              <w:left w:val="nil"/>
              <w:bottom w:val="single" w:sz="4" w:space="0" w:color="auto"/>
              <w:right w:val="single" w:sz="4" w:space="0" w:color="auto"/>
            </w:tcBorders>
            <w:shd w:val="clear" w:color="000000" w:fill="DDEBF7"/>
            <w:vAlign w:val="center"/>
            <w:hideMark/>
          </w:tcPr>
          <w:p w14:paraId="72CA01F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Reglas</w:t>
            </w:r>
            <w:proofErr w:type="spellEnd"/>
            <w:r w:rsidRPr="00616BD9">
              <w:rPr>
                <w:rFonts w:eastAsia="Times New Roman"/>
                <w:spacing w:val="0"/>
                <w:w w:val="100"/>
                <w:kern w:val="0"/>
                <w:sz w:val="16"/>
                <w:szCs w:val="16"/>
                <w:lang w:val="en-US"/>
              </w:rPr>
              <w:t xml:space="preserve"> de </w:t>
            </w:r>
            <w:proofErr w:type="spellStart"/>
            <w:r w:rsidRPr="00616BD9">
              <w:rPr>
                <w:rFonts w:eastAsia="Times New Roman"/>
                <w:spacing w:val="0"/>
                <w:w w:val="100"/>
                <w:kern w:val="0"/>
                <w:sz w:val="16"/>
                <w:szCs w:val="16"/>
                <w:lang w:val="en-US"/>
              </w:rPr>
              <w:t>Procedimiento</w:t>
            </w:r>
            <w:proofErr w:type="spellEnd"/>
            <w:r w:rsidRPr="00616BD9">
              <w:rPr>
                <w:rFonts w:eastAsia="Times New Roman"/>
                <w:spacing w:val="0"/>
                <w:w w:val="100"/>
                <w:kern w:val="0"/>
                <w:sz w:val="16"/>
                <w:szCs w:val="16"/>
                <w:lang w:val="en-US"/>
              </w:rPr>
              <w:t xml:space="preserve"> (2 días)</w:t>
            </w:r>
          </w:p>
        </w:tc>
        <w:tc>
          <w:tcPr>
            <w:tcW w:w="407" w:type="pct"/>
            <w:tcBorders>
              <w:top w:val="single" w:sz="4" w:space="0" w:color="auto"/>
              <w:left w:val="nil"/>
              <w:bottom w:val="single" w:sz="4" w:space="0" w:color="auto"/>
              <w:right w:val="single" w:sz="8" w:space="0" w:color="auto"/>
            </w:tcBorders>
            <w:shd w:val="clear" w:color="000000" w:fill="DDEBF7"/>
            <w:vAlign w:val="center"/>
            <w:hideMark/>
          </w:tcPr>
          <w:p w14:paraId="4ABA4CB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681D657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54944EDC"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452AB69"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auto" w:fill="auto"/>
            <w:vAlign w:val="center"/>
            <w:hideMark/>
          </w:tcPr>
          <w:p w14:paraId="2286C56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#48</w:t>
            </w:r>
          </w:p>
        </w:tc>
        <w:tc>
          <w:tcPr>
            <w:tcW w:w="406" w:type="pct"/>
            <w:tcBorders>
              <w:top w:val="nil"/>
              <w:left w:val="nil"/>
              <w:bottom w:val="single" w:sz="4" w:space="0" w:color="auto"/>
              <w:right w:val="single" w:sz="4" w:space="0" w:color="auto"/>
            </w:tcBorders>
            <w:shd w:val="clear" w:color="auto" w:fill="auto"/>
            <w:vAlign w:val="center"/>
            <w:hideMark/>
          </w:tcPr>
          <w:p w14:paraId="274F7D0C"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2F7D0888"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reunión entre período de sesiones (2 días)</w:t>
            </w:r>
          </w:p>
        </w:tc>
        <w:tc>
          <w:tcPr>
            <w:tcW w:w="535" w:type="pct"/>
            <w:tcBorders>
              <w:top w:val="nil"/>
              <w:left w:val="nil"/>
              <w:bottom w:val="single" w:sz="4" w:space="0" w:color="auto"/>
              <w:right w:val="single" w:sz="4" w:space="0" w:color="auto"/>
            </w:tcBorders>
            <w:shd w:val="clear" w:color="auto" w:fill="auto"/>
            <w:vAlign w:val="center"/>
            <w:hideMark/>
          </w:tcPr>
          <w:p w14:paraId="6ABD14B5"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72D052A5"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nil"/>
              <w:right w:val="nil"/>
            </w:tcBorders>
            <w:shd w:val="clear" w:color="auto" w:fill="auto"/>
            <w:noWrap/>
            <w:vAlign w:val="bottom"/>
            <w:hideMark/>
          </w:tcPr>
          <w:p w14:paraId="3CFF7D8D"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412" w:type="pct"/>
            <w:tcBorders>
              <w:top w:val="nil"/>
              <w:left w:val="single" w:sz="4" w:space="0" w:color="auto"/>
              <w:bottom w:val="single" w:sz="4" w:space="0" w:color="auto"/>
              <w:right w:val="single" w:sz="4" w:space="0" w:color="auto"/>
            </w:tcBorders>
            <w:shd w:val="clear" w:color="auto" w:fill="auto"/>
            <w:vAlign w:val="center"/>
            <w:hideMark/>
          </w:tcPr>
          <w:p w14:paraId="30805C9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558" w:type="pct"/>
            <w:tcBorders>
              <w:top w:val="nil"/>
              <w:left w:val="nil"/>
              <w:bottom w:val="single" w:sz="4" w:space="0" w:color="auto"/>
              <w:right w:val="single" w:sz="4" w:space="0" w:color="auto"/>
            </w:tcBorders>
            <w:shd w:val="clear" w:color="auto" w:fill="auto"/>
            <w:vAlign w:val="center"/>
            <w:hideMark/>
          </w:tcPr>
          <w:p w14:paraId="476C186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proofErr w:type="gram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w:t>
            </w:r>
            <w:proofErr w:type="gramEnd"/>
            <w:r w:rsidRPr="00616BD9">
              <w:rPr>
                <w:rFonts w:eastAsia="Times New Roman"/>
                <w:spacing w:val="0"/>
                <w:w w:val="100"/>
                <w:kern w:val="0"/>
                <w:sz w:val="16"/>
                <w:szCs w:val="16"/>
                <w:lang w:val="en-US"/>
              </w:rPr>
              <w:t>2 días)</w:t>
            </w:r>
          </w:p>
        </w:tc>
        <w:tc>
          <w:tcPr>
            <w:tcW w:w="407" w:type="pct"/>
            <w:tcBorders>
              <w:top w:val="nil"/>
              <w:left w:val="nil"/>
              <w:bottom w:val="single" w:sz="4" w:space="0" w:color="auto"/>
              <w:right w:val="single" w:sz="8" w:space="0" w:color="auto"/>
            </w:tcBorders>
            <w:shd w:val="clear" w:color="auto" w:fill="auto"/>
            <w:vAlign w:val="center"/>
            <w:hideMark/>
          </w:tcPr>
          <w:p w14:paraId="18F1905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063C5BA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3A743A8B"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8A2352C"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000000" w:fill="DDEBF7"/>
            <w:noWrap/>
            <w:vAlign w:val="center"/>
            <w:hideMark/>
          </w:tcPr>
          <w:p w14:paraId="61DEBE5C" w14:textId="0B0AF151"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#49</w:t>
            </w:r>
          </w:p>
        </w:tc>
        <w:tc>
          <w:tcPr>
            <w:tcW w:w="406" w:type="pct"/>
            <w:tcBorders>
              <w:top w:val="nil"/>
              <w:left w:val="nil"/>
              <w:bottom w:val="single" w:sz="4" w:space="0" w:color="auto"/>
              <w:right w:val="single" w:sz="4" w:space="0" w:color="auto"/>
            </w:tcBorders>
            <w:shd w:val="clear" w:color="000000" w:fill="DDEBF7"/>
            <w:vAlign w:val="center"/>
            <w:hideMark/>
          </w:tcPr>
          <w:p w14:paraId="3939C66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nil"/>
              <w:bottom w:val="single" w:sz="4" w:space="0" w:color="auto"/>
              <w:right w:val="single" w:sz="4" w:space="0" w:color="auto"/>
            </w:tcBorders>
            <w:shd w:val="clear" w:color="000000" w:fill="DDEBF7"/>
            <w:vAlign w:val="center"/>
            <w:hideMark/>
          </w:tcPr>
          <w:p w14:paraId="787D6EB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7F0CD0F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29B8C0F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2FCE75C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412" w:type="pct"/>
            <w:tcBorders>
              <w:top w:val="nil"/>
              <w:left w:val="nil"/>
              <w:bottom w:val="single" w:sz="4" w:space="0" w:color="auto"/>
              <w:right w:val="single" w:sz="4" w:space="0" w:color="auto"/>
            </w:tcBorders>
            <w:shd w:val="clear" w:color="000000" w:fill="DDEBF7"/>
            <w:vAlign w:val="center"/>
            <w:hideMark/>
          </w:tcPr>
          <w:p w14:paraId="1E883A4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6B31062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52C67EE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roofErr w:type="spellStart"/>
            <w:r w:rsidRPr="00616BD9">
              <w:rPr>
                <w:rFonts w:eastAsia="Times New Roman"/>
                <w:spacing w:val="0"/>
                <w:w w:val="100"/>
                <w:kern w:val="0"/>
                <w:sz w:val="16"/>
                <w:szCs w:val="16"/>
                <w:lang w:val="en-US"/>
              </w:rPr>
              <w:t>Instrucciones</w:t>
            </w:r>
            <w:proofErr w:type="spellEnd"/>
            <w:r w:rsidRPr="00616BD9">
              <w:rPr>
                <w:rFonts w:eastAsia="Times New Roman"/>
                <w:spacing w:val="0"/>
                <w:w w:val="100"/>
                <w:kern w:val="0"/>
                <w:sz w:val="16"/>
                <w:szCs w:val="16"/>
                <w:lang w:val="en-US"/>
              </w:rPr>
              <w:t xml:space="preserve"> (1 días)</w:t>
            </w:r>
          </w:p>
        </w:tc>
        <w:tc>
          <w:tcPr>
            <w:tcW w:w="195" w:type="pct"/>
            <w:tcBorders>
              <w:top w:val="nil"/>
              <w:left w:val="nil"/>
              <w:bottom w:val="nil"/>
              <w:right w:val="nil"/>
            </w:tcBorders>
            <w:shd w:val="clear" w:color="auto" w:fill="auto"/>
            <w:noWrap/>
            <w:vAlign w:val="center"/>
            <w:hideMark/>
          </w:tcPr>
          <w:p w14:paraId="24004C1A"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2D991C6A"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7F6A9B6"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8" w:space="0" w:color="auto"/>
              <w:right w:val="single" w:sz="8" w:space="0" w:color="auto"/>
            </w:tcBorders>
            <w:shd w:val="clear" w:color="auto" w:fill="auto"/>
            <w:vAlign w:val="center"/>
            <w:hideMark/>
          </w:tcPr>
          <w:p w14:paraId="6CD95BF8"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#49</w:t>
            </w:r>
          </w:p>
        </w:tc>
        <w:tc>
          <w:tcPr>
            <w:tcW w:w="406" w:type="pct"/>
            <w:tcBorders>
              <w:top w:val="nil"/>
              <w:left w:val="nil"/>
              <w:bottom w:val="single" w:sz="8" w:space="0" w:color="auto"/>
              <w:right w:val="single" w:sz="4" w:space="0" w:color="auto"/>
            </w:tcBorders>
            <w:shd w:val="clear" w:color="auto" w:fill="auto"/>
            <w:vAlign w:val="center"/>
            <w:hideMark/>
          </w:tcPr>
          <w:p w14:paraId="69AA236A"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8" w:space="0" w:color="auto"/>
              <w:right w:val="single" w:sz="4" w:space="0" w:color="auto"/>
            </w:tcBorders>
            <w:shd w:val="clear" w:color="auto" w:fill="auto"/>
            <w:vAlign w:val="center"/>
            <w:hideMark/>
          </w:tcPr>
          <w:p w14:paraId="3F1D901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(1 día)</w:t>
            </w:r>
          </w:p>
        </w:tc>
        <w:tc>
          <w:tcPr>
            <w:tcW w:w="535" w:type="pct"/>
            <w:tcBorders>
              <w:top w:val="nil"/>
              <w:left w:val="nil"/>
              <w:bottom w:val="single" w:sz="8" w:space="0" w:color="auto"/>
              <w:right w:val="single" w:sz="4" w:space="0" w:color="auto"/>
            </w:tcBorders>
            <w:shd w:val="clear" w:color="auto" w:fill="auto"/>
            <w:vAlign w:val="center"/>
            <w:hideMark/>
          </w:tcPr>
          <w:p w14:paraId="6C2EBD5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8" w:space="0" w:color="auto"/>
              <w:right w:val="single" w:sz="4" w:space="0" w:color="auto"/>
            </w:tcBorders>
            <w:shd w:val="clear" w:color="auto" w:fill="auto"/>
            <w:vAlign w:val="center"/>
            <w:hideMark/>
          </w:tcPr>
          <w:p w14:paraId="5822A8C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8" w:space="0" w:color="auto"/>
              <w:right w:val="single" w:sz="4" w:space="0" w:color="auto"/>
            </w:tcBorders>
            <w:shd w:val="clear" w:color="auto" w:fill="auto"/>
            <w:vAlign w:val="center"/>
            <w:hideMark/>
          </w:tcPr>
          <w:p w14:paraId="44B1524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8" w:space="0" w:color="auto"/>
              <w:right w:val="single" w:sz="4" w:space="0" w:color="auto"/>
            </w:tcBorders>
            <w:shd w:val="clear" w:color="auto" w:fill="auto"/>
            <w:vAlign w:val="center"/>
            <w:hideMark/>
          </w:tcPr>
          <w:p w14:paraId="61AE36E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8" w:space="0" w:color="auto"/>
              <w:right w:val="single" w:sz="4" w:space="0" w:color="auto"/>
            </w:tcBorders>
            <w:shd w:val="clear" w:color="auto" w:fill="auto"/>
            <w:vAlign w:val="center"/>
            <w:hideMark/>
          </w:tcPr>
          <w:p w14:paraId="737DE05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8" w:space="0" w:color="auto"/>
              <w:right w:val="single" w:sz="8" w:space="0" w:color="auto"/>
            </w:tcBorders>
            <w:shd w:val="clear" w:color="auto" w:fill="auto"/>
            <w:vAlign w:val="center"/>
            <w:hideMark/>
          </w:tcPr>
          <w:p w14:paraId="3F152774"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(3 días)</w:t>
            </w:r>
          </w:p>
        </w:tc>
        <w:tc>
          <w:tcPr>
            <w:tcW w:w="195" w:type="pct"/>
            <w:tcBorders>
              <w:top w:val="nil"/>
              <w:left w:val="nil"/>
              <w:bottom w:val="nil"/>
              <w:right w:val="nil"/>
            </w:tcBorders>
            <w:shd w:val="clear" w:color="auto" w:fill="auto"/>
            <w:noWrap/>
            <w:vAlign w:val="center"/>
            <w:hideMark/>
          </w:tcPr>
          <w:p w14:paraId="299754B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0EEEDFD7" w14:textId="77777777" w:rsidTr="007B7419">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E3C9A0"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2024</w:t>
            </w:r>
          </w:p>
        </w:tc>
        <w:tc>
          <w:tcPr>
            <w:tcW w:w="702" w:type="pct"/>
            <w:tcBorders>
              <w:top w:val="nil"/>
              <w:left w:val="nil"/>
              <w:bottom w:val="single" w:sz="4" w:space="0" w:color="auto"/>
              <w:right w:val="single" w:sz="8" w:space="0" w:color="auto"/>
            </w:tcBorders>
            <w:shd w:val="clear" w:color="000000" w:fill="DDEBF7"/>
            <w:noWrap/>
            <w:vAlign w:val="center"/>
            <w:hideMark/>
          </w:tcPr>
          <w:p w14:paraId="6EBAE506" w14:textId="3DD85AC3"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#50</w:t>
            </w:r>
          </w:p>
        </w:tc>
        <w:tc>
          <w:tcPr>
            <w:tcW w:w="406" w:type="pct"/>
            <w:tcBorders>
              <w:top w:val="nil"/>
              <w:left w:val="nil"/>
              <w:bottom w:val="single" w:sz="4" w:space="0" w:color="auto"/>
              <w:right w:val="single" w:sz="4" w:space="0" w:color="auto"/>
            </w:tcBorders>
            <w:shd w:val="clear" w:color="000000" w:fill="DDEBF7"/>
            <w:vAlign w:val="center"/>
            <w:hideMark/>
          </w:tcPr>
          <w:p w14:paraId="12F1189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single" w:sz="4" w:space="0" w:color="auto"/>
              <w:left w:val="nil"/>
              <w:bottom w:val="single" w:sz="4" w:space="0" w:color="auto"/>
              <w:right w:val="single" w:sz="4" w:space="0" w:color="auto"/>
            </w:tcBorders>
            <w:shd w:val="clear" w:color="000000" w:fill="DDEBF7"/>
            <w:vAlign w:val="center"/>
            <w:hideMark/>
          </w:tcPr>
          <w:p w14:paraId="4648DA4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(1 día)</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73EAC0F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8" w:space="0" w:color="auto"/>
              <w:left w:val="nil"/>
              <w:bottom w:val="single" w:sz="4" w:space="0" w:color="auto"/>
              <w:right w:val="single" w:sz="4" w:space="0" w:color="auto"/>
            </w:tcBorders>
            <w:shd w:val="clear" w:color="000000" w:fill="DDEBF7"/>
            <w:vAlign w:val="center"/>
            <w:hideMark/>
          </w:tcPr>
          <w:p w14:paraId="0FF8ADA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000000" w:fill="DDEBF7"/>
            <w:vAlign w:val="center"/>
            <w:hideMark/>
          </w:tcPr>
          <w:p w14:paraId="522A99E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475E787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0E40A01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407" w:type="pct"/>
            <w:tcBorders>
              <w:top w:val="nil"/>
              <w:left w:val="nil"/>
              <w:bottom w:val="single" w:sz="4" w:space="0" w:color="auto"/>
              <w:right w:val="single" w:sz="8" w:space="0" w:color="auto"/>
            </w:tcBorders>
            <w:shd w:val="clear" w:color="000000" w:fill="DDEBF7"/>
            <w:vAlign w:val="center"/>
            <w:hideMark/>
          </w:tcPr>
          <w:p w14:paraId="604A359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19F60A1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1414F696"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D0E04C2"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auto" w:fill="auto"/>
            <w:vAlign w:val="center"/>
            <w:hideMark/>
          </w:tcPr>
          <w:p w14:paraId="1DD9758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#50</w:t>
            </w:r>
          </w:p>
        </w:tc>
        <w:tc>
          <w:tcPr>
            <w:tcW w:w="406" w:type="pct"/>
            <w:tcBorders>
              <w:top w:val="nil"/>
              <w:left w:val="nil"/>
              <w:bottom w:val="single" w:sz="4" w:space="0" w:color="auto"/>
              <w:right w:val="single" w:sz="4" w:space="0" w:color="auto"/>
            </w:tcBorders>
            <w:shd w:val="clear" w:color="auto" w:fill="auto"/>
            <w:vAlign w:val="center"/>
            <w:hideMark/>
          </w:tcPr>
          <w:p w14:paraId="3A7E50A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1AE8C84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(2 días)</w:t>
            </w:r>
          </w:p>
        </w:tc>
        <w:tc>
          <w:tcPr>
            <w:tcW w:w="535" w:type="pct"/>
            <w:tcBorders>
              <w:top w:val="nil"/>
              <w:left w:val="nil"/>
              <w:bottom w:val="single" w:sz="4" w:space="0" w:color="auto"/>
              <w:right w:val="single" w:sz="4" w:space="0" w:color="auto"/>
            </w:tcBorders>
            <w:shd w:val="clear" w:color="auto" w:fill="auto"/>
            <w:vAlign w:val="center"/>
            <w:hideMark/>
          </w:tcPr>
          <w:p w14:paraId="6F57E25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auto" w:fill="auto"/>
            <w:vAlign w:val="center"/>
            <w:hideMark/>
          </w:tcPr>
          <w:p w14:paraId="19933DA9"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auto" w:fill="auto"/>
            <w:vAlign w:val="center"/>
            <w:hideMark/>
          </w:tcPr>
          <w:p w14:paraId="40B1414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auto" w:fill="auto"/>
            <w:vAlign w:val="center"/>
            <w:hideMark/>
          </w:tcPr>
          <w:p w14:paraId="6B2131A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auto" w:fill="auto"/>
            <w:vAlign w:val="center"/>
            <w:hideMark/>
          </w:tcPr>
          <w:p w14:paraId="737BBC9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auto" w:fill="auto"/>
            <w:vAlign w:val="center"/>
            <w:hideMark/>
          </w:tcPr>
          <w:p w14:paraId="6CFF121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(3 días)</w:t>
            </w:r>
          </w:p>
        </w:tc>
        <w:tc>
          <w:tcPr>
            <w:tcW w:w="195" w:type="pct"/>
            <w:tcBorders>
              <w:top w:val="nil"/>
              <w:left w:val="nil"/>
              <w:bottom w:val="nil"/>
              <w:right w:val="nil"/>
            </w:tcBorders>
            <w:shd w:val="clear" w:color="auto" w:fill="auto"/>
            <w:noWrap/>
            <w:vAlign w:val="center"/>
            <w:hideMark/>
          </w:tcPr>
          <w:p w14:paraId="10652A5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5C3591D7"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344A2D3"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4" w:space="0" w:color="auto"/>
              <w:right w:val="single" w:sz="8" w:space="0" w:color="auto"/>
            </w:tcBorders>
            <w:shd w:val="clear" w:color="000000" w:fill="DDEBF7"/>
            <w:noWrap/>
            <w:vAlign w:val="center"/>
            <w:hideMark/>
          </w:tcPr>
          <w:p w14:paraId="7B273351" w14:textId="301EB65E"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#51</w:t>
            </w:r>
          </w:p>
        </w:tc>
        <w:tc>
          <w:tcPr>
            <w:tcW w:w="406" w:type="pct"/>
            <w:tcBorders>
              <w:top w:val="nil"/>
              <w:left w:val="nil"/>
              <w:bottom w:val="single" w:sz="4" w:space="0" w:color="auto"/>
              <w:right w:val="single" w:sz="4" w:space="0" w:color="auto"/>
            </w:tcBorders>
            <w:shd w:val="clear" w:color="000000" w:fill="DDEBF7"/>
            <w:vAlign w:val="center"/>
            <w:hideMark/>
          </w:tcPr>
          <w:p w14:paraId="29E8B34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nil"/>
              <w:bottom w:val="single" w:sz="4" w:space="0" w:color="auto"/>
              <w:right w:val="single" w:sz="4" w:space="0" w:color="auto"/>
            </w:tcBorders>
            <w:shd w:val="clear" w:color="000000" w:fill="DDEBF7"/>
            <w:vAlign w:val="center"/>
            <w:hideMark/>
          </w:tcPr>
          <w:p w14:paraId="5F315C5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03B14BE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43B8C66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000000" w:fill="DDEBF7"/>
            <w:vAlign w:val="center"/>
            <w:hideMark/>
          </w:tcPr>
          <w:p w14:paraId="229FA10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60F153F2"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(3 días)</w:t>
            </w:r>
          </w:p>
        </w:tc>
        <w:tc>
          <w:tcPr>
            <w:tcW w:w="558" w:type="pct"/>
            <w:tcBorders>
              <w:top w:val="nil"/>
              <w:left w:val="nil"/>
              <w:bottom w:val="single" w:sz="4" w:space="0" w:color="auto"/>
              <w:right w:val="single" w:sz="4" w:space="0" w:color="auto"/>
            </w:tcBorders>
            <w:shd w:val="clear" w:color="000000" w:fill="DDEBF7"/>
            <w:vAlign w:val="center"/>
            <w:hideMark/>
          </w:tcPr>
          <w:p w14:paraId="252E52E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7D2FB95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(1 día)</w:t>
            </w:r>
          </w:p>
        </w:tc>
        <w:tc>
          <w:tcPr>
            <w:tcW w:w="195" w:type="pct"/>
            <w:tcBorders>
              <w:top w:val="nil"/>
              <w:left w:val="nil"/>
              <w:bottom w:val="nil"/>
              <w:right w:val="nil"/>
            </w:tcBorders>
            <w:shd w:val="clear" w:color="auto" w:fill="auto"/>
            <w:noWrap/>
            <w:vAlign w:val="center"/>
            <w:hideMark/>
          </w:tcPr>
          <w:p w14:paraId="2AE632B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7B7419" w:rsidRPr="00616BD9" w14:paraId="3E868699"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E28D7C0" w14:textId="77777777" w:rsidR="007B7419" w:rsidRPr="00616BD9" w:rsidRDefault="007B7419" w:rsidP="006C029B">
            <w:pPr>
              <w:suppressAutoHyphens w:val="0"/>
              <w:spacing w:line="240" w:lineRule="auto"/>
              <w:rPr>
                <w:rFonts w:eastAsia="Times New Roman"/>
                <w:b/>
                <w:bCs/>
                <w:spacing w:val="0"/>
                <w:w w:val="100"/>
                <w:kern w:val="0"/>
                <w:sz w:val="16"/>
                <w:szCs w:val="16"/>
                <w:lang w:val="en-US"/>
              </w:rPr>
            </w:pPr>
          </w:p>
        </w:tc>
        <w:tc>
          <w:tcPr>
            <w:tcW w:w="702" w:type="pct"/>
            <w:vMerge w:val="restart"/>
            <w:tcBorders>
              <w:top w:val="nil"/>
              <w:left w:val="nil"/>
              <w:right w:val="single" w:sz="8" w:space="0" w:color="auto"/>
            </w:tcBorders>
            <w:shd w:val="clear" w:color="auto" w:fill="auto"/>
            <w:vAlign w:val="center"/>
            <w:hideMark/>
          </w:tcPr>
          <w:p w14:paraId="1E14CB66" w14:textId="77777777" w:rsidR="007B7419" w:rsidRPr="00616BD9" w:rsidRDefault="007B7419"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#51</w:t>
            </w:r>
          </w:p>
          <w:p w14:paraId="4FE990C7" w14:textId="1ECBD4DC" w:rsidR="007B7419" w:rsidRPr="00616BD9" w:rsidRDefault="007B7419" w:rsidP="006C029B">
            <w:pPr>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n-US"/>
              </w:rPr>
              <w:t> </w:t>
            </w:r>
          </w:p>
        </w:tc>
        <w:tc>
          <w:tcPr>
            <w:tcW w:w="406" w:type="pct"/>
            <w:tcBorders>
              <w:top w:val="nil"/>
              <w:left w:val="nil"/>
              <w:bottom w:val="single" w:sz="4" w:space="0" w:color="auto"/>
              <w:right w:val="single" w:sz="4" w:space="0" w:color="auto"/>
            </w:tcBorders>
            <w:shd w:val="clear" w:color="auto" w:fill="auto"/>
            <w:vAlign w:val="center"/>
            <w:hideMark/>
          </w:tcPr>
          <w:p w14:paraId="4E640CB1"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6F47B971"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2DA20768"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3C02F53A"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4" w:space="0" w:color="auto"/>
              <w:right w:val="single" w:sz="4" w:space="0" w:color="auto"/>
            </w:tcBorders>
            <w:shd w:val="clear" w:color="auto" w:fill="auto"/>
            <w:vAlign w:val="center"/>
            <w:hideMark/>
          </w:tcPr>
          <w:p w14:paraId="588680BE"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4" w:space="0" w:color="auto"/>
              <w:right w:val="single" w:sz="4" w:space="0" w:color="auto"/>
            </w:tcBorders>
            <w:shd w:val="clear" w:color="auto" w:fill="auto"/>
            <w:vAlign w:val="center"/>
            <w:hideMark/>
          </w:tcPr>
          <w:p w14:paraId="3B05EE96"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58" w:type="pct"/>
            <w:tcBorders>
              <w:top w:val="nil"/>
              <w:left w:val="nil"/>
              <w:bottom w:val="single" w:sz="4" w:space="0" w:color="auto"/>
              <w:right w:val="single" w:sz="4" w:space="0" w:color="auto"/>
            </w:tcBorders>
            <w:shd w:val="clear" w:color="auto" w:fill="auto"/>
            <w:vAlign w:val="center"/>
            <w:hideMark/>
          </w:tcPr>
          <w:p w14:paraId="6D9ECA1B" w14:textId="77777777" w:rsidR="007B7419" w:rsidRPr="00616BD9" w:rsidRDefault="007B7419"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07" w:type="pct"/>
            <w:tcBorders>
              <w:top w:val="nil"/>
              <w:left w:val="nil"/>
              <w:bottom w:val="single" w:sz="4" w:space="0" w:color="auto"/>
              <w:right w:val="single" w:sz="8" w:space="0" w:color="auto"/>
            </w:tcBorders>
            <w:shd w:val="clear" w:color="auto" w:fill="auto"/>
            <w:vAlign w:val="center"/>
            <w:hideMark/>
          </w:tcPr>
          <w:p w14:paraId="7FBC50EF" w14:textId="77777777" w:rsidR="007B7419" w:rsidRPr="00616BD9" w:rsidRDefault="007B7419"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(1 día)</w:t>
            </w:r>
          </w:p>
        </w:tc>
        <w:tc>
          <w:tcPr>
            <w:tcW w:w="195" w:type="pct"/>
            <w:tcBorders>
              <w:top w:val="nil"/>
              <w:left w:val="nil"/>
              <w:bottom w:val="nil"/>
              <w:right w:val="nil"/>
            </w:tcBorders>
            <w:shd w:val="clear" w:color="auto" w:fill="auto"/>
            <w:noWrap/>
            <w:vAlign w:val="center"/>
            <w:hideMark/>
          </w:tcPr>
          <w:p w14:paraId="7679ED03" w14:textId="77777777" w:rsidR="007B7419" w:rsidRPr="00616BD9" w:rsidRDefault="007B7419" w:rsidP="006C029B">
            <w:pPr>
              <w:suppressAutoHyphens w:val="0"/>
              <w:spacing w:line="240" w:lineRule="auto"/>
              <w:jc w:val="center"/>
              <w:rPr>
                <w:rFonts w:eastAsia="Times New Roman"/>
                <w:spacing w:val="0"/>
                <w:w w:val="100"/>
                <w:kern w:val="0"/>
                <w:sz w:val="16"/>
                <w:szCs w:val="16"/>
                <w:lang w:val="en-US"/>
              </w:rPr>
            </w:pPr>
          </w:p>
        </w:tc>
      </w:tr>
      <w:tr w:rsidR="007B7419" w:rsidRPr="00616BD9" w14:paraId="7D31E4EA" w14:textId="77777777" w:rsidTr="00E81554">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9E674D2" w14:textId="77777777" w:rsidR="007B7419" w:rsidRPr="00616BD9" w:rsidRDefault="007B7419" w:rsidP="006C029B">
            <w:pPr>
              <w:suppressAutoHyphens w:val="0"/>
              <w:spacing w:line="240" w:lineRule="auto"/>
              <w:rPr>
                <w:rFonts w:eastAsia="Times New Roman"/>
                <w:b/>
                <w:bCs/>
                <w:spacing w:val="0"/>
                <w:w w:val="100"/>
                <w:kern w:val="0"/>
                <w:sz w:val="16"/>
                <w:szCs w:val="16"/>
                <w:lang w:val="en-US"/>
              </w:rPr>
            </w:pPr>
          </w:p>
        </w:tc>
        <w:tc>
          <w:tcPr>
            <w:tcW w:w="702" w:type="pct"/>
            <w:vMerge/>
            <w:tcBorders>
              <w:left w:val="nil"/>
              <w:bottom w:val="single" w:sz="4" w:space="0" w:color="auto"/>
              <w:right w:val="single" w:sz="8" w:space="0" w:color="auto"/>
            </w:tcBorders>
            <w:shd w:val="clear" w:color="auto" w:fill="auto"/>
            <w:vAlign w:val="center"/>
            <w:hideMark/>
          </w:tcPr>
          <w:p w14:paraId="291C82F1" w14:textId="6C85D277" w:rsidR="007B7419" w:rsidRPr="00616BD9" w:rsidRDefault="007B7419" w:rsidP="006C029B">
            <w:pPr>
              <w:suppressAutoHyphens w:val="0"/>
              <w:spacing w:line="240" w:lineRule="auto"/>
              <w:jc w:val="center"/>
              <w:rPr>
                <w:rFonts w:eastAsia="Times New Roman"/>
                <w:b/>
                <w:bCs/>
                <w:spacing w:val="0"/>
                <w:w w:val="100"/>
                <w:kern w:val="0"/>
                <w:sz w:val="16"/>
                <w:szCs w:val="16"/>
                <w:lang w:val="en-US"/>
              </w:rPr>
            </w:pPr>
          </w:p>
        </w:tc>
        <w:tc>
          <w:tcPr>
            <w:tcW w:w="3913" w:type="pct"/>
            <w:gridSpan w:val="8"/>
            <w:tcBorders>
              <w:top w:val="single" w:sz="4" w:space="0" w:color="auto"/>
              <w:left w:val="nil"/>
              <w:bottom w:val="nil"/>
              <w:right w:val="single" w:sz="8" w:space="0" w:color="000000"/>
            </w:tcBorders>
            <w:shd w:val="clear" w:color="000000" w:fill="E2EFDA"/>
            <w:vAlign w:val="center"/>
            <w:hideMark/>
          </w:tcPr>
          <w:p w14:paraId="45D82B8C" w14:textId="0476E98C" w:rsidR="007B7419" w:rsidRPr="00616BD9" w:rsidRDefault="007B7419"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 xml:space="preserve">Comisión #57- Aprobación en principio de las Reformas relativas a la Creación de un centro multilateral de </w:t>
            </w:r>
            <w:proofErr w:type="gramStart"/>
            <w:r w:rsidRPr="00616BD9">
              <w:rPr>
                <w:rFonts w:eastAsia="Times New Roman"/>
                <w:b/>
                <w:bCs/>
                <w:spacing w:val="0"/>
                <w:w w:val="100"/>
                <w:kern w:val="0"/>
                <w:sz w:val="16"/>
                <w:szCs w:val="16"/>
                <w:lang w:val="es-CL"/>
              </w:rPr>
              <w:t>asesoramiento,  el</w:t>
            </w:r>
            <w:proofErr w:type="gramEnd"/>
            <w:r w:rsidRPr="00616BD9">
              <w:rPr>
                <w:rFonts w:eastAsia="Times New Roman"/>
                <w:b/>
                <w:bCs/>
                <w:spacing w:val="0"/>
                <w:w w:val="100"/>
                <w:kern w:val="0"/>
                <w:sz w:val="16"/>
                <w:szCs w:val="16"/>
                <w:lang w:val="es-CL"/>
              </w:rPr>
              <w:t xml:space="preserve"> Mecanismo de apelación y un Tribunal multilateral permanente de inversiones</w:t>
            </w:r>
          </w:p>
        </w:tc>
        <w:tc>
          <w:tcPr>
            <w:tcW w:w="195" w:type="pct"/>
            <w:tcBorders>
              <w:top w:val="nil"/>
              <w:left w:val="nil"/>
              <w:bottom w:val="nil"/>
              <w:right w:val="nil"/>
            </w:tcBorders>
            <w:shd w:val="clear" w:color="auto" w:fill="auto"/>
            <w:noWrap/>
            <w:vAlign w:val="center"/>
            <w:hideMark/>
          </w:tcPr>
          <w:p w14:paraId="110B6517" w14:textId="77777777" w:rsidR="007B7419" w:rsidRPr="00616BD9" w:rsidRDefault="007B7419"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102D592D"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E27E2BC" w14:textId="77777777" w:rsidR="006C029B" w:rsidRPr="00616BD9" w:rsidRDefault="006C029B" w:rsidP="006C029B">
            <w:pPr>
              <w:suppressAutoHyphens w:val="0"/>
              <w:spacing w:line="240" w:lineRule="auto"/>
              <w:rPr>
                <w:rFonts w:eastAsia="Times New Roman"/>
                <w:b/>
                <w:bCs/>
                <w:spacing w:val="0"/>
                <w:w w:val="100"/>
                <w:kern w:val="0"/>
                <w:sz w:val="16"/>
                <w:szCs w:val="16"/>
                <w:lang w:val="es-CL"/>
              </w:rPr>
            </w:pPr>
          </w:p>
        </w:tc>
        <w:tc>
          <w:tcPr>
            <w:tcW w:w="702" w:type="pct"/>
            <w:tcBorders>
              <w:top w:val="nil"/>
              <w:left w:val="nil"/>
              <w:bottom w:val="single" w:sz="4" w:space="0" w:color="auto"/>
              <w:right w:val="single" w:sz="8" w:space="0" w:color="auto"/>
            </w:tcBorders>
            <w:shd w:val="clear" w:color="000000" w:fill="DDEBF7"/>
            <w:noWrap/>
            <w:vAlign w:val="center"/>
            <w:hideMark/>
          </w:tcPr>
          <w:p w14:paraId="5B323EB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#52</w:t>
            </w:r>
          </w:p>
        </w:tc>
        <w:tc>
          <w:tcPr>
            <w:tcW w:w="406" w:type="pct"/>
            <w:tcBorders>
              <w:top w:val="single" w:sz="4" w:space="0" w:color="auto"/>
              <w:left w:val="nil"/>
              <w:bottom w:val="single" w:sz="4" w:space="0" w:color="auto"/>
              <w:right w:val="single" w:sz="4" w:space="0" w:color="auto"/>
            </w:tcBorders>
            <w:shd w:val="clear" w:color="000000" w:fill="DDEBF7"/>
            <w:vAlign w:val="center"/>
            <w:hideMark/>
          </w:tcPr>
          <w:p w14:paraId="319C7BB3"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single" w:sz="4" w:space="0" w:color="auto"/>
              <w:left w:val="nil"/>
              <w:bottom w:val="single" w:sz="4" w:space="0" w:color="auto"/>
              <w:right w:val="single" w:sz="4" w:space="0" w:color="auto"/>
            </w:tcBorders>
            <w:shd w:val="clear" w:color="000000" w:fill="DDEBF7"/>
            <w:vAlign w:val="center"/>
            <w:hideMark/>
          </w:tcPr>
          <w:p w14:paraId="5B42429D"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(2 días)</w:t>
            </w:r>
          </w:p>
        </w:tc>
        <w:tc>
          <w:tcPr>
            <w:tcW w:w="535" w:type="pct"/>
            <w:tcBorders>
              <w:top w:val="single" w:sz="4" w:space="0" w:color="auto"/>
              <w:left w:val="nil"/>
              <w:bottom w:val="single" w:sz="4" w:space="0" w:color="auto"/>
              <w:right w:val="single" w:sz="4" w:space="0" w:color="auto"/>
            </w:tcBorders>
            <w:shd w:val="clear" w:color="000000" w:fill="DDEBF7"/>
            <w:vAlign w:val="center"/>
            <w:hideMark/>
          </w:tcPr>
          <w:p w14:paraId="180270E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single" w:sz="4" w:space="0" w:color="auto"/>
              <w:left w:val="nil"/>
              <w:bottom w:val="single" w:sz="4" w:space="0" w:color="auto"/>
              <w:right w:val="single" w:sz="4" w:space="0" w:color="auto"/>
            </w:tcBorders>
            <w:shd w:val="clear" w:color="000000" w:fill="DDEBF7"/>
            <w:vAlign w:val="center"/>
            <w:hideMark/>
          </w:tcPr>
          <w:p w14:paraId="30B22F0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single" w:sz="4" w:space="0" w:color="auto"/>
              <w:left w:val="nil"/>
              <w:bottom w:val="single" w:sz="4" w:space="0" w:color="auto"/>
              <w:right w:val="single" w:sz="4" w:space="0" w:color="auto"/>
            </w:tcBorders>
            <w:shd w:val="clear" w:color="000000" w:fill="DDEBF7"/>
            <w:vAlign w:val="center"/>
            <w:hideMark/>
          </w:tcPr>
          <w:p w14:paraId="3EC2E29B"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single" w:sz="4" w:space="0" w:color="auto"/>
              <w:left w:val="nil"/>
              <w:bottom w:val="single" w:sz="4" w:space="0" w:color="auto"/>
              <w:right w:val="single" w:sz="4" w:space="0" w:color="auto"/>
            </w:tcBorders>
            <w:shd w:val="clear" w:color="000000" w:fill="DDEBF7"/>
            <w:vAlign w:val="center"/>
            <w:hideMark/>
          </w:tcPr>
          <w:p w14:paraId="557C1D96"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single" w:sz="4" w:space="0" w:color="auto"/>
              <w:left w:val="nil"/>
              <w:bottom w:val="single" w:sz="4" w:space="0" w:color="auto"/>
              <w:right w:val="single" w:sz="4" w:space="0" w:color="auto"/>
            </w:tcBorders>
            <w:shd w:val="clear" w:color="000000" w:fill="DDEBF7"/>
            <w:vAlign w:val="center"/>
            <w:hideMark/>
          </w:tcPr>
          <w:p w14:paraId="1587F60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single" w:sz="4" w:space="0" w:color="auto"/>
              <w:left w:val="nil"/>
              <w:bottom w:val="single" w:sz="4" w:space="0" w:color="auto"/>
              <w:right w:val="single" w:sz="8" w:space="0" w:color="auto"/>
            </w:tcBorders>
            <w:shd w:val="clear" w:color="000000" w:fill="DDEBF7"/>
            <w:vAlign w:val="center"/>
            <w:hideMark/>
          </w:tcPr>
          <w:p w14:paraId="1BF76CE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Primera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w:t>
            </w:r>
            <w:proofErr w:type="spellStart"/>
            <w:r w:rsidRPr="00616BD9">
              <w:rPr>
                <w:rFonts w:eastAsia="Times New Roman"/>
                <w:spacing w:val="0"/>
                <w:w w:val="100"/>
                <w:kern w:val="0"/>
                <w:sz w:val="16"/>
                <w:szCs w:val="16"/>
                <w:lang w:val="en-US"/>
              </w:rPr>
              <w:t>continuación</w:t>
            </w:r>
            <w:proofErr w:type="spellEnd"/>
            <w:r w:rsidRPr="00616BD9">
              <w:rPr>
                <w:rFonts w:eastAsia="Times New Roman"/>
                <w:spacing w:val="0"/>
                <w:w w:val="100"/>
                <w:kern w:val="0"/>
                <w:sz w:val="16"/>
                <w:szCs w:val="16"/>
                <w:lang w:val="en-US"/>
              </w:rPr>
              <w:t>) (2 días)</w:t>
            </w:r>
          </w:p>
        </w:tc>
        <w:tc>
          <w:tcPr>
            <w:tcW w:w="195" w:type="pct"/>
            <w:tcBorders>
              <w:top w:val="nil"/>
              <w:left w:val="nil"/>
              <w:bottom w:val="nil"/>
              <w:right w:val="nil"/>
            </w:tcBorders>
            <w:shd w:val="clear" w:color="auto" w:fill="auto"/>
            <w:noWrap/>
            <w:vAlign w:val="center"/>
            <w:hideMark/>
          </w:tcPr>
          <w:p w14:paraId="7E18958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735FB65A"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6C2D403"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nil"/>
              <w:right w:val="single" w:sz="8" w:space="0" w:color="auto"/>
            </w:tcBorders>
            <w:shd w:val="clear" w:color="auto" w:fill="auto"/>
            <w:vAlign w:val="center"/>
            <w:hideMark/>
          </w:tcPr>
          <w:p w14:paraId="6B4C478F" w14:textId="77777777" w:rsidR="006C029B" w:rsidRPr="00616BD9" w:rsidRDefault="006C029B" w:rsidP="006C029B">
            <w:pPr>
              <w:suppressAutoHyphens w:val="0"/>
              <w:spacing w:line="240" w:lineRule="auto"/>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#52</w:t>
            </w:r>
          </w:p>
        </w:tc>
        <w:tc>
          <w:tcPr>
            <w:tcW w:w="406" w:type="pct"/>
            <w:tcBorders>
              <w:top w:val="nil"/>
              <w:left w:val="nil"/>
              <w:bottom w:val="single" w:sz="4" w:space="0" w:color="auto"/>
              <w:right w:val="single" w:sz="4" w:space="0" w:color="auto"/>
            </w:tcBorders>
            <w:shd w:val="clear" w:color="auto" w:fill="auto"/>
            <w:vAlign w:val="center"/>
            <w:hideMark/>
          </w:tcPr>
          <w:p w14:paraId="68623C4C"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1BB0197C"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4DCE76C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single" w:sz="4" w:space="0" w:color="auto"/>
            </w:tcBorders>
            <w:shd w:val="clear" w:color="auto" w:fill="auto"/>
            <w:vAlign w:val="center"/>
            <w:hideMark/>
          </w:tcPr>
          <w:p w14:paraId="04AF63C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4" w:space="0" w:color="auto"/>
              <w:right w:val="single" w:sz="4" w:space="0" w:color="auto"/>
            </w:tcBorders>
            <w:shd w:val="clear" w:color="auto" w:fill="auto"/>
            <w:vAlign w:val="center"/>
            <w:hideMark/>
          </w:tcPr>
          <w:p w14:paraId="57934E3D"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4" w:space="0" w:color="auto"/>
              <w:right w:val="single" w:sz="4" w:space="0" w:color="auto"/>
            </w:tcBorders>
            <w:shd w:val="clear" w:color="auto" w:fill="auto"/>
            <w:vAlign w:val="center"/>
            <w:hideMark/>
          </w:tcPr>
          <w:p w14:paraId="492D538D"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58" w:type="pct"/>
            <w:tcBorders>
              <w:top w:val="nil"/>
              <w:left w:val="nil"/>
              <w:bottom w:val="single" w:sz="4" w:space="0" w:color="auto"/>
              <w:right w:val="single" w:sz="4" w:space="0" w:color="auto"/>
            </w:tcBorders>
            <w:shd w:val="clear" w:color="auto" w:fill="auto"/>
            <w:vAlign w:val="center"/>
            <w:hideMark/>
          </w:tcPr>
          <w:p w14:paraId="6AEB1672"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07" w:type="pct"/>
            <w:tcBorders>
              <w:top w:val="nil"/>
              <w:left w:val="nil"/>
              <w:bottom w:val="single" w:sz="4" w:space="0" w:color="auto"/>
              <w:right w:val="single" w:sz="8" w:space="0" w:color="auto"/>
            </w:tcBorders>
            <w:shd w:val="clear" w:color="auto" w:fill="auto"/>
            <w:vAlign w:val="center"/>
            <w:hideMark/>
          </w:tcPr>
          <w:p w14:paraId="57C9058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Grupo de </w:t>
            </w:r>
            <w:proofErr w:type="spellStart"/>
            <w:r w:rsidRPr="00616BD9">
              <w:rPr>
                <w:rFonts w:eastAsia="Times New Roman"/>
                <w:spacing w:val="0"/>
                <w:w w:val="100"/>
                <w:kern w:val="0"/>
                <w:sz w:val="16"/>
                <w:szCs w:val="16"/>
                <w:lang w:val="en-US"/>
              </w:rPr>
              <w:t>redacción</w:t>
            </w:r>
            <w:proofErr w:type="spellEnd"/>
            <w:r w:rsidRPr="00616BD9">
              <w:rPr>
                <w:rFonts w:eastAsia="Times New Roman"/>
                <w:spacing w:val="0"/>
                <w:w w:val="100"/>
                <w:kern w:val="0"/>
                <w:sz w:val="16"/>
                <w:szCs w:val="16"/>
                <w:lang w:val="en-US"/>
              </w:rPr>
              <w:t xml:space="preserve"> (3 días)</w:t>
            </w:r>
          </w:p>
        </w:tc>
        <w:tc>
          <w:tcPr>
            <w:tcW w:w="195" w:type="pct"/>
            <w:tcBorders>
              <w:top w:val="nil"/>
              <w:left w:val="nil"/>
              <w:bottom w:val="nil"/>
              <w:right w:val="nil"/>
            </w:tcBorders>
            <w:shd w:val="clear" w:color="auto" w:fill="auto"/>
            <w:noWrap/>
            <w:vAlign w:val="center"/>
            <w:hideMark/>
          </w:tcPr>
          <w:p w14:paraId="55E5FE75"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5242BB9F"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9E39175"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single" w:sz="4" w:space="0" w:color="auto"/>
              <w:left w:val="nil"/>
              <w:bottom w:val="single" w:sz="4" w:space="0" w:color="auto"/>
              <w:right w:val="single" w:sz="8" w:space="0" w:color="auto"/>
            </w:tcBorders>
            <w:shd w:val="clear" w:color="000000" w:fill="DDEBF7"/>
            <w:noWrap/>
            <w:vAlign w:val="center"/>
            <w:hideMark/>
          </w:tcPr>
          <w:p w14:paraId="6A500B98"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#53</w:t>
            </w:r>
          </w:p>
        </w:tc>
        <w:tc>
          <w:tcPr>
            <w:tcW w:w="406" w:type="pct"/>
            <w:tcBorders>
              <w:top w:val="nil"/>
              <w:left w:val="nil"/>
              <w:bottom w:val="single" w:sz="4" w:space="0" w:color="auto"/>
              <w:right w:val="single" w:sz="4" w:space="0" w:color="auto"/>
            </w:tcBorders>
            <w:shd w:val="clear" w:color="000000" w:fill="DDEBF7"/>
            <w:vAlign w:val="center"/>
            <w:hideMark/>
          </w:tcPr>
          <w:p w14:paraId="1BD9BB1C"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8" w:type="pct"/>
            <w:tcBorders>
              <w:top w:val="nil"/>
              <w:left w:val="nil"/>
              <w:bottom w:val="single" w:sz="4" w:space="0" w:color="auto"/>
              <w:right w:val="single" w:sz="4" w:space="0" w:color="auto"/>
            </w:tcBorders>
            <w:shd w:val="clear" w:color="000000" w:fill="DDEBF7"/>
            <w:vAlign w:val="center"/>
            <w:hideMark/>
          </w:tcPr>
          <w:p w14:paraId="0AEBE270"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35" w:type="pct"/>
            <w:tcBorders>
              <w:top w:val="nil"/>
              <w:left w:val="nil"/>
              <w:bottom w:val="single" w:sz="4" w:space="0" w:color="auto"/>
              <w:right w:val="single" w:sz="4" w:space="0" w:color="auto"/>
            </w:tcBorders>
            <w:shd w:val="clear" w:color="000000" w:fill="DDEBF7"/>
            <w:vAlign w:val="center"/>
            <w:hideMark/>
          </w:tcPr>
          <w:p w14:paraId="165A9E2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745" w:type="pct"/>
            <w:tcBorders>
              <w:top w:val="nil"/>
              <w:left w:val="nil"/>
              <w:bottom w:val="single" w:sz="4" w:space="0" w:color="auto"/>
              <w:right w:val="single" w:sz="4" w:space="0" w:color="auto"/>
            </w:tcBorders>
            <w:shd w:val="clear" w:color="000000" w:fill="DDEBF7"/>
            <w:vAlign w:val="center"/>
            <w:hideMark/>
          </w:tcPr>
          <w:p w14:paraId="2D732D1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22" w:type="pct"/>
            <w:tcBorders>
              <w:top w:val="nil"/>
              <w:left w:val="nil"/>
              <w:bottom w:val="single" w:sz="4" w:space="0" w:color="auto"/>
              <w:right w:val="single" w:sz="4" w:space="0" w:color="auto"/>
            </w:tcBorders>
            <w:shd w:val="clear" w:color="000000" w:fill="DDEBF7"/>
            <w:vAlign w:val="center"/>
            <w:hideMark/>
          </w:tcPr>
          <w:p w14:paraId="3695B827"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12" w:type="pct"/>
            <w:tcBorders>
              <w:top w:val="nil"/>
              <w:left w:val="nil"/>
              <w:bottom w:val="single" w:sz="4" w:space="0" w:color="auto"/>
              <w:right w:val="single" w:sz="4" w:space="0" w:color="auto"/>
            </w:tcBorders>
            <w:shd w:val="clear" w:color="000000" w:fill="DDEBF7"/>
            <w:vAlign w:val="center"/>
            <w:hideMark/>
          </w:tcPr>
          <w:p w14:paraId="28C6801E"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558" w:type="pct"/>
            <w:tcBorders>
              <w:top w:val="nil"/>
              <w:left w:val="nil"/>
              <w:bottom w:val="single" w:sz="4" w:space="0" w:color="auto"/>
              <w:right w:val="single" w:sz="4" w:space="0" w:color="auto"/>
            </w:tcBorders>
            <w:shd w:val="clear" w:color="000000" w:fill="DDEBF7"/>
            <w:vAlign w:val="center"/>
            <w:hideMark/>
          </w:tcPr>
          <w:p w14:paraId="622DD178"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w:t>
            </w:r>
          </w:p>
        </w:tc>
        <w:tc>
          <w:tcPr>
            <w:tcW w:w="407" w:type="pct"/>
            <w:tcBorders>
              <w:top w:val="nil"/>
              <w:left w:val="nil"/>
              <w:bottom w:val="single" w:sz="4" w:space="0" w:color="auto"/>
              <w:right w:val="single" w:sz="8" w:space="0" w:color="auto"/>
            </w:tcBorders>
            <w:shd w:val="clear" w:color="000000" w:fill="DDEBF7"/>
            <w:vAlign w:val="center"/>
            <w:hideMark/>
          </w:tcPr>
          <w:p w14:paraId="12C9C8E1"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r w:rsidRPr="00616BD9">
              <w:rPr>
                <w:rFonts w:eastAsia="Times New Roman"/>
                <w:spacing w:val="0"/>
                <w:w w:val="100"/>
                <w:kern w:val="0"/>
                <w:sz w:val="16"/>
                <w:szCs w:val="16"/>
                <w:lang w:val="en-US"/>
              </w:rPr>
              <w:t xml:space="preserve">Segunda </w:t>
            </w:r>
            <w:proofErr w:type="spellStart"/>
            <w:r w:rsidRPr="00616BD9">
              <w:rPr>
                <w:rFonts w:eastAsia="Times New Roman"/>
                <w:spacing w:val="0"/>
                <w:w w:val="100"/>
                <w:kern w:val="0"/>
                <w:sz w:val="16"/>
                <w:szCs w:val="16"/>
                <w:lang w:val="en-US"/>
              </w:rPr>
              <w:t>lectura</w:t>
            </w:r>
            <w:proofErr w:type="spellEnd"/>
            <w:r w:rsidRPr="00616BD9">
              <w:rPr>
                <w:rFonts w:eastAsia="Times New Roman"/>
                <w:spacing w:val="0"/>
                <w:w w:val="100"/>
                <w:kern w:val="0"/>
                <w:sz w:val="16"/>
                <w:szCs w:val="16"/>
                <w:lang w:val="en-US"/>
              </w:rPr>
              <w:t xml:space="preserve"> (4 días)</w:t>
            </w:r>
          </w:p>
        </w:tc>
        <w:tc>
          <w:tcPr>
            <w:tcW w:w="195" w:type="pct"/>
            <w:tcBorders>
              <w:top w:val="nil"/>
              <w:left w:val="nil"/>
              <w:bottom w:val="nil"/>
              <w:right w:val="nil"/>
            </w:tcBorders>
            <w:shd w:val="clear" w:color="auto" w:fill="auto"/>
            <w:noWrap/>
            <w:vAlign w:val="center"/>
            <w:hideMark/>
          </w:tcPr>
          <w:p w14:paraId="622C22DF" w14:textId="77777777" w:rsidR="006C029B" w:rsidRPr="00616BD9" w:rsidRDefault="006C029B" w:rsidP="006C029B">
            <w:pPr>
              <w:suppressAutoHyphens w:val="0"/>
              <w:spacing w:line="240" w:lineRule="auto"/>
              <w:jc w:val="center"/>
              <w:rPr>
                <w:rFonts w:eastAsia="Times New Roman"/>
                <w:spacing w:val="0"/>
                <w:w w:val="100"/>
                <w:kern w:val="0"/>
                <w:sz w:val="16"/>
                <w:szCs w:val="16"/>
                <w:lang w:val="en-US"/>
              </w:rPr>
            </w:pPr>
          </w:p>
        </w:tc>
      </w:tr>
      <w:tr w:rsidR="00CC27E3" w:rsidRPr="00616BD9" w14:paraId="0CB25DDC" w14:textId="77777777" w:rsidTr="007B7419">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524B134" w14:textId="77777777" w:rsidR="006C029B" w:rsidRPr="00616BD9" w:rsidRDefault="006C029B" w:rsidP="006C029B">
            <w:pPr>
              <w:suppressAutoHyphens w:val="0"/>
              <w:spacing w:line="240" w:lineRule="auto"/>
              <w:rPr>
                <w:rFonts w:eastAsia="Times New Roman"/>
                <w:b/>
                <w:bCs/>
                <w:spacing w:val="0"/>
                <w:w w:val="100"/>
                <w:kern w:val="0"/>
                <w:sz w:val="16"/>
                <w:szCs w:val="16"/>
                <w:lang w:val="en-US"/>
              </w:rPr>
            </w:pPr>
          </w:p>
        </w:tc>
        <w:tc>
          <w:tcPr>
            <w:tcW w:w="702" w:type="pct"/>
            <w:tcBorders>
              <w:top w:val="nil"/>
              <w:left w:val="nil"/>
              <w:bottom w:val="single" w:sz="8" w:space="0" w:color="auto"/>
              <w:right w:val="single" w:sz="8" w:space="0" w:color="auto"/>
            </w:tcBorders>
            <w:shd w:val="clear" w:color="auto" w:fill="auto"/>
            <w:vAlign w:val="center"/>
            <w:hideMark/>
          </w:tcPr>
          <w:p w14:paraId="4BAF0E0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#53</w:t>
            </w:r>
          </w:p>
        </w:tc>
        <w:tc>
          <w:tcPr>
            <w:tcW w:w="406" w:type="pct"/>
            <w:tcBorders>
              <w:top w:val="nil"/>
              <w:left w:val="nil"/>
              <w:bottom w:val="single" w:sz="8" w:space="0" w:color="auto"/>
              <w:right w:val="single" w:sz="4" w:space="0" w:color="auto"/>
            </w:tcBorders>
            <w:shd w:val="clear" w:color="auto" w:fill="auto"/>
            <w:vAlign w:val="center"/>
            <w:hideMark/>
          </w:tcPr>
          <w:p w14:paraId="15BAF3B9"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8" w:space="0" w:color="auto"/>
              <w:right w:val="single" w:sz="4" w:space="0" w:color="auto"/>
            </w:tcBorders>
            <w:shd w:val="clear" w:color="auto" w:fill="auto"/>
            <w:vAlign w:val="center"/>
            <w:hideMark/>
          </w:tcPr>
          <w:p w14:paraId="4024C25E"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8" w:space="0" w:color="auto"/>
              <w:right w:val="single" w:sz="4" w:space="0" w:color="auto"/>
            </w:tcBorders>
            <w:shd w:val="clear" w:color="auto" w:fill="auto"/>
            <w:vAlign w:val="center"/>
            <w:hideMark/>
          </w:tcPr>
          <w:p w14:paraId="5D4178E6"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8" w:space="0" w:color="auto"/>
              <w:right w:val="single" w:sz="4" w:space="0" w:color="auto"/>
            </w:tcBorders>
            <w:shd w:val="clear" w:color="auto" w:fill="auto"/>
            <w:vAlign w:val="center"/>
            <w:hideMark/>
          </w:tcPr>
          <w:p w14:paraId="33C7E6D9"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nil"/>
              <w:bottom w:val="single" w:sz="8" w:space="0" w:color="auto"/>
              <w:right w:val="single" w:sz="4" w:space="0" w:color="auto"/>
            </w:tcBorders>
            <w:shd w:val="clear" w:color="auto" w:fill="auto"/>
            <w:vAlign w:val="center"/>
            <w:hideMark/>
          </w:tcPr>
          <w:p w14:paraId="16EFDDC3"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8" w:space="0" w:color="auto"/>
              <w:right w:val="single" w:sz="4" w:space="0" w:color="auto"/>
            </w:tcBorders>
            <w:shd w:val="clear" w:color="auto" w:fill="auto"/>
            <w:vAlign w:val="center"/>
            <w:hideMark/>
          </w:tcPr>
          <w:p w14:paraId="0B1B4DE5"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58" w:type="pct"/>
            <w:tcBorders>
              <w:top w:val="nil"/>
              <w:left w:val="nil"/>
              <w:bottom w:val="single" w:sz="8" w:space="0" w:color="auto"/>
              <w:right w:val="single" w:sz="4" w:space="0" w:color="auto"/>
            </w:tcBorders>
            <w:shd w:val="clear" w:color="auto" w:fill="auto"/>
            <w:vAlign w:val="center"/>
            <w:hideMark/>
          </w:tcPr>
          <w:p w14:paraId="31880BAE"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07" w:type="pct"/>
            <w:tcBorders>
              <w:top w:val="nil"/>
              <w:left w:val="nil"/>
              <w:bottom w:val="single" w:sz="8" w:space="0" w:color="auto"/>
              <w:right w:val="single" w:sz="8" w:space="0" w:color="auto"/>
            </w:tcBorders>
            <w:shd w:val="clear" w:color="auto" w:fill="auto"/>
            <w:vAlign w:val="center"/>
            <w:hideMark/>
          </w:tcPr>
          <w:p w14:paraId="4B34E29C"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195" w:type="pct"/>
            <w:tcBorders>
              <w:top w:val="nil"/>
              <w:left w:val="nil"/>
              <w:bottom w:val="nil"/>
              <w:right w:val="nil"/>
            </w:tcBorders>
            <w:shd w:val="clear" w:color="auto" w:fill="auto"/>
            <w:noWrap/>
            <w:vAlign w:val="center"/>
            <w:hideMark/>
          </w:tcPr>
          <w:p w14:paraId="46E650B1"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r>
      <w:tr w:rsidR="006C029B" w:rsidRPr="00616BD9" w14:paraId="03E8713D" w14:textId="77777777" w:rsidTr="00CC27E3">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1C7864F"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2025</w:t>
            </w:r>
          </w:p>
        </w:tc>
        <w:tc>
          <w:tcPr>
            <w:tcW w:w="702" w:type="pct"/>
            <w:tcBorders>
              <w:top w:val="nil"/>
              <w:left w:val="nil"/>
              <w:bottom w:val="single" w:sz="4" w:space="0" w:color="auto"/>
              <w:right w:val="single" w:sz="8" w:space="0" w:color="auto"/>
            </w:tcBorders>
            <w:shd w:val="clear" w:color="000000" w:fill="DDEBF7"/>
            <w:noWrap/>
            <w:vAlign w:val="center"/>
            <w:hideMark/>
          </w:tcPr>
          <w:p w14:paraId="4E783FD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Grupo de </w:t>
            </w:r>
            <w:proofErr w:type="spellStart"/>
            <w:r w:rsidRPr="00616BD9">
              <w:rPr>
                <w:rFonts w:eastAsia="Times New Roman"/>
                <w:b/>
                <w:bCs/>
                <w:spacing w:val="0"/>
                <w:w w:val="100"/>
                <w:kern w:val="0"/>
                <w:sz w:val="16"/>
                <w:szCs w:val="16"/>
                <w:lang w:val="en-US"/>
              </w:rPr>
              <w:t>Trabajo</w:t>
            </w:r>
            <w:proofErr w:type="spellEnd"/>
            <w:r w:rsidRPr="00616BD9">
              <w:rPr>
                <w:rFonts w:eastAsia="Times New Roman"/>
                <w:b/>
                <w:bCs/>
                <w:spacing w:val="0"/>
                <w:w w:val="100"/>
                <w:kern w:val="0"/>
                <w:sz w:val="16"/>
                <w:szCs w:val="16"/>
                <w:lang w:val="en-US"/>
              </w:rPr>
              <w:t xml:space="preserve"> #54</w:t>
            </w:r>
          </w:p>
        </w:tc>
        <w:tc>
          <w:tcPr>
            <w:tcW w:w="3913" w:type="pct"/>
            <w:gridSpan w:val="8"/>
            <w:tcBorders>
              <w:top w:val="single" w:sz="8" w:space="0" w:color="auto"/>
              <w:left w:val="nil"/>
              <w:bottom w:val="single" w:sz="4" w:space="0" w:color="auto"/>
              <w:right w:val="single" w:sz="8" w:space="0" w:color="000000"/>
            </w:tcBorders>
            <w:shd w:val="clear" w:color="000000" w:fill="DDEBF7"/>
            <w:noWrap/>
            <w:vAlign w:val="center"/>
            <w:hideMark/>
          </w:tcPr>
          <w:p w14:paraId="76351AD3"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roofErr w:type="spellStart"/>
            <w:r w:rsidRPr="00616BD9">
              <w:rPr>
                <w:rFonts w:eastAsia="Times New Roman"/>
                <w:b/>
                <w:bCs/>
                <w:spacing w:val="0"/>
                <w:w w:val="100"/>
                <w:kern w:val="0"/>
                <w:sz w:val="16"/>
                <w:szCs w:val="16"/>
                <w:lang w:val="en-US"/>
              </w:rPr>
              <w:t>Mantenido</w:t>
            </w:r>
            <w:proofErr w:type="spellEnd"/>
            <w:r w:rsidRPr="00616BD9">
              <w:rPr>
                <w:rFonts w:eastAsia="Times New Roman"/>
                <w:b/>
                <w:bCs/>
                <w:spacing w:val="0"/>
                <w:w w:val="100"/>
                <w:kern w:val="0"/>
                <w:sz w:val="16"/>
                <w:szCs w:val="16"/>
                <w:lang w:val="en-US"/>
              </w:rPr>
              <w:t xml:space="preserve"> en </w:t>
            </w:r>
            <w:proofErr w:type="spellStart"/>
            <w:r w:rsidRPr="00616BD9">
              <w:rPr>
                <w:rFonts w:eastAsia="Times New Roman"/>
                <w:b/>
                <w:bCs/>
                <w:spacing w:val="0"/>
                <w:w w:val="100"/>
                <w:kern w:val="0"/>
                <w:sz w:val="16"/>
                <w:szCs w:val="16"/>
                <w:lang w:val="en-US"/>
              </w:rPr>
              <w:t>Reserva</w:t>
            </w:r>
            <w:proofErr w:type="spellEnd"/>
          </w:p>
        </w:tc>
        <w:tc>
          <w:tcPr>
            <w:tcW w:w="195" w:type="pct"/>
            <w:tcBorders>
              <w:top w:val="nil"/>
              <w:left w:val="nil"/>
              <w:bottom w:val="nil"/>
              <w:right w:val="nil"/>
            </w:tcBorders>
            <w:shd w:val="clear" w:color="auto" w:fill="auto"/>
            <w:noWrap/>
            <w:vAlign w:val="center"/>
            <w:hideMark/>
          </w:tcPr>
          <w:p w14:paraId="6E53120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
        </w:tc>
      </w:tr>
      <w:tr w:rsidR="005D4B14" w:rsidRPr="00616BD9" w14:paraId="0F08510A" w14:textId="77777777" w:rsidTr="00E42CBD">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74CF606" w14:textId="77777777" w:rsidR="005D4B14" w:rsidRPr="00616BD9" w:rsidRDefault="005D4B14" w:rsidP="006C029B">
            <w:pPr>
              <w:suppressAutoHyphens w:val="0"/>
              <w:spacing w:line="240" w:lineRule="auto"/>
              <w:rPr>
                <w:rFonts w:eastAsia="Times New Roman"/>
                <w:b/>
                <w:bCs/>
                <w:spacing w:val="0"/>
                <w:w w:val="100"/>
                <w:kern w:val="0"/>
                <w:sz w:val="16"/>
                <w:szCs w:val="16"/>
                <w:lang w:val="en-US"/>
              </w:rPr>
            </w:pPr>
          </w:p>
        </w:tc>
        <w:tc>
          <w:tcPr>
            <w:tcW w:w="702" w:type="pct"/>
            <w:vMerge w:val="restart"/>
            <w:tcBorders>
              <w:top w:val="nil"/>
              <w:left w:val="nil"/>
              <w:right w:val="single" w:sz="8" w:space="0" w:color="auto"/>
            </w:tcBorders>
            <w:shd w:val="clear" w:color="auto" w:fill="auto"/>
            <w:vAlign w:val="center"/>
            <w:hideMark/>
          </w:tcPr>
          <w:p w14:paraId="716F3651" w14:textId="77777777" w:rsidR="005D4B14" w:rsidRPr="00616BD9" w:rsidRDefault="005D4B14"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Reunión entre período de sesiones #54</w:t>
            </w:r>
          </w:p>
          <w:p w14:paraId="2E86F4E2" w14:textId="5283A4A1" w:rsidR="005D4B14" w:rsidRPr="00616BD9" w:rsidRDefault="005D4B14" w:rsidP="006C029B">
            <w:pPr>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 </w:t>
            </w:r>
          </w:p>
        </w:tc>
        <w:tc>
          <w:tcPr>
            <w:tcW w:w="406" w:type="pct"/>
            <w:tcBorders>
              <w:top w:val="nil"/>
              <w:left w:val="nil"/>
              <w:bottom w:val="single" w:sz="4" w:space="0" w:color="auto"/>
              <w:right w:val="single" w:sz="4" w:space="0" w:color="auto"/>
            </w:tcBorders>
            <w:shd w:val="clear" w:color="auto" w:fill="auto"/>
            <w:vAlign w:val="center"/>
            <w:hideMark/>
          </w:tcPr>
          <w:p w14:paraId="0A6D5E7E"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8" w:type="pct"/>
            <w:tcBorders>
              <w:top w:val="nil"/>
              <w:left w:val="nil"/>
              <w:bottom w:val="single" w:sz="4" w:space="0" w:color="auto"/>
              <w:right w:val="single" w:sz="4" w:space="0" w:color="auto"/>
            </w:tcBorders>
            <w:shd w:val="clear" w:color="auto" w:fill="auto"/>
            <w:vAlign w:val="center"/>
            <w:hideMark/>
          </w:tcPr>
          <w:p w14:paraId="20CEB9D4"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35" w:type="pct"/>
            <w:tcBorders>
              <w:top w:val="nil"/>
              <w:left w:val="nil"/>
              <w:bottom w:val="single" w:sz="4" w:space="0" w:color="auto"/>
              <w:right w:val="single" w:sz="4" w:space="0" w:color="auto"/>
            </w:tcBorders>
            <w:shd w:val="clear" w:color="auto" w:fill="auto"/>
            <w:vAlign w:val="center"/>
            <w:hideMark/>
          </w:tcPr>
          <w:p w14:paraId="35BBBA61"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745" w:type="pct"/>
            <w:tcBorders>
              <w:top w:val="nil"/>
              <w:left w:val="nil"/>
              <w:bottom w:val="single" w:sz="4" w:space="0" w:color="auto"/>
              <w:right w:val="nil"/>
            </w:tcBorders>
            <w:shd w:val="clear" w:color="auto" w:fill="auto"/>
            <w:vAlign w:val="center"/>
            <w:hideMark/>
          </w:tcPr>
          <w:p w14:paraId="7DE9F633"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22" w:type="pct"/>
            <w:tcBorders>
              <w:top w:val="nil"/>
              <w:left w:val="single" w:sz="4" w:space="0" w:color="auto"/>
              <w:bottom w:val="single" w:sz="4" w:space="0" w:color="auto"/>
              <w:right w:val="single" w:sz="4" w:space="0" w:color="auto"/>
            </w:tcBorders>
            <w:shd w:val="clear" w:color="auto" w:fill="auto"/>
            <w:vAlign w:val="center"/>
            <w:hideMark/>
          </w:tcPr>
          <w:p w14:paraId="1396F000"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12" w:type="pct"/>
            <w:tcBorders>
              <w:top w:val="nil"/>
              <w:left w:val="nil"/>
              <w:bottom w:val="single" w:sz="4" w:space="0" w:color="auto"/>
              <w:right w:val="single" w:sz="4" w:space="0" w:color="auto"/>
            </w:tcBorders>
            <w:shd w:val="clear" w:color="auto" w:fill="auto"/>
            <w:vAlign w:val="center"/>
            <w:hideMark/>
          </w:tcPr>
          <w:p w14:paraId="2081F204"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558" w:type="pct"/>
            <w:tcBorders>
              <w:top w:val="nil"/>
              <w:left w:val="nil"/>
              <w:bottom w:val="single" w:sz="4" w:space="0" w:color="auto"/>
              <w:right w:val="single" w:sz="4" w:space="0" w:color="auto"/>
            </w:tcBorders>
            <w:shd w:val="clear" w:color="auto" w:fill="auto"/>
            <w:vAlign w:val="center"/>
            <w:hideMark/>
          </w:tcPr>
          <w:p w14:paraId="342E37E7"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407" w:type="pct"/>
            <w:tcBorders>
              <w:top w:val="nil"/>
              <w:left w:val="nil"/>
              <w:bottom w:val="single" w:sz="4" w:space="0" w:color="auto"/>
              <w:right w:val="single" w:sz="8" w:space="0" w:color="auto"/>
            </w:tcBorders>
            <w:shd w:val="clear" w:color="auto" w:fill="auto"/>
            <w:vAlign w:val="center"/>
            <w:hideMark/>
          </w:tcPr>
          <w:p w14:paraId="6C237873"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r w:rsidRPr="00616BD9">
              <w:rPr>
                <w:rFonts w:eastAsia="Times New Roman"/>
                <w:spacing w:val="0"/>
                <w:w w:val="100"/>
                <w:kern w:val="0"/>
                <w:sz w:val="16"/>
                <w:szCs w:val="16"/>
                <w:lang w:val="es-CL"/>
              </w:rPr>
              <w:t> </w:t>
            </w:r>
          </w:p>
        </w:tc>
        <w:tc>
          <w:tcPr>
            <w:tcW w:w="195" w:type="pct"/>
            <w:tcBorders>
              <w:top w:val="nil"/>
              <w:left w:val="nil"/>
              <w:bottom w:val="nil"/>
              <w:right w:val="nil"/>
            </w:tcBorders>
            <w:shd w:val="clear" w:color="auto" w:fill="auto"/>
            <w:noWrap/>
            <w:vAlign w:val="center"/>
            <w:hideMark/>
          </w:tcPr>
          <w:p w14:paraId="27D0C452" w14:textId="77777777" w:rsidR="005D4B14" w:rsidRPr="00616BD9" w:rsidRDefault="005D4B14" w:rsidP="006C029B">
            <w:pPr>
              <w:suppressAutoHyphens w:val="0"/>
              <w:spacing w:line="240" w:lineRule="auto"/>
              <w:jc w:val="center"/>
              <w:rPr>
                <w:rFonts w:eastAsia="Times New Roman"/>
                <w:spacing w:val="0"/>
                <w:w w:val="100"/>
                <w:kern w:val="0"/>
                <w:sz w:val="16"/>
                <w:szCs w:val="16"/>
                <w:lang w:val="es-CL"/>
              </w:rPr>
            </w:pPr>
          </w:p>
        </w:tc>
      </w:tr>
      <w:tr w:rsidR="005D4B14" w:rsidRPr="00616BD9" w14:paraId="75B65149" w14:textId="77777777" w:rsidTr="00E42CBD">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D19988A" w14:textId="77777777" w:rsidR="005D4B14" w:rsidRPr="00616BD9" w:rsidRDefault="005D4B14" w:rsidP="006C029B">
            <w:pPr>
              <w:suppressAutoHyphens w:val="0"/>
              <w:spacing w:line="240" w:lineRule="auto"/>
              <w:rPr>
                <w:rFonts w:eastAsia="Times New Roman"/>
                <w:b/>
                <w:bCs/>
                <w:spacing w:val="0"/>
                <w:w w:val="100"/>
                <w:kern w:val="0"/>
                <w:sz w:val="16"/>
                <w:szCs w:val="16"/>
                <w:lang w:val="es-CL"/>
              </w:rPr>
            </w:pPr>
          </w:p>
        </w:tc>
        <w:tc>
          <w:tcPr>
            <w:tcW w:w="702" w:type="pct"/>
            <w:vMerge/>
            <w:tcBorders>
              <w:left w:val="nil"/>
              <w:bottom w:val="single" w:sz="8" w:space="0" w:color="auto"/>
              <w:right w:val="single" w:sz="8" w:space="0" w:color="auto"/>
            </w:tcBorders>
            <w:shd w:val="clear" w:color="auto" w:fill="auto"/>
            <w:noWrap/>
            <w:vAlign w:val="center"/>
            <w:hideMark/>
          </w:tcPr>
          <w:p w14:paraId="69FDD0E7" w14:textId="3C67155A" w:rsidR="005D4B14" w:rsidRPr="00616BD9" w:rsidRDefault="005D4B14" w:rsidP="006C029B">
            <w:pPr>
              <w:suppressAutoHyphens w:val="0"/>
              <w:spacing w:line="240" w:lineRule="auto"/>
              <w:jc w:val="center"/>
              <w:rPr>
                <w:rFonts w:eastAsia="Times New Roman"/>
                <w:b/>
                <w:bCs/>
                <w:spacing w:val="0"/>
                <w:w w:val="100"/>
                <w:kern w:val="0"/>
                <w:sz w:val="16"/>
                <w:szCs w:val="16"/>
                <w:lang w:val="es-CL"/>
              </w:rPr>
            </w:pPr>
          </w:p>
        </w:tc>
        <w:tc>
          <w:tcPr>
            <w:tcW w:w="3913" w:type="pct"/>
            <w:gridSpan w:val="8"/>
            <w:tcBorders>
              <w:top w:val="single" w:sz="4" w:space="0" w:color="auto"/>
              <w:left w:val="nil"/>
              <w:bottom w:val="single" w:sz="8" w:space="0" w:color="auto"/>
              <w:right w:val="single" w:sz="8" w:space="0" w:color="000000"/>
            </w:tcBorders>
            <w:shd w:val="clear" w:color="000000" w:fill="E2EFDA"/>
            <w:vAlign w:val="center"/>
            <w:hideMark/>
          </w:tcPr>
          <w:p w14:paraId="494427E7" w14:textId="77777777" w:rsidR="005D4B14" w:rsidRPr="00616BD9" w:rsidRDefault="005D4B14"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 xml:space="preserve">Comisión #58 - Adopción Formal de todas las reformas </w:t>
            </w:r>
          </w:p>
        </w:tc>
        <w:tc>
          <w:tcPr>
            <w:tcW w:w="195" w:type="pct"/>
            <w:tcBorders>
              <w:top w:val="nil"/>
              <w:left w:val="nil"/>
              <w:bottom w:val="nil"/>
              <w:right w:val="nil"/>
            </w:tcBorders>
            <w:shd w:val="clear" w:color="auto" w:fill="auto"/>
            <w:noWrap/>
            <w:vAlign w:val="center"/>
            <w:hideMark/>
          </w:tcPr>
          <w:p w14:paraId="56BB97AB" w14:textId="77777777" w:rsidR="005D4B14" w:rsidRPr="00616BD9" w:rsidRDefault="005D4B14" w:rsidP="006C029B">
            <w:pPr>
              <w:suppressAutoHyphens w:val="0"/>
              <w:spacing w:line="240" w:lineRule="auto"/>
              <w:jc w:val="center"/>
              <w:rPr>
                <w:rFonts w:eastAsia="Times New Roman"/>
                <w:b/>
                <w:bCs/>
                <w:spacing w:val="0"/>
                <w:w w:val="100"/>
                <w:kern w:val="0"/>
                <w:sz w:val="16"/>
                <w:szCs w:val="16"/>
                <w:lang w:val="es-CL"/>
              </w:rPr>
            </w:pPr>
          </w:p>
        </w:tc>
      </w:tr>
      <w:tr w:rsidR="00CC27E3" w:rsidRPr="00616BD9" w14:paraId="4CD99155" w14:textId="77777777" w:rsidTr="007B7419">
        <w:trPr>
          <w:trHeight w:val="500"/>
        </w:trPr>
        <w:tc>
          <w:tcPr>
            <w:tcW w:w="190" w:type="pct"/>
            <w:tcBorders>
              <w:top w:val="nil"/>
              <w:left w:val="nil"/>
              <w:bottom w:val="nil"/>
              <w:right w:val="nil"/>
            </w:tcBorders>
            <w:shd w:val="clear" w:color="auto" w:fill="auto"/>
            <w:noWrap/>
            <w:vAlign w:val="bottom"/>
            <w:hideMark/>
          </w:tcPr>
          <w:p w14:paraId="69CCA81F"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702" w:type="pct"/>
            <w:tcBorders>
              <w:top w:val="nil"/>
              <w:left w:val="nil"/>
              <w:bottom w:val="nil"/>
              <w:right w:val="nil"/>
            </w:tcBorders>
            <w:shd w:val="clear" w:color="auto" w:fill="auto"/>
            <w:noWrap/>
            <w:vAlign w:val="center"/>
            <w:hideMark/>
          </w:tcPr>
          <w:p w14:paraId="6B5A8E4B" w14:textId="77777777" w:rsidR="006C029B" w:rsidRPr="00616BD9" w:rsidRDefault="006C029B" w:rsidP="006C029B">
            <w:pPr>
              <w:suppressAutoHyphens w:val="0"/>
              <w:spacing w:line="240" w:lineRule="auto"/>
              <w:rPr>
                <w:rFonts w:eastAsia="Times New Roman"/>
                <w:spacing w:val="0"/>
                <w:w w:val="100"/>
                <w:kern w:val="0"/>
                <w:sz w:val="16"/>
                <w:szCs w:val="16"/>
                <w:lang w:val="es-CL"/>
              </w:rPr>
            </w:pPr>
          </w:p>
        </w:tc>
        <w:tc>
          <w:tcPr>
            <w:tcW w:w="406" w:type="pct"/>
            <w:tcBorders>
              <w:top w:val="nil"/>
              <w:left w:val="nil"/>
              <w:bottom w:val="nil"/>
              <w:right w:val="nil"/>
            </w:tcBorders>
            <w:shd w:val="clear" w:color="auto" w:fill="auto"/>
            <w:noWrap/>
            <w:vAlign w:val="center"/>
            <w:hideMark/>
          </w:tcPr>
          <w:p w14:paraId="0C11B5B5"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428" w:type="pct"/>
            <w:tcBorders>
              <w:top w:val="nil"/>
              <w:left w:val="nil"/>
              <w:bottom w:val="nil"/>
              <w:right w:val="nil"/>
            </w:tcBorders>
            <w:shd w:val="clear" w:color="auto" w:fill="auto"/>
            <w:noWrap/>
            <w:vAlign w:val="center"/>
            <w:hideMark/>
          </w:tcPr>
          <w:p w14:paraId="1E7487F2"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535" w:type="pct"/>
            <w:tcBorders>
              <w:top w:val="nil"/>
              <w:left w:val="nil"/>
              <w:bottom w:val="nil"/>
              <w:right w:val="nil"/>
            </w:tcBorders>
            <w:shd w:val="clear" w:color="auto" w:fill="auto"/>
            <w:noWrap/>
            <w:vAlign w:val="center"/>
            <w:hideMark/>
          </w:tcPr>
          <w:p w14:paraId="77900250"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745" w:type="pct"/>
            <w:tcBorders>
              <w:top w:val="nil"/>
              <w:left w:val="nil"/>
              <w:bottom w:val="nil"/>
              <w:right w:val="nil"/>
            </w:tcBorders>
            <w:shd w:val="clear" w:color="auto" w:fill="auto"/>
            <w:noWrap/>
            <w:vAlign w:val="center"/>
            <w:hideMark/>
          </w:tcPr>
          <w:p w14:paraId="6AB5A821"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422" w:type="pct"/>
            <w:tcBorders>
              <w:top w:val="nil"/>
              <w:left w:val="nil"/>
              <w:bottom w:val="nil"/>
              <w:right w:val="nil"/>
            </w:tcBorders>
            <w:shd w:val="clear" w:color="auto" w:fill="auto"/>
            <w:noWrap/>
            <w:vAlign w:val="center"/>
            <w:hideMark/>
          </w:tcPr>
          <w:p w14:paraId="55FFD793"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412" w:type="pct"/>
            <w:tcBorders>
              <w:top w:val="nil"/>
              <w:left w:val="nil"/>
              <w:bottom w:val="nil"/>
              <w:right w:val="nil"/>
            </w:tcBorders>
            <w:shd w:val="clear" w:color="auto" w:fill="auto"/>
            <w:noWrap/>
            <w:vAlign w:val="center"/>
            <w:hideMark/>
          </w:tcPr>
          <w:p w14:paraId="52FDF738"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558" w:type="pct"/>
            <w:tcBorders>
              <w:top w:val="nil"/>
              <w:left w:val="nil"/>
              <w:bottom w:val="nil"/>
              <w:right w:val="nil"/>
            </w:tcBorders>
            <w:shd w:val="clear" w:color="auto" w:fill="auto"/>
            <w:noWrap/>
            <w:vAlign w:val="center"/>
            <w:hideMark/>
          </w:tcPr>
          <w:p w14:paraId="740210DB"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407" w:type="pct"/>
            <w:tcBorders>
              <w:top w:val="nil"/>
              <w:left w:val="nil"/>
              <w:bottom w:val="nil"/>
              <w:right w:val="nil"/>
            </w:tcBorders>
            <w:shd w:val="clear" w:color="auto" w:fill="auto"/>
            <w:noWrap/>
            <w:vAlign w:val="center"/>
            <w:hideMark/>
          </w:tcPr>
          <w:p w14:paraId="0E4DA8E2" w14:textId="77777777" w:rsidR="006C029B" w:rsidRPr="00616BD9" w:rsidRDefault="006C029B" w:rsidP="006C029B">
            <w:pPr>
              <w:suppressAutoHyphens w:val="0"/>
              <w:spacing w:line="240" w:lineRule="auto"/>
              <w:jc w:val="center"/>
              <w:rPr>
                <w:rFonts w:eastAsia="Times New Roman"/>
                <w:spacing w:val="0"/>
                <w:w w:val="100"/>
                <w:kern w:val="0"/>
                <w:sz w:val="16"/>
                <w:szCs w:val="16"/>
                <w:lang w:val="es-CL"/>
              </w:rPr>
            </w:pPr>
          </w:p>
        </w:tc>
        <w:tc>
          <w:tcPr>
            <w:tcW w:w="195"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54549B60"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Total</w:t>
            </w:r>
          </w:p>
        </w:tc>
      </w:tr>
      <w:tr w:rsidR="00CC27E3" w:rsidRPr="00616BD9" w14:paraId="72931328" w14:textId="77777777" w:rsidTr="007B7419">
        <w:trPr>
          <w:trHeight w:val="540"/>
        </w:trPr>
        <w:tc>
          <w:tcPr>
            <w:tcW w:w="190" w:type="pct"/>
            <w:tcBorders>
              <w:top w:val="nil"/>
              <w:left w:val="nil"/>
              <w:bottom w:val="nil"/>
              <w:right w:val="nil"/>
            </w:tcBorders>
            <w:shd w:val="clear" w:color="auto" w:fill="auto"/>
            <w:noWrap/>
            <w:vAlign w:val="bottom"/>
            <w:hideMark/>
          </w:tcPr>
          <w:p w14:paraId="51A95374"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
        </w:tc>
        <w:tc>
          <w:tcPr>
            <w:tcW w:w="702" w:type="pc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7F3605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s-CL"/>
              </w:rPr>
            </w:pPr>
            <w:r w:rsidRPr="00616BD9">
              <w:rPr>
                <w:rFonts w:eastAsia="Times New Roman"/>
                <w:b/>
                <w:bCs/>
                <w:spacing w:val="0"/>
                <w:w w:val="100"/>
                <w:kern w:val="0"/>
                <w:sz w:val="16"/>
                <w:szCs w:val="16"/>
                <w:lang w:val="es-CL"/>
              </w:rPr>
              <w:t xml:space="preserve"> Días de Grupos de Trabajo</w:t>
            </w:r>
          </w:p>
        </w:tc>
        <w:tc>
          <w:tcPr>
            <w:tcW w:w="406" w:type="pct"/>
            <w:tcBorders>
              <w:top w:val="single" w:sz="8" w:space="0" w:color="auto"/>
              <w:left w:val="nil"/>
              <w:bottom w:val="single" w:sz="4" w:space="0" w:color="auto"/>
              <w:right w:val="single" w:sz="4" w:space="0" w:color="auto"/>
            </w:tcBorders>
            <w:shd w:val="clear" w:color="auto" w:fill="auto"/>
            <w:noWrap/>
            <w:vAlign w:val="center"/>
            <w:hideMark/>
          </w:tcPr>
          <w:p w14:paraId="7EC46D6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5</w:t>
            </w:r>
          </w:p>
        </w:tc>
        <w:tc>
          <w:tcPr>
            <w:tcW w:w="428" w:type="pct"/>
            <w:tcBorders>
              <w:top w:val="single" w:sz="8" w:space="0" w:color="auto"/>
              <w:left w:val="nil"/>
              <w:bottom w:val="single" w:sz="4" w:space="0" w:color="auto"/>
              <w:right w:val="single" w:sz="4" w:space="0" w:color="auto"/>
            </w:tcBorders>
            <w:shd w:val="clear" w:color="auto" w:fill="auto"/>
            <w:noWrap/>
            <w:vAlign w:val="center"/>
            <w:hideMark/>
          </w:tcPr>
          <w:p w14:paraId="50A518C6"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4</w:t>
            </w:r>
          </w:p>
        </w:tc>
        <w:tc>
          <w:tcPr>
            <w:tcW w:w="535" w:type="pct"/>
            <w:tcBorders>
              <w:top w:val="single" w:sz="8" w:space="0" w:color="auto"/>
              <w:left w:val="nil"/>
              <w:bottom w:val="single" w:sz="4" w:space="0" w:color="auto"/>
              <w:right w:val="single" w:sz="4" w:space="0" w:color="auto"/>
            </w:tcBorders>
            <w:shd w:val="clear" w:color="auto" w:fill="auto"/>
            <w:vAlign w:val="center"/>
            <w:hideMark/>
          </w:tcPr>
          <w:p w14:paraId="68B44B8E"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4</w:t>
            </w:r>
          </w:p>
        </w:tc>
        <w:tc>
          <w:tcPr>
            <w:tcW w:w="745" w:type="pct"/>
            <w:tcBorders>
              <w:top w:val="single" w:sz="8" w:space="0" w:color="auto"/>
              <w:left w:val="nil"/>
              <w:bottom w:val="single" w:sz="4" w:space="0" w:color="auto"/>
              <w:right w:val="single" w:sz="4" w:space="0" w:color="auto"/>
            </w:tcBorders>
            <w:shd w:val="clear" w:color="auto" w:fill="auto"/>
            <w:vAlign w:val="center"/>
            <w:hideMark/>
          </w:tcPr>
          <w:p w14:paraId="67C3687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9</w:t>
            </w:r>
          </w:p>
        </w:tc>
        <w:tc>
          <w:tcPr>
            <w:tcW w:w="422" w:type="pct"/>
            <w:tcBorders>
              <w:top w:val="single" w:sz="8" w:space="0" w:color="auto"/>
              <w:left w:val="nil"/>
              <w:bottom w:val="single" w:sz="4" w:space="0" w:color="auto"/>
              <w:right w:val="single" w:sz="4" w:space="0" w:color="auto"/>
            </w:tcBorders>
            <w:shd w:val="clear" w:color="auto" w:fill="auto"/>
            <w:vAlign w:val="center"/>
            <w:hideMark/>
          </w:tcPr>
          <w:p w14:paraId="4E8A996E"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6</w:t>
            </w:r>
          </w:p>
        </w:tc>
        <w:tc>
          <w:tcPr>
            <w:tcW w:w="412" w:type="pct"/>
            <w:tcBorders>
              <w:top w:val="single" w:sz="8" w:space="0" w:color="auto"/>
              <w:left w:val="nil"/>
              <w:bottom w:val="single" w:sz="4" w:space="0" w:color="auto"/>
              <w:right w:val="single" w:sz="4" w:space="0" w:color="auto"/>
            </w:tcBorders>
            <w:shd w:val="clear" w:color="auto" w:fill="auto"/>
            <w:vAlign w:val="center"/>
            <w:hideMark/>
          </w:tcPr>
          <w:p w14:paraId="362CFDC2"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10</w:t>
            </w:r>
          </w:p>
        </w:tc>
        <w:tc>
          <w:tcPr>
            <w:tcW w:w="558" w:type="pct"/>
            <w:tcBorders>
              <w:top w:val="single" w:sz="8" w:space="0" w:color="auto"/>
              <w:left w:val="nil"/>
              <w:bottom w:val="single" w:sz="4" w:space="0" w:color="auto"/>
              <w:right w:val="single" w:sz="8" w:space="0" w:color="auto"/>
            </w:tcBorders>
            <w:shd w:val="clear" w:color="auto" w:fill="auto"/>
            <w:vAlign w:val="center"/>
            <w:hideMark/>
          </w:tcPr>
          <w:p w14:paraId="770FCB6C"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10</w:t>
            </w:r>
          </w:p>
        </w:tc>
        <w:tc>
          <w:tcPr>
            <w:tcW w:w="407" w:type="pct"/>
            <w:tcBorders>
              <w:top w:val="single" w:sz="8" w:space="0" w:color="auto"/>
              <w:left w:val="nil"/>
              <w:bottom w:val="single" w:sz="4" w:space="0" w:color="auto"/>
              <w:right w:val="nil"/>
            </w:tcBorders>
            <w:shd w:val="clear" w:color="auto" w:fill="auto"/>
            <w:noWrap/>
            <w:vAlign w:val="center"/>
            <w:hideMark/>
          </w:tcPr>
          <w:p w14:paraId="33FBE72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9</w:t>
            </w:r>
          </w:p>
        </w:tc>
        <w:tc>
          <w:tcPr>
            <w:tcW w:w="195" w:type="pct"/>
            <w:tcBorders>
              <w:top w:val="nil"/>
              <w:left w:val="single" w:sz="8" w:space="0" w:color="auto"/>
              <w:bottom w:val="single" w:sz="4" w:space="0" w:color="auto"/>
              <w:right w:val="single" w:sz="8" w:space="0" w:color="auto"/>
            </w:tcBorders>
            <w:shd w:val="clear" w:color="auto" w:fill="auto"/>
            <w:vAlign w:val="center"/>
            <w:hideMark/>
          </w:tcPr>
          <w:p w14:paraId="61E03D0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57</w:t>
            </w:r>
          </w:p>
        </w:tc>
      </w:tr>
      <w:tr w:rsidR="00CC27E3" w:rsidRPr="00616BD9" w14:paraId="1B3EFB55" w14:textId="77777777" w:rsidTr="007B7419">
        <w:trPr>
          <w:trHeight w:val="540"/>
        </w:trPr>
        <w:tc>
          <w:tcPr>
            <w:tcW w:w="190" w:type="pct"/>
            <w:tcBorders>
              <w:top w:val="nil"/>
              <w:left w:val="nil"/>
              <w:bottom w:val="nil"/>
              <w:right w:val="nil"/>
            </w:tcBorders>
            <w:shd w:val="clear" w:color="auto" w:fill="auto"/>
            <w:noWrap/>
            <w:vAlign w:val="bottom"/>
            <w:hideMark/>
          </w:tcPr>
          <w:p w14:paraId="0F52D3E7"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
        </w:tc>
        <w:tc>
          <w:tcPr>
            <w:tcW w:w="702" w:type="pct"/>
            <w:tcBorders>
              <w:top w:val="nil"/>
              <w:left w:val="single" w:sz="8" w:space="0" w:color="auto"/>
              <w:bottom w:val="double" w:sz="6" w:space="0" w:color="auto"/>
              <w:right w:val="single" w:sz="4" w:space="0" w:color="auto"/>
            </w:tcBorders>
            <w:shd w:val="clear" w:color="000000" w:fill="F2F2F2"/>
            <w:noWrap/>
            <w:vAlign w:val="center"/>
            <w:hideMark/>
          </w:tcPr>
          <w:p w14:paraId="77980DD2"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Días de </w:t>
            </w:r>
            <w:proofErr w:type="spellStart"/>
            <w:r w:rsidRPr="00616BD9">
              <w:rPr>
                <w:rFonts w:eastAsia="Times New Roman"/>
                <w:b/>
                <w:bCs/>
                <w:spacing w:val="0"/>
                <w:w w:val="100"/>
                <w:kern w:val="0"/>
                <w:sz w:val="16"/>
                <w:szCs w:val="16"/>
                <w:lang w:val="en-US"/>
              </w:rPr>
              <w:t>otras</w:t>
            </w:r>
            <w:proofErr w:type="spellEnd"/>
            <w:r w:rsidRPr="00616BD9">
              <w:rPr>
                <w:rFonts w:eastAsia="Times New Roman"/>
                <w:b/>
                <w:bCs/>
                <w:spacing w:val="0"/>
                <w:w w:val="100"/>
                <w:kern w:val="0"/>
                <w:sz w:val="16"/>
                <w:szCs w:val="16"/>
                <w:lang w:val="en-US"/>
              </w:rPr>
              <w:t xml:space="preserve"> </w:t>
            </w:r>
            <w:proofErr w:type="spellStart"/>
            <w:r w:rsidRPr="00616BD9">
              <w:rPr>
                <w:rFonts w:eastAsia="Times New Roman"/>
                <w:b/>
                <w:bCs/>
                <w:spacing w:val="0"/>
                <w:w w:val="100"/>
                <w:kern w:val="0"/>
                <w:sz w:val="16"/>
                <w:szCs w:val="16"/>
                <w:lang w:val="en-US"/>
              </w:rPr>
              <w:t>reuniones</w:t>
            </w:r>
            <w:proofErr w:type="spellEnd"/>
          </w:p>
        </w:tc>
        <w:tc>
          <w:tcPr>
            <w:tcW w:w="406" w:type="pct"/>
            <w:tcBorders>
              <w:top w:val="nil"/>
              <w:left w:val="nil"/>
              <w:bottom w:val="double" w:sz="6" w:space="0" w:color="auto"/>
              <w:right w:val="single" w:sz="4" w:space="0" w:color="auto"/>
            </w:tcBorders>
            <w:shd w:val="clear" w:color="auto" w:fill="auto"/>
            <w:noWrap/>
            <w:vAlign w:val="center"/>
            <w:hideMark/>
          </w:tcPr>
          <w:p w14:paraId="1F57276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9</w:t>
            </w:r>
          </w:p>
        </w:tc>
        <w:tc>
          <w:tcPr>
            <w:tcW w:w="428" w:type="pct"/>
            <w:tcBorders>
              <w:top w:val="nil"/>
              <w:left w:val="nil"/>
              <w:bottom w:val="double" w:sz="6" w:space="0" w:color="auto"/>
              <w:right w:val="single" w:sz="4" w:space="0" w:color="auto"/>
            </w:tcBorders>
            <w:shd w:val="clear" w:color="auto" w:fill="auto"/>
            <w:noWrap/>
            <w:vAlign w:val="center"/>
            <w:hideMark/>
          </w:tcPr>
          <w:p w14:paraId="6D8E71E7"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7</w:t>
            </w:r>
          </w:p>
        </w:tc>
        <w:tc>
          <w:tcPr>
            <w:tcW w:w="535" w:type="pct"/>
            <w:tcBorders>
              <w:top w:val="nil"/>
              <w:left w:val="nil"/>
              <w:bottom w:val="double" w:sz="6" w:space="0" w:color="auto"/>
              <w:right w:val="single" w:sz="4" w:space="0" w:color="auto"/>
            </w:tcBorders>
            <w:shd w:val="clear" w:color="auto" w:fill="auto"/>
            <w:vAlign w:val="center"/>
            <w:hideMark/>
          </w:tcPr>
          <w:p w14:paraId="0CB4979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4</w:t>
            </w:r>
          </w:p>
        </w:tc>
        <w:tc>
          <w:tcPr>
            <w:tcW w:w="745" w:type="pct"/>
            <w:tcBorders>
              <w:top w:val="nil"/>
              <w:left w:val="nil"/>
              <w:bottom w:val="double" w:sz="6" w:space="0" w:color="auto"/>
              <w:right w:val="single" w:sz="4" w:space="0" w:color="auto"/>
            </w:tcBorders>
            <w:shd w:val="clear" w:color="auto" w:fill="auto"/>
            <w:vAlign w:val="center"/>
            <w:hideMark/>
          </w:tcPr>
          <w:p w14:paraId="072757D7"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11</w:t>
            </w:r>
          </w:p>
        </w:tc>
        <w:tc>
          <w:tcPr>
            <w:tcW w:w="422" w:type="pct"/>
            <w:tcBorders>
              <w:top w:val="nil"/>
              <w:left w:val="nil"/>
              <w:bottom w:val="double" w:sz="6" w:space="0" w:color="auto"/>
              <w:right w:val="single" w:sz="4" w:space="0" w:color="auto"/>
            </w:tcBorders>
            <w:shd w:val="clear" w:color="auto" w:fill="auto"/>
            <w:vAlign w:val="center"/>
            <w:hideMark/>
          </w:tcPr>
          <w:p w14:paraId="0B61957F"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9</w:t>
            </w:r>
          </w:p>
        </w:tc>
        <w:tc>
          <w:tcPr>
            <w:tcW w:w="412" w:type="pct"/>
            <w:tcBorders>
              <w:top w:val="nil"/>
              <w:left w:val="nil"/>
              <w:bottom w:val="double" w:sz="6" w:space="0" w:color="auto"/>
              <w:right w:val="single" w:sz="4" w:space="0" w:color="auto"/>
            </w:tcBorders>
            <w:shd w:val="clear" w:color="auto" w:fill="auto"/>
            <w:vAlign w:val="center"/>
            <w:hideMark/>
          </w:tcPr>
          <w:p w14:paraId="39B0DA11"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12</w:t>
            </w:r>
          </w:p>
        </w:tc>
        <w:tc>
          <w:tcPr>
            <w:tcW w:w="558" w:type="pct"/>
            <w:tcBorders>
              <w:top w:val="nil"/>
              <w:left w:val="nil"/>
              <w:bottom w:val="double" w:sz="6" w:space="0" w:color="auto"/>
              <w:right w:val="single" w:sz="8" w:space="0" w:color="auto"/>
            </w:tcBorders>
            <w:shd w:val="clear" w:color="auto" w:fill="auto"/>
            <w:vAlign w:val="center"/>
            <w:hideMark/>
          </w:tcPr>
          <w:p w14:paraId="50AA891A"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12</w:t>
            </w:r>
          </w:p>
        </w:tc>
        <w:tc>
          <w:tcPr>
            <w:tcW w:w="407" w:type="pct"/>
            <w:tcBorders>
              <w:top w:val="nil"/>
              <w:left w:val="nil"/>
              <w:bottom w:val="double" w:sz="6" w:space="0" w:color="auto"/>
              <w:right w:val="nil"/>
            </w:tcBorders>
            <w:shd w:val="clear" w:color="auto" w:fill="auto"/>
            <w:noWrap/>
            <w:vAlign w:val="center"/>
            <w:hideMark/>
          </w:tcPr>
          <w:p w14:paraId="395A9CD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14</w:t>
            </w:r>
          </w:p>
        </w:tc>
        <w:tc>
          <w:tcPr>
            <w:tcW w:w="195" w:type="pct"/>
            <w:tcBorders>
              <w:top w:val="nil"/>
              <w:left w:val="single" w:sz="8" w:space="0" w:color="auto"/>
              <w:bottom w:val="double" w:sz="6" w:space="0" w:color="auto"/>
              <w:right w:val="single" w:sz="8" w:space="0" w:color="auto"/>
            </w:tcBorders>
            <w:shd w:val="clear" w:color="auto" w:fill="auto"/>
            <w:vAlign w:val="center"/>
            <w:hideMark/>
          </w:tcPr>
          <w:p w14:paraId="64408BC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78</w:t>
            </w:r>
          </w:p>
        </w:tc>
      </w:tr>
      <w:tr w:rsidR="00CC27E3" w:rsidRPr="00616BD9" w14:paraId="1E45139A" w14:textId="77777777" w:rsidTr="007B7419">
        <w:trPr>
          <w:trHeight w:val="540"/>
        </w:trPr>
        <w:tc>
          <w:tcPr>
            <w:tcW w:w="190" w:type="pct"/>
            <w:tcBorders>
              <w:top w:val="nil"/>
              <w:left w:val="nil"/>
              <w:bottom w:val="nil"/>
              <w:right w:val="nil"/>
            </w:tcBorders>
            <w:shd w:val="clear" w:color="auto" w:fill="auto"/>
            <w:noWrap/>
            <w:vAlign w:val="bottom"/>
            <w:hideMark/>
          </w:tcPr>
          <w:p w14:paraId="5A3C9B88"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p>
        </w:tc>
        <w:tc>
          <w:tcPr>
            <w:tcW w:w="702" w:type="pct"/>
            <w:tcBorders>
              <w:top w:val="nil"/>
              <w:left w:val="single" w:sz="8" w:space="0" w:color="auto"/>
              <w:bottom w:val="single" w:sz="8" w:space="0" w:color="auto"/>
              <w:right w:val="single" w:sz="4" w:space="0" w:color="auto"/>
            </w:tcBorders>
            <w:shd w:val="clear" w:color="000000" w:fill="F2F2F2"/>
            <w:noWrap/>
            <w:vAlign w:val="center"/>
            <w:hideMark/>
          </w:tcPr>
          <w:p w14:paraId="62279E53"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 xml:space="preserve">Subtotal </w:t>
            </w:r>
          </w:p>
        </w:tc>
        <w:tc>
          <w:tcPr>
            <w:tcW w:w="406" w:type="pct"/>
            <w:tcBorders>
              <w:top w:val="nil"/>
              <w:left w:val="nil"/>
              <w:bottom w:val="single" w:sz="8" w:space="0" w:color="auto"/>
              <w:right w:val="single" w:sz="4" w:space="0" w:color="auto"/>
            </w:tcBorders>
            <w:shd w:val="clear" w:color="auto" w:fill="auto"/>
            <w:noWrap/>
            <w:vAlign w:val="center"/>
            <w:hideMark/>
          </w:tcPr>
          <w:p w14:paraId="24F1C1E7"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14</w:t>
            </w:r>
          </w:p>
        </w:tc>
        <w:tc>
          <w:tcPr>
            <w:tcW w:w="428" w:type="pct"/>
            <w:tcBorders>
              <w:top w:val="nil"/>
              <w:left w:val="nil"/>
              <w:bottom w:val="single" w:sz="8" w:space="0" w:color="auto"/>
              <w:right w:val="single" w:sz="4" w:space="0" w:color="auto"/>
            </w:tcBorders>
            <w:shd w:val="clear" w:color="auto" w:fill="auto"/>
            <w:noWrap/>
            <w:vAlign w:val="center"/>
            <w:hideMark/>
          </w:tcPr>
          <w:p w14:paraId="69A87609"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11</w:t>
            </w:r>
          </w:p>
        </w:tc>
        <w:tc>
          <w:tcPr>
            <w:tcW w:w="535" w:type="pct"/>
            <w:tcBorders>
              <w:top w:val="nil"/>
              <w:left w:val="nil"/>
              <w:bottom w:val="single" w:sz="8" w:space="0" w:color="auto"/>
              <w:right w:val="single" w:sz="4" w:space="0" w:color="auto"/>
            </w:tcBorders>
            <w:shd w:val="clear" w:color="auto" w:fill="auto"/>
            <w:noWrap/>
            <w:vAlign w:val="center"/>
            <w:hideMark/>
          </w:tcPr>
          <w:p w14:paraId="7EC51D2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8</w:t>
            </w:r>
          </w:p>
        </w:tc>
        <w:tc>
          <w:tcPr>
            <w:tcW w:w="745" w:type="pct"/>
            <w:tcBorders>
              <w:top w:val="nil"/>
              <w:left w:val="nil"/>
              <w:bottom w:val="single" w:sz="8" w:space="0" w:color="auto"/>
              <w:right w:val="single" w:sz="4" w:space="0" w:color="auto"/>
            </w:tcBorders>
            <w:shd w:val="clear" w:color="auto" w:fill="auto"/>
            <w:vAlign w:val="center"/>
            <w:hideMark/>
          </w:tcPr>
          <w:p w14:paraId="6AFCFC0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20</w:t>
            </w:r>
          </w:p>
        </w:tc>
        <w:tc>
          <w:tcPr>
            <w:tcW w:w="422" w:type="pct"/>
            <w:tcBorders>
              <w:top w:val="nil"/>
              <w:left w:val="nil"/>
              <w:bottom w:val="single" w:sz="8" w:space="0" w:color="auto"/>
              <w:right w:val="single" w:sz="4" w:space="0" w:color="auto"/>
            </w:tcBorders>
            <w:shd w:val="clear" w:color="auto" w:fill="auto"/>
            <w:vAlign w:val="center"/>
            <w:hideMark/>
          </w:tcPr>
          <w:p w14:paraId="065D405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15</w:t>
            </w:r>
          </w:p>
        </w:tc>
        <w:tc>
          <w:tcPr>
            <w:tcW w:w="412" w:type="pct"/>
            <w:tcBorders>
              <w:top w:val="nil"/>
              <w:left w:val="nil"/>
              <w:bottom w:val="single" w:sz="8" w:space="0" w:color="auto"/>
              <w:right w:val="single" w:sz="4" w:space="0" w:color="auto"/>
            </w:tcBorders>
            <w:shd w:val="clear" w:color="auto" w:fill="auto"/>
            <w:vAlign w:val="center"/>
            <w:hideMark/>
          </w:tcPr>
          <w:p w14:paraId="4279C1BD"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22</w:t>
            </w:r>
          </w:p>
        </w:tc>
        <w:tc>
          <w:tcPr>
            <w:tcW w:w="558" w:type="pct"/>
            <w:tcBorders>
              <w:top w:val="nil"/>
              <w:left w:val="nil"/>
              <w:bottom w:val="single" w:sz="8" w:space="0" w:color="auto"/>
              <w:right w:val="single" w:sz="8" w:space="0" w:color="auto"/>
            </w:tcBorders>
            <w:shd w:val="clear" w:color="auto" w:fill="auto"/>
            <w:vAlign w:val="center"/>
            <w:hideMark/>
          </w:tcPr>
          <w:p w14:paraId="540A46BA"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22</w:t>
            </w:r>
          </w:p>
        </w:tc>
        <w:tc>
          <w:tcPr>
            <w:tcW w:w="407" w:type="pct"/>
            <w:tcBorders>
              <w:top w:val="nil"/>
              <w:left w:val="nil"/>
              <w:bottom w:val="single" w:sz="8" w:space="0" w:color="auto"/>
              <w:right w:val="nil"/>
            </w:tcBorders>
            <w:shd w:val="clear" w:color="auto" w:fill="auto"/>
            <w:noWrap/>
            <w:vAlign w:val="center"/>
            <w:hideMark/>
          </w:tcPr>
          <w:p w14:paraId="294829F5"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23</w:t>
            </w:r>
          </w:p>
        </w:tc>
        <w:tc>
          <w:tcPr>
            <w:tcW w:w="195" w:type="pct"/>
            <w:tcBorders>
              <w:top w:val="nil"/>
              <w:left w:val="single" w:sz="8" w:space="0" w:color="auto"/>
              <w:bottom w:val="single" w:sz="8" w:space="0" w:color="auto"/>
              <w:right w:val="single" w:sz="8" w:space="0" w:color="auto"/>
            </w:tcBorders>
            <w:shd w:val="clear" w:color="auto" w:fill="auto"/>
            <w:vAlign w:val="center"/>
            <w:hideMark/>
          </w:tcPr>
          <w:p w14:paraId="507E746B" w14:textId="77777777" w:rsidR="006C029B" w:rsidRPr="00616BD9" w:rsidRDefault="006C029B" w:rsidP="006C029B">
            <w:pPr>
              <w:suppressAutoHyphens w:val="0"/>
              <w:spacing w:line="240" w:lineRule="auto"/>
              <w:jc w:val="center"/>
              <w:rPr>
                <w:rFonts w:eastAsia="Times New Roman"/>
                <w:b/>
                <w:bCs/>
                <w:spacing w:val="0"/>
                <w:w w:val="100"/>
                <w:kern w:val="0"/>
                <w:sz w:val="16"/>
                <w:szCs w:val="16"/>
                <w:lang w:val="en-US"/>
              </w:rPr>
            </w:pPr>
            <w:r w:rsidRPr="00616BD9">
              <w:rPr>
                <w:rFonts w:eastAsia="Times New Roman"/>
                <w:b/>
                <w:bCs/>
                <w:spacing w:val="0"/>
                <w:w w:val="100"/>
                <w:kern w:val="0"/>
                <w:sz w:val="16"/>
                <w:szCs w:val="16"/>
                <w:lang w:val="en-US"/>
              </w:rPr>
              <w:t>135</w:t>
            </w:r>
          </w:p>
        </w:tc>
      </w:tr>
    </w:tbl>
    <w:p w14:paraId="7D87859D" w14:textId="531DD876" w:rsidR="006F67F9" w:rsidRPr="00616BD9" w:rsidRDefault="006F67F9" w:rsidP="008E2513">
      <w:pPr>
        <w:pStyle w:val="SingleTxt"/>
        <w:keepNext/>
        <w:keepLines/>
      </w:pPr>
      <w:bookmarkStart w:id="7" w:name="_Toc39607756"/>
    </w:p>
    <w:p w14:paraId="436AE12E" w14:textId="77777777" w:rsidR="006F67F9" w:rsidRPr="00616BD9" w:rsidRDefault="006F67F9" w:rsidP="008E2513">
      <w:pPr>
        <w:pStyle w:val="SingleTxt"/>
        <w:keepNext/>
        <w:keepLines/>
        <w:sectPr w:rsidR="006F67F9" w:rsidRPr="00616BD9" w:rsidSect="006F67F9">
          <w:endnotePr>
            <w:numFmt w:val="decimal"/>
          </w:endnotePr>
          <w:pgSz w:w="16834" w:h="11909" w:orient="landscape"/>
          <w:pgMar w:top="1032" w:right="1440" w:bottom="1032" w:left="1151" w:header="432" w:footer="504" w:gutter="0"/>
          <w:cols w:space="720"/>
          <w:noEndnote/>
          <w:docGrid w:linePitch="360"/>
        </w:sectPr>
      </w:pPr>
    </w:p>
    <w:p w14:paraId="59353CEC" w14:textId="14BBD48D" w:rsidR="006F67F9" w:rsidRPr="00616BD9" w:rsidRDefault="00150878"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lang w:val="es-ES_tradnl"/>
        </w:rPr>
      </w:pPr>
      <w:r w:rsidRPr="00616BD9">
        <w:rPr>
          <w:b/>
          <w:bCs/>
          <w:lang w:val="es-ES_tradnl"/>
        </w:rPr>
        <w:lastRenderedPageBreak/>
        <w:t xml:space="preserve">2. </w:t>
      </w:r>
      <w:r w:rsidR="006C179C" w:rsidRPr="00616BD9">
        <w:rPr>
          <w:b/>
          <w:bCs/>
          <w:lang w:val="es-ES_tradnl"/>
        </w:rPr>
        <w:t>Comentarios al Plan de Trabajo</w:t>
      </w:r>
      <w:r w:rsidR="006F67F9" w:rsidRPr="00616BD9">
        <w:rPr>
          <w:b/>
          <w:bCs/>
          <w:lang w:val="es-ES_tradnl"/>
        </w:rPr>
        <w:t xml:space="preserve"> </w:t>
      </w:r>
    </w:p>
    <w:p w14:paraId="65DF1297" w14:textId="4DA7E0AD" w:rsidR="00B408F2" w:rsidRPr="00616BD9" w:rsidRDefault="00646136" w:rsidP="00B408F2">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Con base en los insumos recibidos de las delegaciones, el Plan de Trabajo se preparó teniendo en cuenta que sería necesario un cronograma de trabajo detallado para determinar si era necesario solicitar recursos adicionales para apoyar el proyecto </w:t>
      </w:r>
      <w:r w:rsidR="00D61D9F" w:rsidRPr="00616BD9">
        <w:rPr>
          <w:lang w:val="es-ES_tradnl"/>
        </w:rPr>
        <w:t>de SCIE</w:t>
      </w:r>
      <w:r w:rsidRPr="00616BD9">
        <w:rPr>
          <w:lang w:val="es-ES_tradnl"/>
        </w:rPr>
        <w:t>. En resumen, el Plan de Trabajo proporciona la base para identificar los recursos necesarios, asignar los recursos existentes y solicitar los recursos adicionales.</w:t>
      </w:r>
    </w:p>
    <w:p w14:paraId="58843095" w14:textId="77777777" w:rsidR="00B408F2" w:rsidRPr="00616BD9" w:rsidRDefault="00B408F2" w:rsidP="00B408F2">
      <w:pPr>
        <w:pStyle w:val="ListParagraph"/>
        <w:keepNext/>
        <w:keepLines/>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226A4E62" w14:textId="462A81B2" w:rsidR="00F873CE" w:rsidRPr="00616BD9" w:rsidRDefault="0013661A" w:rsidP="00F873CE">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plan de trabajo es solo teórico y será necesario realizar ajustes a medida que avanza el trabajo. Puede servir como base para el seguimiento de los progresos realizados por el Grupo de Trabajo y, por tanto, garantizar tanto la previsibilidad como la flexibilidad. El Plan de Trabajo toma en consideración la necesidad de desarrollar múltiples opciones de reforma simultáneamente, manteniendo un equilibrio entre las reformas estructurales y las reformas no estructurales.</w:t>
      </w:r>
    </w:p>
    <w:p w14:paraId="0F5ACDC3" w14:textId="77777777" w:rsidR="00F873CE" w:rsidRPr="00616BD9" w:rsidRDefault="00F873CE" w:rsidP="00F873CE">
      <w:pPr>
        <w:pStyle w:val="ListParagraph"/>
        <w:rPr>
          <w:lang w:val="es-ES_tradnl"/>
        </w:rPr>
      </w:pPr>
    </w:p>
    <w:p w14:paraId="48F233F9" w14:textId="40757384" w:rsidR="00267DA8" w:rsidRPr="00616BD9" w:rsidRDefault="008E3FBD" w:rsidP="00267DA8">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Establecer una fecha de finalización o un objetivo es importante en la planificación de cualquier proyecto. El plan de trabajo prevé una fecha final de 2025 sobre la base de los recursos existentes y adicionales, que sería aproximadamente 8 años después de que el proyecto </w:t>
      </w:r>
      <w:r w:rsidR="00E6762D" w:rsidRPr="00616BD9">
        <w:rPr>
          <w:lang w:val="es-ES_tradnl"/>
        </w:rPr>
        <w:t>de SCIE</w:t>
      </w:r>
      <w:r w:rsidRPr="00616BD9">
        <w:rPr>
          <w:lang w:val="es-ES_tradnl"/>
        </w:rPr>
        <w:t xml:space="preserve"> comenzara en 2017. Esto está en gran medida en línea con una evaluación detallada de proyectos legislativos anteriores realizada por la Comisión. Y toma en cuenta que las solicitudes de recursos adicionales deben ser limitadas en el tiempo, a la luz de la crisis de liquidez imperante en Naciones Unidas.</w:t>
      </w:r>
    </w:p>
    <w:p w14:paraId="74DD61F9" w14:textId="77777777" w:rsidR="00B81661" w:rsidRPr="00616BD9" w:rsidRDefault="00B81661" w:rsidP="00B81661">
      <w:pPr>
        <w:pStyle w:val="ListParagraph"/>
        <w:keepNext/>
        <w:keepLines/>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0BD38883" w14:textId="6A50156A" w:rsidR="00BB35AD" w:rsidRPr="00616BD9" w:rsidRDefault="00E4365E" w:rsidP="00BB35AD">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plan de trabajo prevé que el trabajo se lleve a cabo a través de sesiones de grupos de trabajo, así como mediante el uso de varios otros medios entre</w:t>
      </w:r>
      <w:r w:rsidR="003079D9" w:rsidRPr="00616BD9">
        <w:rPr>
          <w:lang w:val="es-ES_tradnl"/>
        </w:rPr>
        <w:t xml:space="preserve"> período de</w:t>
      </w:r>
      <w:r w:rsidRPr="00616BD9">
        <w:rPr>
          <w:lang w:val="es-ES_tradnl"/>
        </w:rPr>
        <w:t xml:space="preserve"> sesiones. El Plan de Trabajo también prevé que ciertas opciones de reforma estarían sujetas</w:t>
      </w:r>
      <w:r w:rsidR="003079D9" w:rsidRPr="00616BD9">
        <w:rPr>
          <w:lang w:val="es-ES_tradnl"/>
        </w:rPr>
        <w:t>, en principio,</w:t>
      </w:r>
      <w:r w:rsidRPr="00616BD9">
        <w:rPr>
          <w:lang w:val="es-ES_tradnl"/>
        </w:rPr>
        <w:t xml:space="preserve"> a la aprobación principal de la Comisión de manera escalonada a partir de 2022. Como se desprende del Plan de Trabajo, esto podría aliviar la carga de trabajo de la Comisión en 2025, ya que se llega</w:t>
      </w:r>
      <w:r w:rsidR="00F77454" w:rsidRPr="00616BD9">
        <w:rPr>
          <w:lang w:val="es-ES_tradnl"/>
        </w:rPr>
        <w:t>ría</w:t>
      </w:r>
      <w:r w:rsidRPr="00616BD9">
        <w:rPr>
          <w:lang w:val="es-ES_tradnl"/>
        </w:rPr>
        <w:t xml:space="preserve"> a dicho acuerdo. en principio, en períodos de sesiones anteriores</w:t>
      </w:r>
      <w:r w:rsidR="00A655F9" w:rsidRPr="00616BD9">
        <w:rPr>
          <w:lang w:val="es-ES_tradnl"/>
        </w:rPr>
        <w:t>. Esto</w:t>
      </w:r>
      <w:r w:rsidRPr="00616BD9">
        <w:rPr>
          <w:lang w:val="es-ES_tradnl"/>
        </w:rPr>
        <w:t xml:space="preserve"> permitiría adoptar formalmente todas las opciones de reforma de manera más eficiente en la Comisión en 2025.</w:t>
      </w:r>
    </w:p>
    <w:p w14:paraId="012393D6" w14:textId="77777777" w:rsidR="00B54398" w:rsidRPr="00616BD9" w:rsidRDefault="00B54398" w:rsidP="00B54398">
      <w:pPr>
        <w:pStyle w:val="ListParagraph"/>
        <w:rPr>
          <w:lang w:val="es-ES_tradnl"/>
        </w:rPr>
      </w:pPr>
    </w:p>
    <w:p w14:paraId="795C7F28" w14:textId="77777777" w:rsidR="001A7A23" w:rsidRPr="00616BD9" w:rsidRDefault="008C7172" w:rsidP="001A7A23">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De acuerdo con el Plan de Trabajo, se requ</w:t>
      </w:r>
      <w:r w:rsidR="00801C96" w:rsidRPr="00616BD9">
        <w:rPr>
          <w:lang w:val="es-ES_tradnl"/>
        </w:rPr>
        <w:t>er</w:t>
      </w:r>
      <w:r w:rsidRPr="00616BD9">
        <w:rPr>
          <w:lang w:val="es-ES_tradnl"/>
        </w:rPr>
        <w:t>iría un total de 57 días de sesiones del Grupo de Trabajo para completar el Pro</w:t>
      </w:r>
      <w:r w:rsidR="00801C96" w:rsidRPr="00616BD9">
        <w:rPr>
          <w:lang w:val="es-ES_tradnl"/>
        </w:rPr>
        <w:t>yecto de SCIE (sin contar los días para la adopción de informes</w:t>
      </w:r>
      <w:r w:rsidR="006E18DD" w:rsidRPr="00616BD9">
        <w:rPr>
          <w:lang w:val="es-ES_tradnl"/>
        </w:rPr>
        <w:t>)</w:t>
      </w:r>
      <w:r w:rsidR="002F0AA8" w:rsidRPr="00616BD9">
        <w:rPr>
          <w:lang w:val="es-ES_tradnl"/>
        </w:rPr>
        <w:t>.</w:t>
      </w:r>
      <w:r w:rsidR="002F0AA8" w:rsidRPr="00616BD9">
        <w:rPr>
          <w:vertAlign w:val="superscript"/>
          <w:lang w:val="es-ES_tradnl"/>
        </w:rPr>
        <w:footnoteReference w:id="3"/>
      </w:r>
      <w:r w:rsidR="002F0AA8" w:rsidRPr="00616BD9">
        <w:rPr>
          <w:lang w:val="es-ES_tradnl"/>
        </w:rPr>
        <w:t xml:space="preserve"> </w:t>
      </w:r>
      <w:r w:rsidR="00140532" w:rsidRPr="00616BD9">
        <w:rPr>
          <w:lang w:val="es-ES_tradnl"/>
        </w:rPr>
        <w:t>Esto podría llevarse a cabo en 15 sesiones del Grupo de Trabajo</w:t>
      </w:r>
      <w:r w:rsidR="007852A3" w:rsidRPr="00616BD9">
        <w:rPr>
          <w:lang w:val="es-ES_tradnl"/>
        </w:rPr>
        <w:t>, de una semana de duración,</w:t>
      </w:r>
      <w:r w:rsidR="00140532" w:rsidRPr="00616BD9">
        <w:rPr>
          <w:lang w:val="es-ES_tradnl"/>
        </w:rPr>
        <w:t xml:space="preserve"> durante un período de 5 años a partir de 2021.</w:t>
      </w:r>
      <w:r w:rsidR="002F0AA8" w:rsidRPr="00616BD9">
        <w:rPr>
          <w:lang w:val="es-ES_tradnl"/>
        </w:rPr>
        <w:t xml:space="preserve"> </w:t>
      </w:r>
    </w:p>
    <w:p w14:paraId="6C872BEC" w14:textId="77777777" w:rsidR="001A7A23" w:rsidRPr="00616BD9" w:rsidRDefault="001A7A23" w:rsidP="001A7A23">
      <w:pPr>
        <w:pStyle w:val="ListParagraph"/>
        <w:rPr>
          <w:lang w:val="es-ES_tradnl"/>
        </w:rPr>
      </w:pPr>
    </w:p>
    <w:p w14:paraId="2F1F1B4D" w14:textId="0E269631" w:rsidR="00BB35AD" w:rsidRPr="00616BD9" w:rsidRDefault="00C511CB" w:rsidP="001A7A23">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lastRenderedPageBreak/>
        <w:t>El plan de trabajo también prevé el uso de otros medios o reuniones informales (reuniones entre períodos de sesiones, grupos de redacción, trabajo conjunto con otras organizaciones y seminarios</w:t>
      </w:r>
      <w:r w:rsidR="009E711D" w:rsidRPr="00616BD9">
        <w:rPr>
          <w:lang w:val="es-ES_tradnl"/>
        </w:rPr>
        <w:t xml:space="preserve"> en línea</w:t>
      </w:r>
      <w:r w:rsidRPr="00616BD9">
        <w:rPr>
          <w:lang w:val="es-ES_tradnl"/>
        </w:rPr>
        <w:t xml:space="preserve"> de apoyo) entre períodos de sesiones para mejorar aún más la eficiencia de las deliberaciones y al mismo tiempo mantener el papel de la Grupo de trabajo. En otras palabras, su objetivo es reducir el tiempo total requerido en una sesión formal del Grupo de Trabajo facilitando una mejor comprensión de las diferentes posiciones de las delegaciones y manteniéndolas informadas y comprometidas con las deliberaciones en curso. También brindan la oportunidad de superar los desacuerdos y desarrollar opciones para que sean consideradas por el Grupo de Trabajo.</w:t>
      </w:r>
      <w:r w:rsidR="000D2C79" w:rsidRPr="00616BD9">
        <w:rPr>
          <w:lang w:val="es-ES_tradnl"/>
        </w:rPr>
        <w:t xml:space="preserve"> </w:t>
      </w:r>
      <w:r w:rsidR="002A5C23" w:rsidRPr="00616BD9">
        <w:rPr>
          <w:lang w:val="es-ES_tradnl"/>
        </w:rPr>
        <w:t xml:space="preserve">En general, ayudan a generar consenso, asegurando así que las reuniones formales se reserven para aquellas cuestiones que requieren deliberaciones más extensas. El Grupo de Trabajo tal vez desee recordar una serie de </w:t>
      </w:r>
      <w:r w:rsidR="00F64866" w:rsidRPr="00616BD9">
        <w:rPr>
          <w:lang w:val="es-ES_tradnl"/>
        </w:rPr>
        <w:t>reuniones informales</w:t>
      </w:r>
      <w:r w:rsidR="002A5C23" w:rsidRPr="00616BD9">
        <w:rPr>
          <w:lang w:val="es-ES_tradnl"/>
        </w:rPr>
        <w:t xml:space="preserve"> </w:t>
      </w:r>
      <w:r w:rsidR="00F64866" w:rsidRPr="00616BD9">
        <w:rPr>
          <w:lang w:val="es-ES_tradnl"/>
        </w:rPr>
        <w:t>en línea</w:t>
      </w:r>
      <w:r w:rsidR="002A5C23" w:rsidRPr="00616BD9">
        <w:rPr>
          <w:lang w:val="es-ES_tradnl"/>
        </w:rPr>
        <w:t xml:space="preserve"> y consultas organizad</w:t>
      </w:r>
      <w:r w:rsidR="006B15AF" w:rsidRPr="00616BD9">
        <w:rPr>
          <w:lang w:val="es-ES_tradnl"/>
        </w:rPr>
        <w:t>a</w:t>
      </w:r>
      <w:r w:rsidR="002A5C23" w:rsidRPr="00616BD9">
        <w:rPr>
          <w:lang w:val="es-ES_tradnl"/>
        </w:rPr>
        <w:t>s o facilitad</w:t>
      </w:r>
      <w:r w:rsidR="006B15AF" w:rsidRPr="00616BD9">
        <w:rPr>
          <w:lang w:val="es-ES_tradnl"/>
        </w:rPr>
        <w:t>a</w:t>
      </w:r>
      <w:r w:rsidR="002A5C23" w:rsidRPr="00616BD9">
        <w:rPr>
          <w:lang w:val="es-ES_tradnl"/>
        </w:rPr>
        <w:t xml:space="preserve">s por la Secretaría después del brote mundial de la pandemia </w:t>
      </w:r>
      <w:r w:rsidR="006B15AF" w:rsidRPr="00616BD9">
        <w:rPr>
          <w:lang w:val="es-ES_tradnl"/>
        </w:rPr>
        <w:t xml:space="preserve">por enfermedad de </w:t>
      </w:r>
      <w:r w:rsidR="002A5C23" w:rsidRPr="00616BD9">
        <w:rPr>
          <w:lang w:val="es-ES_tradnl"/>
        </w:rPr>
        <w:t xml:space="preserve">COVID-19 sobre varias opciones de reforma, algunas de las cuales </w:t>
      </w:r>
      <w:r w:rsidR="00E56DB8" w:rsidRPr="00616BD9">
        <w:rPr>
          <w:lang w:val="es-ES_tradnl"/>
        </w:rPr>
        <w:t>dieron lugar</w:t>
      </w:r>
      <w:r w:rsidR="002A5C23" w:rsidRPr="00616BD9">
        <w:rPr>
          <w:lang w:val="es-ES_tradnl"/>
        </w:rPr>
        <w:t xml:space="preserve"> a un debate informado durante </w:t>
      </w:r>
      <w:r w:rsidR="000171C3" w:rsidRPr="00616BD9">
        <w:rPr>
          <w:lang w:val="es-ES_tradnl"/>
        </w:rPr>
        <w:t>el 39</w:t>
      </w:r>
      <w:r w:rsidR="00686EBD" w:rsidRPr="00616BD9">
        <w:rPr>
          <w:lang w:val="es-ES_tradnl"/>
        </w:rPr>
        <w:t>º período de sesiones</w:t>
      </w:r>
      <w:r w:rsidR="004E70C2" w:rsidRPr="00616BD9">
        <w:rPr>
          <w:lang w:val="es-ES_tradnl"/>
        </w:rPr>
        <w:t>.</w:t>
      </w:r>
    </w:p>
    <w:p w14:paraId="2B3DBC72" w14:textId="77777777" w:rsidR="00BB35AD" w:rsidRPr="00616BD9" w:rsidRDefault="00BB35AD" w:rsidP="00BB35AD">
      <w:pPr>
        <w:pStyle w:val="ListParagraph"/>
        <w:keepNext/>
        <w:keepLines/>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0FB7ABD9" w14:textId="53692772" w:rsidR="00BB35AD" w:rsidRPr="00616BD9" w:rsidRDefault="00541D03" w:rsidP="00BB35AD">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Grupo de Trabajo tal vez desee tomar nota de que la Comisión había invitado a las delegaciones a recurrir a consultas oficiosas antes de las reuniones reales, reservando así el tiempo de las conferencias sólo para aquellas cuestiones que requerían una extensa deliberación.</w:t>
      </w:r>
      <w:r w:rsidR="00B965A6" w:rsidRPr="00616BD9">
        <w:rPr>
          <w:rStyle w:val="FootnoteReference"/>
          <w:lang w:val="es-ES_tradnl"/>
        </w:rPr>
        <w:footnoteReference w:id="4"/>
      </w:r>
      <w:r w:rsidRPr="00616BD9">
        <w:rPr>
          <w:lang w:val="es-ES_tradnl"/>
        </w:rPr>
        <w:t xml:space="preserve"> Al mismo tiempo, el Grupo de Trabajo debería reconocer las limitaciones de las reuniones oficiosas, en particular, la falta de interpretación en todos los idiomas oficiales de las Naciones Unidas.</w:t>
      </w:r>
      <w:r w:rsidR="008E2513" w:rsidRPr="00616BD9">
        <w:rPr>
          <w:lang w:val="es-ES_tradnl"/>
        </w:rPr>
        <w:t xml:space="preserve"> </w:t>
      </w:r>
    </w:p>
    <w:p w14:paraId="1448585C" w14:textId="77777777" w:rsidR="00BB35AD" w:rsidRPr="00616BD9" w:rsidRDefault="00BB35AD" w:rsidP="00BB35AD">
      <w:pPr>
        <w:pStyle w:val="ListParagraph"/>
        <w:rPr>
          <w:lang w:val="es-ES_tradnl"/>
        </w:rPr>
      </w:pPr>
    </w:p>
    <w:p w14:paraId="4C606D5A" w14:textId="79F3707A" w:rsidR="00BB35AD" w:rsidRPr="00616BD9" w:rsidRDefault="00BB35E3" w:rsidP="00BB35AD">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plan de trabajo prevé 78 reuniones informales en total. A la fecha de presentación de esta nota, hay</w:t>
      </w:r>
      <w:r w:rsidR="007A55EF" w:rsidRPr="00616BD9">
        <w:rPr>
          <w:lang w:val="es-ES_tradnl"/>
        </w:rPr>
        <w:t xml:space="preserve"> </w:t>
      </w:r>
      <w:r w:rsidR="001C6709" w:rsidRPr="00616BD9">
        <w:rPr>
          <w:lang w:val="es-ES_tradnl"/>
        </w:rPr>
        <w:t>una propuesta</w:t>
      </w:r>
      <w:r w:rsidRPr="00616BD9">
        <w:rPr>
          <w:lang w:val="es-ES_tradnl"/>
        </w:rPr>
        <w:t xml:space="preserve"> </w:t>
      </w:r>
      <w:r w:rsidR="0034324E" w:rsidRPr="00616BD9">
        <w:rPr>
          <w:lang w:val="es-ES_tradnl"/>
        </w:rPr>
        <w:t xml:space="preserve">de Hong Kong, China </w:t>
      </w:r>
      <w:r w:rsidRPr="00616BD9">
        <w:rPr>
          <w:lang w:val="es-ES_tradnl"/>
        </w:rPr>
        <w:t xml:space="preserve">para </w:t>
      </w:r>
      <w:r w:rsidR="001C6709" w:rsidRPr="00616BD9">
        <w:rPr>
          <w:lang w:val="es-ES_tradnl"/>
        </w:rPr>
        <w:t xml:space="preserve">celebrar una </w:t>
      </w:r>
      <w:r w:rsidRPr="00616BD9">
        <w:rPr>
          <w:lang w:val="es-ES_tradnl"/>
        </w:rPr>
        <w:t>reuni</w:t>
      </w:r>
      <w:r w:rsidR="001C6709" w:rsidRPr="00616BD9">
        <w:rPr>
          <w:lang w:val="es-ES_tradnl"/>
        </w:rPr>
        <w:t>ón</w:t>
      </w:r>
      <w:r w:rsidRPr="00616BD9">
        <w:rPr>
          <w:lang w:val="es-ES_tradnl"/>
        </w:rPr>
        <w:t xml:space="preserve"> entre períodos de sesiones</w:t>
      </w:r>
      <w:r w:rsidR="0034324E" w:rsidRPr="00616BD9">
        <w:rPr>
          <w:lang w:val="es-ES_tradnl"/>
        </w:rPr>
        <w:t xml:space="preserve"> de </w:t>
      </w:r>
      <w:r w:rsidR="003241AC" w:rsidRPr="00616BD9">
        <w:rPr>
          <w:lang w:val="es-ES_tradnl"/>
        </w:rPr>
        <w:t>durante</w:t>
      </w:r>
      <w:r w:rsidRPr="00616BD9">
        <w:rPr>
          <w:lang w:val="es-ES_tradnl"/>
        </w:rPr>
        <w:t xml:space="preserve"> la segunda mitad de 2020. Al igual que en las reuniones entre períodos de sesiones anteriores, se espera que </w:t>
      </w:r>
      <w:r w:rsidR="003B7EDB" w:rsidRPr="00616BD9">
        <w:rPr>
          <w:lang w:val="es-ES_tradnl"/>
        </w:rPr>
        <w:t xml:space="preserve">en estas reuniones </w:t>
      </w:r>
      <w:r w:rsidRPr="00616BD9">
        <w:rPr>
          <w:lang w:val="es-ES_tradnl"/>
        </w:rPr>
        <w:t>no se tomen decisiones y que el Estado anfitrión informe el resultado de es</w:t>
      </w:r>
      <w:r w:rsidR="00961316" w:rsidRPr="00616BD9">
        <w:rPr>
          <w:lang w:val="es-ES_tradnl"/>
        </w:rPr>
        <w:t>t</w:t>
      </w:r>
      <w:r w:rsidRPr="00616BD9">
        <w:rPr>
          <w:lang w:val="es-ES_tradnl"/>
        </w:rPr>
        <w:t xml:space="preserve">as reuniones al Grupo de Trabajo. Sin embargo, a diferencia </w:t>
      </w:r>
      <w:r w:rsidR="00331DC8" w:rsidRPr="00616BD9">
        <w:rPr>
          <w:lang w:val="es-ES_tradnl"/>
        </w:rPr>
        <w:t>de</w:t>
      </w:r>
      <w:r w:rsidR="00961316" w:rsidRPr="00616BD9">
        <w:rPr>
          <w:lang w:val="es-ES_tradnl"/>
        </w:rPr>
        <w:t xml:space="preserve"> </w:t>
      </w:r>
      <w:r w:rsidR="00D45C24" w:rsidRPr="00616BD9">
        <w:rPr>
          <w:lang w:val="es-ES_tradnl"/>
        </w:rPr>
        <w:t xml:space="preserve">las </w:t>
      </w:r>
      <w:r w:rsidRPr="00616BD9">
        <w:rPr>
          <w:lang w:val="es-ES_tradnl"/>
        </w:rPr>
        <w:t xml:space="preserve">reuniones entre períodos de sesiones </w:t>
      </w:r>
      <w:r w:rsidR="00D45C24" w:rsidRPr="00616BD9">
        <w:rPr>
          <w:lang w:val="es-ES_tradnl"/>
        </w:rPr>
        <w:t xml:space="preserve">celebradas anteriormente y centradas </w:t>
      </w:r>
      <w:r w:rsidRPr="00616BD9">
        <w:rPr>
          <w:lang w:val="es-ES_tradnl"/>
        </w:rPr>
        <w:t xml:space="preserve">en el contexto regional, las reuniones entre períodos de sesiones propuestas tendrían por objeto promover los debates sobre opciones de reforma específicas. Por ejemplo, en </w:t>
      </w:r>
      <w:r w:rsidR="006A0B37" w:rsidRPr="00616BD9">
        <w:rPr>
          <w:lang w:val="es-ES_tradnl"/>
        </w:rPr>
        <w:t>el tema de</w:t>
      </w:r>
      <w:r w:rsidRPr="00616BD9">
        <w:rPr>
          <w:lang w:val="es-ES_tradnl"/>
        </w:rPr>
        <w:t xml:space="preserve"> mediación de inversiones y la prevención de disputas.</w:t>
      </w:r>
      <w:r w:rsidR="007821B2" w:rsidRPr="00616BD9">
        <w:rPr>
          <w:lang w:val="es-ES_tradnl"/>
        </w:rPr>
        <w:t xml:space="preserve"> </w:t>
      </w:r>
    </w:p>
    <w:p w14:paraId="2A4FE74B" w14:textId="77777777" w:rsidR="00BB35AD" w:rsidRPr="00616BD9" w:rsidRDefault="00BB35AD" w:rsidP="00BB35AD">
      <w:pPr>
        <w:pStyle w:val="ListParagraph"/>
        <w:rPr>
          <w:lang w:val="es-ES_tradnl"/>
        </w:rPr>
      </w:pPr>
    </w:p>
    <w:p w14:paraId="043F728F" w14:textId="77777777" w:rsidR="00BB35AD" w:rsidRPr="00616BD9" w:rsidRDefault="009F1B96" w:rsidP="00BB35AD">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plan de trabajo contempla también e</w:t>
      </w:r>
      <w:r w:rsidR="00B976B9" w:rsidRPr="00616BD9">
        <w:rPr>
          <w:lang w:val="es-ES_tradnl"/>
        </w:rPr>
        <w:t xml:space="preserve">l trabajo conjunto o reuniones con otras </w:t>
      </w:r>
      <w:r w:rsidR="00B5230D" w:rsidRPr="00616BD9">
        <w:rPr>
          <w:lang w:val="es-ES_tradnl"/>
        </w:rPr>
        <w:t xml:space="preserve">organizaciones. </w:t>
      </w:r>
      <w:r w:rsidR="00B976B9" w:rsidRPr="00616BD9">
        <w:rPr>
          <w:lang w:val="es-ES_tradnl"/>
        </w:rPr>
        <w:t>Por ejemplo, sobre el código de conducta, se planea una reunión conjunta con el CIADI para el primer semestre de 2021. De manera similar, se planea una reunión conjunta sobre reclamos de accionistas y pérdida</w:t>
      </w:r>
      <w:r w:rsidR="00B5230D" w:rsidRPr="00616BD9">
        <w:rPr>
          <w:lang w:val="es-ES_tradnl"/>
        </w:rPr>
        <w:t xml:space="preserve">s reflejo, </w:t>
      </w:r>
      <w:r w:rsidR="00B976B9" w:rsidRPr="00616BD9">
        <w:rPr>
          <w:lang w:val="es-ES_tradnl"/>
        </w:rPr>
        <w:t>en cooperación con la Organización para la Cooperación y el Desarrollo Económicos (OCDE</w:t>
      </w:r>
      <w:r w:rsidR="007821B2" w:rsidRPr="00616BD9">
        <w:rPr>
          <w:lang w:val="es-ES_tradnl"/>
        </w:rPr>
        <w:t xml:space="preserve"> </w:t>
      </w:r>
    </w:p>
    <w:p w14:paraId="111A77B9" w14:textId="77777777" w:rsidR="00BB35AD" w:rsidRPr="00616BD9" w:rsidRDefault="00BB35AD" w:rsidP="00BB35AD">
      <w:pPr>
        <w:pStyle w:val="ListParagraph"/>
        <w:rPr>
          <w:lang w:val="es-ES_tradnl"/>
        </w:rPr>
      </w:pPr>
    </w:p>
    <w:p w14:paraId="48E62837" w14:textId="41DE3260" w:rsidR="0054652C" w:rsidRPr="00616BD9" w:rsidRDefault="0054652C" w:rsidP="00BB35AD">
      <w:pPr>
        <w:pStyle w:val="ListParagraph"/>
        <w:keepNext/>
        <w:keepLines/>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El plan de trabajo sugiere que estas reuniones informales se utilicen más activamente en 2021 y 2022, ya que pueden ser bastante útiles para compartir información y </w:t>
      </w:r>
      <w:r w:rsidR="007D119A" w:rsidRPr="00616BD9">
        <w:rPr>
          <w:lang w:val="es-ES_tradnl"/>
        </w:rPr>
        <w:t xml:space="preserve">en la etapa inicial de </w:t>
      </w:r>
      <w:r w:rsidRPr="00616BD9">
        <w:rPr>
          <w:lang w:val="es-ES_tradnl"/>
        </w:rPr>
        <w:t xml:space="preserve">redacción. A medida que avanza el trabajo y se </w:t>
      </w:r>
      <w:r w:rsidR="00A75CF7" w:rsidRPr="00616BD9">
        <w:rPr>
          <w:lang w:val="es-ES_tradnl"/>
        </w:rPr>
        <w:t>solicite</w:t>
      </w:r>
      <w:r w:rsidRPr="00616BD9">
        <w:rPr>
          <w:lang w:val="es-ES_tradnl"/>
        </w:rPr>
        <w:t xml:space="preserve"> Grupo de Trabajo </w:t>
      </w:r>
      <w:r w:rsidR="00A75CF7" w:rsidRPr="00616BD9">
        <w:rPr>
          <w:lang w:val="es-ES_tradnl"/>
        </w:rPr>
        <w:t>tomar decisiones</w:t>
      </w:r>
      <w:r w:rsidRPr="00616BD9">
        <w:rPr>
          <w:lang w:val="es-ES_tradnl"/>
        </w:rPr>
        <w:t>, se prevé</w:t>
      </w:r>
      <w:r w:rsidR="0060145F" w:rsidRPr="00616BD9">
        <w:rPr>
          <w:lang w:val="es-ES_tradnl"/>
        </w:rPr>
        <w:t xml:space="preserve"> una disminución en el</w:t>
      </w:r>
      <w:r w:rsidRPr="00616BD9">
        <w:rPr>
          <w:lang w:val="es-ES_tradnl"/>
        </w:rPr>
        <w:t xml:space="preserve"> número de reuniones informales.</w:t>
      </w:r>
    </w:p>
    <w:p w14:paraId="35FDF6D4" w14:textId="77777777" w:rsidR="008E2513" w:rsidRPr="00616BD9" w:rsidRDefault="008E2513" w:rsidP="00902A56">
      <w:pPr>
        <w:suppressAutoHyphens w:val="0"/>
        <w:spacing w:after="200" w:line="276" w:lineRule="auto"/>
        <w:rPr>
          <w:lang w:val="es-ES_tradnl"/>
        </w:rPr>
      </w:pPr>
      <w:r w:rsidRPr="00616BD9">
        <w:rPr>
          <w:lang w:val="es-ES_tradnl"/>
        </w:rPr>
        <w:br w:type="page"/>
      </w:r>
    </w:p>
    <w:p w14:paraId="29FFBFB4" w14:textId="77777777" w:rsidR="006F67F9" w:rsidRPr="00616BD9" w:rsidRDefault="006F67F9" w:rsidP="00902A56">
      <w:pPr>
        <w:pStyle w:val="SingleTxt"/>
        <w:spacing w:after="0" w:line="120" w:lineRule="atLeast"/>
        <w:rPr>
          <w:sz w:val="10"/>
          <w:lang w:val="es-ES_tradnl"/>
        </w:rPr>
      </w:pPr>
      <w:bookmarkStart w:id="8" w:name="_Hlk37249326"/>
      <w:bookmarkStart w:id="9" w:name="_Hlk37249346"/>
    </w:p>
    <w:p w14:paraId="536A31F5" w14:textId="4001422D" w:rsidR="006F67F9" w:rsidRPr="00616BD9" w:rsidRDefault="006F67F9" w:rsidP="00902A56">
      <w:pPr>
        <w:pStyle w:val="HCh"/>
        <w:keepNext w:val="0"/>
        <w:keepLines w:val="0"/>
        <w:ind w:left="1267" w:right="1260" w:hanging="1267"/>
        <w:rPr>
          <w:lang w:val="es-ES_tradnl"/>
        </w:rPr>
      </w:pPr>
      <w:r w:rsidRPr="00616BD9">
        <w:rPr>
          <w:lang w:val="es-ES_tradnl"/>
        </w:rPr>
        <w:tab/>
      </w:r>
      <w:bookmarkStart w:id="10" w:name="_Toc39607759"/>
      <w:r w:rsidRPr="00616BD9">
        <w:rPr>
          <w:lang w:val="es-ES_tradnl"/>
        </w:rPr>
        <w:t>I</w:t>
      </w:r>
      <w:r w:rsidR="005914AB" w:rsidRPr="00616BD9">
        <w:rPr>
          <w:lang w:val="es-ES_tradnl"/>
        </w:rPr>
        <w:t>II</w:t>
      </w:r>
      <w:r w:rsidRPr="00616BD9">
        <w:rPr>
          <w:lang w:val="es-ES_tradnl"/>
        </w:rPr>
        <w:t>.</w:t>
      </w:r>
      <w:r w:rsidRPr="00616BD9">
        <w:rPr>
          <w:lang w:val="es-ES_tradnl"/>
        </w:rPr>
        <w:tab/>
      </w:r>
      <w:bookmarkEnd w:id="8"/>
      <w:bookmarkEnd w:id="10"/>
      <w:r w:rsidR="009A1448" w:rsidRPr="00616BD9">
        <w:rPr>
          <w:lang w:val="es-ES_tradnl"/>
        </w:rPr>
        <w:t xml:space="preserve">Planificación de </w:t>
      </w:r>
      <w:r w:rsidR="00E65995" w:rsidRPr="00616BD9">
        <w:rPr>
          <w:lang w:val="es-ES_tradnl"/>
        </w:rPr>
        <w:t>R</w:t>
      </w:r>
      <w:r w:rsidR="009A1448" w:rsidRPr="00616BD9">
        <w:rPr>
          <w:lang w:val="es-ES_tradnl"/>
        </w:rPr>
        <w:t>ecursos</w:t>
      </w:r>
      <w:r w:rsidR="00150878" w:rsidRPr="00616BD9">
        <w:rPr>
          <w:lang w:val="es-ES_tradnl"/>
        </w:rPr>
        <w:t xml:space="preserve"> </w:t>
      </w:r>
    </w:p>
    <w:p w14:paraId="2C0B6E7B" w14:textId="77777777" w:rsidR="006F67F9" w:rsidRPr="00616BD9" w:rsidRDefault="006F67F9" w:rsidP="00902A56">
      <w:pPr>
        <w:pStyle w:val="SingleTxt"/>
        <w:spacing w:after="0" w:line="120" w:lineRule="atLeast"/>
        <w:rPr>
          <w:sz w:val="10"/>
          <w:lang w:val="es-ES_tradnl"/>
        </w:rPr>
      </w:pPr>
    </w:p>
    <w:bookmarkEnd w:id="9"/>
    <w:p w14:paraId="4065261E" w14:textId="35C75534" w:rsidR="00902A56" w:rsidRPr="00616BD9" w:rsidRDefault="00902A56" w:rsidP="00902A56">
      <w:pPr>
        <w:pStyle w:val="SingleTxt"/>
        <w:ind w:right="1267"/>
        <w:rPr>
          <w:b/>
          <w:bCs/>
          <w:spacing w:val="0"/>
          <w:w w:val="100"/>
          <w:lang w:val="es-ES_tradnl"/>
        </w:rPr>
      </w:pPr>
    </w:p>
    <w:p w14:paraId="0B3C0BB9" w14:textId="1444379C" w:rsidR="005914AB" w:rsidRPr="00616BD9" w:rsidRDefault="00902A56" w:rsidP="004866C9">
      <w:pPr>
        <w:pStyle w:val="SingleTxt"/>
        <w:tabs>
          <w:tab w:val="clear" w:pos="1267"/>
        </w:tabs>
        <w:ind w:left="567" w:right="1267"/>
        <w:rPr>
          <w:b/>
          <w:bCs/>
          <w:spacing w:val="0"/>
          <w:w w:val="100"/>
          <w:lang w:val="es-ES_tradnl"/>
        </w:rPr>
      </w:pPr>
      <w:r w:rsidRPr="00616BD9">
        <w:rPr>
          <w:b/>
          <w:bCs/>
          <w:spacing w:val="0"/>
          <w:w w:val="100"/>
          <w:lang w:val="es-ES_tradnl"/>
        </w:rPr>
        <w:t xml:space="preserve">1. </w:t>
      </w:r>
      <w:r w:rsidR="00C36ADC" w:rsidRPr="00616BD9">
        <w:rPr>
          <w:b/>
          <w:bCs/>
          <w:spacing w:val="0"/>
          <w:w w:val="100"/>
          <w:lang w:val="es-ES_tradnl"/>
        </w:rPr>
        <w:t>Recursos utilizados de 2017 a 2020</w:t>
      </w:r>
    </w:p>
    <w:p w14:paraId="094E6259" w14:textId="1F1FB305" w:rsidR="00933BE0" w:rsidRPr="00616BD9" w:rsidRDefault="00AE65B5" w:rsidP="00933BE0">
      <w:pPr>
        <w:pStyle w:val="ListParagraph"/>
        <w:numPr>
          <w:ilvl w:val="0"/>
          <w:numId w:val="10"/>
        </w:numPr>
        <w:tabs>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spacing w:val="0"/>
          <w:w w:val="100"/>
          <w:lang w:val="es-ES_tradnl"/>
        </w:rPr>
        <w:t xml:space="preserve">En 2017, se encomendó al Grupo de Trabajo un mandato amplio para trabajar en el proyecto </w:t>
      </w:r>
      <w:r w:rsidR="003D79C9" w:rsidRPr="00616BD9">
        <w:rPr>
          <w:spacing w:val="0"/>
          <w:w w:val="100"/>
          <w:lang w:val="es-ES_tradnl"/>
        </w:rPr>
        <w:t>de SCIE.</w:t>
      </w:r>
      <w:r w:rsidRPr="00616BD9">
        <w:rPr>
          <w:spacing w:val="0"/>
          <w:w w:val="100"/>
          <w:lang w:val="es-ES_tradnl"/>
        </w:rPr>
        <w:t xml:space="preserve"> Desde entonces, el Grupo de Trabajo ha celebrado siete sesiones de una semana</w:t>
      </w:r>
      <w:r w:rsidR="003D79C9" w:rsidRPr="00616BD9">
        <w:rPr>
          <w:spacing w:val="0"/>
          <w:w w:val="100"/>
          <w:lang w:val="es-ES_tradnl"/>
        </w:rPr>
        <w:t xml:space="preserve"> de duración</w:t>
      </w:r>
      <w:r w:rsidRPr="00616BD9">
        <w:rPr>
          <w:spacing w:val="0"/>
          <w:w w:val="100"/>
          <w:lang w:val="es-ES_tradnl"/>
        </w:rPr>
        <w:t>. Durante las primeras cuatro sesiones, el Grupo de Trabajo identificó y discutió inquietudes con respecto a</w:t>
      </w:r>
      <w:r w:rsidR="00FC20EF" w:rsidRPr="00616BD9">
        <w:rPr>
          <w:spacing w:val="0"/>
          <w:w w:val="100"/>
          <w:lang w:val="es-ES_tradnl"/>
        </w:rPr>
        <w:t>l SCIE</w:t>
      </w:r>
      <w:r w:rsidRPr="00616BD9">
        <w:rPr>
          <w:spacing w:val="0"/>
          <w:w w:val="100"/>
          <w:lang w:val="es-ES_tradnl"/>
        </w:rPr>
        <w:t xml:space="preserve"> y consideró además que la reforma era deseable a la luz de las inquietudes identificada</w:t>
      </w:r>
      <w:r w:rsidR="005914AB" w:rsidRPr="00616BD9">
        <w:rPr>
          <w:lang w:val="es-ES_tradnl"/>
        </w:rPr>
        <w:t>.</w:t>
      </w:r>
      <w:r w:rsidR="005914AB" w:rsidRPr="00616BD9">
        <w:rPr>
          <w:vertAlign w:val="superscript"/>
          <w:lang w:val="es-ES_tradnl"/>
        </w:rPr>
        <w:footnoteReference w:id="5"/>
      </w:r>
      <w:r w:rsidR="005914AB" w:rsidRPr="00616BD9">
        <w:rPr>
          <w:lang w:val="es-ES_tradnl"/>
        </w:rPr>
        <w:t xml:space="preserve"> </w:t>
      </w:r>
      <w:r w:rsidR="00C635C5" w:rsidRPr="00616BD9">
        <w:rPr>
          <w:lang w:val="es-ES_tradnl"/>
        </w:rPr>
        <w:t>Durante los tres períodos de sesiones anteriores, el Grupo de Trabajo consideró soluciones concretas de reforma</w:t>
      </w:r>
      <w:r w:rsidR="003B54EF" w:rsidRPr="00616BD9">
        <w:rPr>
          <w:lang w:val="es-ES_tradnl"/>
        </w:rPr>
        <w:t>.</w:t>
      </w:r>
      <w:r w:rsidR="003B54EF" w:rsidRPr="00616BD9">
        <w:rPr>
          <w:vertAlign w:val="superscript"/>
          <w:lang w:val="es-ES_tradnl"/>
        </w:rPr>
        <w:footnoteReference w:id="6"/>
      </w:r>
      <w:r w:rsidR="003B54EF" w:rsidRPr="00616BD9">
        <w:rPr>
          <w:lang w:val="es-ES_tradnl"/>
        </w:rPr>
        <w:t xml:space="preserve"> </w:t>
      </w:r>
    </w:p>
    <w:p w14:paraId="1E23939F" w14:textId="77777777" w:rsidR="00933BE0" w:rsidRPr="00616BD9" w:rsidRDefault="00933BE0" w:rsidP="00933BE0">
      <w:pPr>
        <w:pStyle w:val="ListParagraph"/>
        <w:tabs>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74154BB8" w14:textId="5C11DE77" w:rsidR="005914AB" w:rsidRPr="00616BD9" w:rsidRDefault="00532A3B" w:rsidP="00933BE0">
      <w:pPr>
        <w:pStyle w:val="ListParagraph"/>
        <w:numPr>
          <w:ilvl w:val="0"/>
          <w:numId w:val="10"/>
        </w:numPr>
        <w:tabs>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El cuadro 1</w:t>
      </w:r>
      <w:r w:rsidR="00AE017A" w:rsidRPr="00616BD9">
        <w:rPr>
          <w:lang w:val="es-ES_tradnl"/>
        </w:rPr>
        <w:t xml:space="preserve"> presenta </w:t>
      </w:r>
      <w:r w:rsidR="004D3E48" w:rsidRPr="00616BD9">
        <w:rPr>
          <w:lang w:val="es-ES_tradnl"/>
        </w:rPr>
        <w:t>un panorama</w:t>
      </w:r>
      <w:r w:rsidR="000C127F" w:rsidRPr="00616BD9">
        <w:rPr>
          <w:lang w:val="es-ES_tradnl"/>
        </w:rPr>
        <w:t xml:space="preserve"> general de</w:t>
      </w:r>
      <w:r w:rsidR="002971A3" w:rsidRPr="00616BD9">
        <w:rPr>
          <w:lang w:val="es-ES_tradnl"/>
        </w:rPr>
        <w:t xml:space="preserve"> los</w:t>
      </w:r>
      <w:r w:rsidR="000C127F" w:rsidRPr="00616BD9">
        <w:rPr>
          <w:lang w:val="es-ES_tradnl"/>
        </w:rPr>
        <w:t xml:space="preserve"> re</w:t>
      </w:r>
      <w:r w:rsidR="00131DEA" w:rsidRPr="00616BD9">
        <w:rPr>
          <w:lang w:val="es-ES_tradnl"/>
        </w:rPr>
        <w:t>cursos utilizados en conferencias</w:t>
      </w:r>
      <w:r w:rsidR="005914AB" w:rsidRPr="00616BD9">
        <w:rPr>
          <w:vertAlign w:val="superscript"/>
          <w:lang w:val="es-ES_tradnl"/>
        </w:rPr>
        <w:footnoteReference w:id="7"/>
      </w:r>
      <w:r w:rsidR="005914AB" w:rsidRPr="00616BD9">
        <w:rPr>
          <w:lang w:val="es-ES_tradnl"/>
        </w:rPr>
        <w:t xml:space="preserve"> </w:t>
      </w:r>
      <w:r w:rsidR="00131DEA" w:rsidRPr="00616BD9">
        <w:rPr>
          <w:lang w:val="es-ES_tradnl"/>
        </w:rPr>
        <w:t>y documentos</w:t>
      </w:r>
      <w:r w:rsidR="005914AB" w:rsidRPr="00616BD9">
        <w:rPr>
          <w:vertAlign w:val="superscript"/>
          <w:lang w:val="es-ES_tradnl"/>
        </w:rPr>
        <w:footnoteReference w:id="8"/>
      </w:r>
      <w:r w:rsidR="005914AB" w:rsidRPr="00616BD9">
        <w:rPr>
          <w:lang w:val="es-ES_tradnl"/>
        </w:rPr>
        <w:t xml:space="preserve"> </w:t>
      </w:r>
      <w:r w:rsidR="00131DEA" w:rsidRPr="00616BD9">
        <w:rPr>
          <w:lang w:val="es-ES_tradnl"/>
        </w:rPr>
        <w:t xml:space="preserve">por el Grupo de </w:t>
      </w:r>
      <w:r w:rsidR="00605ECC" w:rsidRPr="00616BD9">
        <w:rPr>
          <w:lang w:val="es-ES_tradnl"/>
        </w:rPr>
        <w:t>Trabajo</w:t>
      </w:r>
      <w:r w:rsidR="00131DEA" w:rsidRPr="00616BD9">
        <w:rPr>
          <w:lang w:val="es-ES_tradnl"/>
        </w:rPr>
        <w:t xml:space="preserve"> durante las siete</w:t>
      </w:r>
      <w:r w:rsidR="00605ECC" w:rsidRPr="00616BD9">
        <w:rPr>
          <w:lang w:val="es-ES_tradnl"/>
        </w:rPr>
        <w:t xml:space="preserve"> sesiones previas. </w:t>
      </w:r>
      <w:r w:rsidR="005F7176" w:rsidRPr="00616BD9">
        <w:rPr>
          <w:lang w:val="es-ES_tradnl"/>
        </w:rPr>
        <w:t>El cuadro</w:t>
      </w:r>
      <w:r w:rsidR="00605ECC" w:rsidRPr="00616BD9">
        <w:rPr>
          <w:lang w:val="es-ES_tradnl"/>
        </w:rPr>
        <w:t xml:space="preserve"> indica que la tercera fase del proyecto de SCIE</w:t>
      </w:r>
      <w:r w:rsidR="00574314" w:rsidRPr="00616BD9">
        <w:rPr>
          <w:lang w:val="es-ES_tradnl"/>
        </w:rPr>
        <w:t xml:space="preserve">, donde se </w:t>
      </w:r>
      <w:r w:rsidR="00963489" w:rsidRPr="00616BD9">
        <w:rPr>
          <w:lang w:val="es-ES_tradnl"/>
        </w:rPr>
        <w:t>prevén</w:t>
      </w:r>
      <w:r w:rsidR="00574314" w:rsidRPr="00616BD9">
        <w:rPr>
          <w:lang w:val="es-ES_tradnl"/>
        </w:rPr>
        <w:t xml:space="preserve"> desarrollar soluci</w:t>
      </w:r>
      <w:r w:rsidR="00963489" w:rsidRPr="00616BD9">
        <w:rPr>
          <w:lang w:val="es-ES_tradnl"/>
        </w:rPr>
        <w:t>ones múltiples en forma paralela</w:t>
      </w:r>
      <w:r w:rsidR="0057687B" w:rsidRPr="00616BD9">
        <w:rPr>
          <w:lang w:val="es-ES_tradnl"/>
        </w:rPr>
        <w:t xml:space="preserve">, </w:t>
      </w:r>
      <w:r w:rsidR="00BB4F81" w:rsidRPr="00616BD9">
        <w:rPr>
          <w:lang w:val="es-ES_tradnl"/>
        </w:rPr>
        <w:t xml:space="preserve">probablemente </w:t>
      </w:r>
      <w:r w:rsidR="0057687B" w:rsidRPr="00616BD9">
        <w:rPr>
          <w:lang w:val="es-ES_tradnl"/>
        </w:rPr>
        <w:t>requerirá</w:t>
      </w:r>
      <w:r w:rsidR="00BB4F81" w:rsidRPr="00616BD9">
        <w:rPr>
          <w:lang w:val="es-ES_tradnl"/>
        </w:rPr>
        <w:t xml:space="preserve"> </w:t>
      </w:r>
      <w:r w:rsidR="0057687B" w:rsidRPr="00616BD9">
        <w:rPr>
          <w:lang w:val="es-ES_tradnl"/>
        </w:rPr>
        <w:t>más recursos por sesión.</w:t>
      </w:r>
    </w:p>
    <w:p w14:paraId="7006D710" w14:textId="55E2F534" w:rsidR="005914AB" w:rsidRPr="00616BD9" w:rsidRDefault="00933BE0" w:rsidP="00933BE0">
      <w:pPr>
        <w:pStyle w:val="SingleTxt"/>
        <w:tabs>
          <w:tab w:val="clear" w:pos="1267"/>
          <w:tab w:val="clear" w:pos="1742"/>
          <w:tab w:val="left" w:pos="567"/>
        </w:tabs>
        <w:spacing w:after="0"/>
        <w:ind w:left="0"/>
        <w:jc w:val="left"/>
        <w:rPr>
          <w:lang w:val="es-ES_tradnl"/>
        </w:rPr>
      </w:pPr>
      <w:r w:rsidRPr="00616BD9">
        <w:rPr>
          <w:lang w:val="es-ES_tradnl"/>
        </w:rPr>
        <w:tab/>
      </w:r>
      <w:r w:rsidR="00532A3B" w:rsidRPr="00616BD9">
        <w:rPr>
          <w:lang w:val="es-ES_tradnl"/>
        </w:rPr>
        <w:t>Cuadro 1</w:t>
      </w:r>
    </w:p>
    <w:p w14:paraId="51757F84" w14:textId="4DD43945" w:rsidR="005914AB" w:rsidRPr="00616BD9" w:rsidRDefault="002971A3" w:rsidP="00933BE0">
      <w:pPr>
        <w:pStyle w:val="SingleTxt"/>
        <w:tabs>
          <w:tab w:val="clear" w:pos="1267"/>
          <w:tab w:val="left" w:pos="567"/>
        </w:tabs>
        <w:spacing w:after="0"/>
        <w:ind w:left="567"/>
        <w:jc w:val="left"/>
        <w:rPr>
          <w:lang w:val="es-ES_tradnl"/>
        </w:rPr>
      </w:pPr>
      <w:r w:rsidRPr="00616BD9">
        <w:rPr>
          <w:b/>
          <w:bCs/>
          <w:lang w:val="es-ES_tradnl"/>
        </w:rPr>
        <w:t xml:space="preserve">Panorama general de los </w:t>
      </w:r>
      <w:r w:rsidR="00A83E4B" w:rsidRPr="00616BD9">
        <w:rPr>
          <w:b/>
          <w:bCs/>
          <w:lang w:val="es-ES_tradnl"/>
        </w:rPr>
        <w:t>recursos utilizados por el Grupo de Trabajo</w:t>
      </w:r>
      <w:r w:rsidR="005914AB" w:rsidRPr="00616BD9">
        <w:rPr>
          <w:vertAlign w:val="superscript"/>
          <w:lang w:val="es-ES_tradnl"/>
        </w:rPr>
        <w:footnoteReference w:id="9"/>
      </w:r>
    </w:p>
    <w:tbl>
      <w:tblPr>
        <w:tblStyle w:val="TableGrid"/>
        <w:tblpPr w:leftFromText="180" w:rightFromText="180" w:vertAnchor="text" w:horzAnchor="margin" w:tblpX="536" w:tblpY="171"/>
        <w:tblW w:w="0" w:type="auto"/>
        <w:tblLook w:val="04A0" w:firstRow="1" w:lastRow="0" w:firstColumn="1" w:lastColumn="0" w:noHBand="0" w:noVBand="1"/>
      </w:tblPr>
      <w:tblGrid>
        <w:gridCol w:w="2869"/>
        <w:gridCol w:w="1159"/>
        <w:gridCol w:w="2162"/>
        <w:gridCol w:w="1899"/>
      </w:tblGrid>
      <w:tr w:rsidR="005914AB" w:rsidRPr="00616BD9" w14:paraId="253EF2F3" w14:textId="77777777" w:rsidTr="00A50D77">
        <w:tc>
          <w:tcPr>
            <w:tcW w:w="2869" w:type="dxa"/>
            <w:tcBorders>
              <w:bottom w:val="single" w:sz="4" w:space="0" w:color="auto"/>
            </w:tcBorders>
            <w:shd w:val="pct10" w:color="auto" w:fill="auto"/>
            <w:vAlign w:val="center"/>
          </w:tcPr>
          <w:p w14:paraId="23A9CACA" w14:textId="77777777" w:rsidR="005914AB" w:rsidRPr="00616BD9" w:rsidRDefault="005914AB" w:rsidP="00A50D77">
            <w:pPr>
              <w:snapToGrid w:val="0"/>
              <w:spacing w:line="210" w:lineRule="atLeast"/>
              <w:jc w:val="center"/>
              <w:rPr>
                <w:b/>
                <w:bCs/>
                <w:sz w:val="17"/>
                <w:szCs w:val="17"/>
                <w:lang w:val="es-ES_tradnl"/>
              </w:rPr>
            </w:pPr>
          </w:p>
        </w:tc>
        <w:tc>
          <w:tcPr>
            <w:tcW w:w="1159" w:type="dxa"/>
            <w:shd w:val="pct10" w:color="auto" w:fill="auto"/>
            <w:vAlign w:val="bottom"/>
          </w:tcPr>
          <w:p w14:paraId="43D56712" w14:textId="3640A40D" w:rsidR="005914AB" w:rsidRPr="00616BD9" w:rsidRDefault="00532A3B" w:rsidP="00A50D77">
            <w:pPr>
              <w:snapToGrid w:val="0"/>
              <w:spacing w:after="40" w:line="210" w:lineRule="atLeast"/>
              <w:rPr>
                <w:b/>
                <w:bCs/>
                <w:sz w:val="17"/>
                <w:szCs w:val="17"/>
                <w:lang w:val="es-ES_tradnl"/>
              </w:rPr>
            </w:pPr>
            <w:r w:rsidRPr="00616BD9">
              <w:rPr>
                <w:b/>
                <w:bCs/>
                <w:sz w:val="17"/>
                <w:szCs w:val="17"/>
                <w:lang w:val="es-ES_tradnl"/>
              </w:rPr>
              <w:t>Recursos</w:t>
            </w:r>
            <w:r w:rsidR="0038110A" w:rsidRPr="00616BD9">
              <w:rPr>
                <w:b/>
                <w:bCs/>
                <w:sz w:val="17"/>
                <w:szCs w:val="17"/>
                <w:lang w:val="es-ES_tradnl"/>
              </w:rPr>
              <w:t xml:space="preserve"> para servicios de </w:t>
            </w:r>
            <w:r w:rsidRPr="00616BD9">
              <w:rPr>
                <w:b/>
                <w:bCs/>
                <w:sz w:val="17"/>
                <w:szCs w:val="17"/>
                <w:lang w:val="es-ES_tradnl"/>
              </w:rPr>
              <w:t>conferencia</w:t>
            </w:r>
          </w:p>
        </w:tc>
        <w:tc>
          <w:tcPr>
            <w:tcW w:w="2162" w:type="dxa"/>
            <w:shd w:val="pct10" w:color="auto" w:fill="auto"/>
            <w:vAlign w:val="bottom"/>
          </w:tcPr>
          <w:p w14:paraId="6CE00683" w14:textId="6F20C7D5" w:rsidR="005914AB" w:rsidRPr="00616BD9" w:rsidRDefault="00BB3F72" w:rsidP="00A50D77">
            <w:pPr>
              <w:snapToGrid w:val="0"/>
              <w:spacing w:after="40" w:line="210" w:lineRule="atLeast"/>
              <w:rPr>
                <w:b/>
                <w:bCs/>
                <w:sz w:val="17"/>
                <w:szCs w:val="17"/>
                <w:lang w:val="es-ES_tradnl"/>
              </w:rPr>
            </w:pPr>
            <w:r w:rsidRPr="00616BD9">
              <w:rPr>
                <w:b/>
                <w:bCs/>
                <w:sz w:val="17"/>
                <w:szCs w:val="17"/>
                <w:lang w:val="es-ES_tradnl"/>
              </w:rPr>
              <w:t>Nota</w:t>
            </w:r>
            <w:r w:rsidR="0038110A" w:rsidRPr="00616BD9">
              <w:rPr>
                <w:b/>
                <w:bCs/>
                <w:sz w:val="17"/>
                <w:szCs w:val="17"/>
                <w:lang w:val="es-ES_tradnl"/>
              </w:rPr>
              <w:t xml:space="preserve">s </w:t>
            </w:r>
            <w:r w:rsidRPr="00616BD9">
              <w:rPr>
                <w:b/>
                <w:bCs/>
                <w:sz w:val="17"/>
                <w:szCs w:val="17"/>
                <w:lang w:val="es-ES_tradnl"/>
              </w:rPr>
              <w:t>de la Secretaría</w:t>
            </w:r>
          </w:p>
        </w:tc>
        <w:tc>
          <w:tcPr>
            <w:tcW w:w="1899" w:type="dxa"/>
            <w:shd w:val="pct10" w:color="auto" w:fill="auto"/>
            <w:vAlign w:val="bottom"/>
          </w:tcPr>
          <w:p w14:paraId="6966BBC9" w14:textId="427778BC" w:rsidR="005914AB" w:rsidRPr="00616BD9" w:rsidRDefault="00BB3F72" w:rsidP="00A50D77">
            <w:pPr>
              <w:snapToGrid w:val="0"/>
              <w:spacing w:after="40" w:line="210" w:lineRule="atLeast"/>
              <w:rPr>
                <w:b/>
                <w:bCs/>
                <w:sz w:val="17"/>
                <w:szCs w:val="17"/>
                <w:lang w:val="es-ES_tradnl"/>
              </w:rPr>
            </w:pPr>
            <w:r w:rsidRPr="00616BD9">
              <w:rPr>
                <w:b/>
                <w:bCs/>
                <w:sz w:val="17"/>
                <w:szCs w:val="17"/>
                <w:lang w:val="es-ES_tradnl"/>
              </w:rPr>
              <w:t xml:space="preserve">Observaciones </w:t>
            </w:r>
            <w:r w:rsidR="00A308E7" w:rsidRPr="00616BD9">
              <w:rPr>
                <w:b/>
                <w:bCs/>
                <w:sz w:val="17"/>
                <w:szCs w:val="17"/>
                <w:lang w:val="es-ES_tradnl"/>
              </w:rPr>
              <w:t>presentadas por los</w:t>
            </w:r>
            <w:r w:rsidRPr="00616BD9">
              <w:rPr>
                <w:b/>
                <w:bCs/>
                <w:sz w:val="17"/>
                <w:szCs w:val="17"/>
                <w:lang w:val="es-ES_tradnl"/>
              </w:rPr>
              <w:t xml:space="preserve"> Estados y otros</w:t>
            </w:r>
            <w:r w:rsidR="005914AB" w:rsidRPr="00616BD9">
              <w:rPr>
                <w:rStyle w:val="FootnoteReference"/>
                <w:sz w:val="17"/>
                <w:szCs w:val="17"/>
                <w:lang w:val="es-ES_tradnl"/>
              </w:rPr>
              <w:footnoteReference w:id="10"/>
            </w:r>
            <w:r w:rsidR="005914AB" w:rsidRPr="00616BD9">
              <w:rPr>
                <w:b/>
                <w:bCs/>
                <w:sz w:val="17"/>
                <w:szCs w:val="17"/>
                <w:lang w:val="es-ES_tradnl"/>
              </w:rPr>
              <w:t xml:space="preserve"> </w:t>
            </w:r>
          </w:p>
        </w:tc>
      </w:tr>
      <w:tr w:rsidR="005914AB" w:rsidRPr="00616BD9" w14:paraId="5BF1D3CA" w14:textId="77777777" w:rsidTr="00A50D77">
        <w:tc>
          <w:tcPr>
            <w:tcW w:w="2869" w:type="dxa"/>
            <w:shd w:val="pct10" w:color="auto" w:fill="auto"/>
          </w:tcPr>
          <w:p w14:paraId="7AFB2173" w14:textId="3DE30301" w:rsidR="005914AB" w:rsidRPr="00616BD9" w:rsidRDefault="00263A06" w:rsidP="00A50D77">
            <w:pPr>
              <w:snapToGrid w:val="0"/>
              <w:spacing w:before="40" w:line="210" w:lineRule="atLeast"/>
              <w:rPr>
                <w:b/>
                <w:bCs/>
                <w:sz w:val="17"/>
                <w:szCs w:val="17"/>
                <w:lang w:val="es-ES_tradnl"/>
              </w:rPr>
            </w:pPr>
            <w:r w:rsidRPr="00616BD9">
              <w:rPr>
                <w:b/>
                <w:bCs/>
                <w:sz w:val="17"/>
                <w:szCs w:val="17"/>
                <w:lang w:val="es-ES_tradnl"/>
              </w:rPr>
              <w:t>Parte primera y segunda</w:t>
            </w:r>
            <w:r w:rsidR="005914AB" w:rsidRPr="00616BD9">
              <w:rPr>
                <w:b/>
                <w:bCs/>
                <w:sz w:val="17"/>
                <w:szCs w:val="17"/>
                <w:lang w:val="es-ES_tradnl"/>
              </w:rPr>
              <w:t xml:space="preserve"> </w:t>
            </w:r>
          </w:p>
          <w:p w14:paraId="0F3F3C6E" w14:textId="2EC82BFB" w:rsidR="005914AB" w:rsidRPr="00616BD9" w:rsidRDefault="005914AB" w:rsidP="00A50D77">
            <w:pPr>
              <w:snapToGrid w:val="0"/>
              <w:spacing w:before="40" w:after="80" w:line="210" w:lineRule="atLeast"/>
              <w:rPr>
                <w:b/>
                <w:bCs/>
                <w:sz w:val="17"/>
                <w:szCs w:val="17"/>
                <w:lang w:val="es-ES_tradnl"/>
              </w:rPr>
            </w:pPr>
            <w:r w:rsidRPr="00616BD9">
              <w:rPr>
                <w:b/>
                <w:bCs/>
                <w:sz w:val="17"/>
                <w:szCs w:val="17"/>
                <w:lang w:val="es-ES_tradnl"/>
              </w:rPr>
              <w:t>(</w:t>
            </w:r>
            <w:r w:rsidR="00CC61EA" w:rsidRPr="00616BD9">
              <w:rPr>
                <w:b/>
                <w:bCs/>
                <w:sz w:val="17"/>
                <w:szCs w:val="17"/>
                <w:lang w:val="es-ES_tradnl"/>
              </w:rPr>
              <w:t xml:space="preserve">período de sesiones </w:t>
            </w:r>
            <w:r w:rsidR="0067104F" w:rsidRPr="00616BD9">
              <w:rPr>
                <w:b/>
                <w:bCs/>
                <w:sz w:val="17"/>
                <w:szCs w:val="17"/>
                <w:lang w:val="es-ES_tradnl"/>
              </w:rPr>
              <w:t>34º a</w:t>
            </w:r>
            <w:r w:rsidRPr="00616BD9">
              <w:rPr>
                <w:b/>
                <w:bCs/>
                <w:sz w:val="17"/>
                <w:szCs w:val="17"/>
                <w:lang w:val="es-ES_tradnl"/>
              </w:rPr>
              <w:t xml:space="preserve"> </w:t>
            </w:r>
            <w:r w:rsidR="0067104F" w:rsidRPr="00616BD9">
              <w:rPr>
                <w:b/>
                <w:bCs/>
                <w:sz w:val="17"/>
                <w:szCs w:val="17"/>
                <w:lang w:val="es-ES_tradnl"/>
              </w:rPr>
              <w:t>37º)</w:t>
            </w:r>
          </w:p>
        </w:tc>
        <w:tc>
          <w:tcPr>
            <w:tcW w:w="1159" w:type="dxa"/>
          </w:tcPr>
          <w:p w14:paraId="07FE00FC" w14:textId="1DEB9E5C" w:rsidR="005914AB" w:rsidRPr="00616BD9" w:rsidRDefault="00BB0871" w:rsidP="00A50D77">
            <w:pPr>
              <w:snapToGrid w:val="0"/>
              <w:spacing w:before="40" w:line="210" w:lineRule="atLeast"/>
              <w:rPr>
                <w:sz w:val="17"/>
                <w:szCs w:val="17"/>
                <w:lang w:val="es-ES_tradnl"/>
              </w:rPr>
            </w:pPr>
            <w:r w:rsidRPr="00616BD9">
              <w:rPr>
                <w:sz w:val="17"/>
                <w:szCs w:val="17"/>
                <w:lang w:val="es-ES_tradnl"/>
              </w:rPr>
              <w:t>4 semanas</w:t>
            </w:r>
          </w:p>
        </w:tc>
        <w:tc>
          <w:tcPr>
            <w:tcW w:w="2162" w:type="dxa"/>
          </w:tcPr>
          <w:p w14:paraId="36787FCA" w14:textId="0ACEE47C" w:rsidR="005914AB" w:rsidRPr="00616BD9" w:rsidRDefault="00BB0871" w:rsidP="00A50D77">
            <w:pPr>
              <w:snapToGrid w:val="0"/>
              <w:spacing w:before="40" w:line="210" w:lineRule="atLeast"/>
              <w:rPr>
                <w:sz w:val="17"/>
                <w:szCs w:val="17"/>
                <w:lang w:val="es-ES_tradnl"/>
              </w:rPr>
            </w:pPr>
            <w:r w:rsidRPr="00616BD9">
              <w:rPr>
                <w:sz w:val="17"/>
                <w:szCs w:val="17"/>
                <w:lang w:val="es-ES_tradnl"/>
              </w:rPr>
              <w:t>8 documentos de trabajo de 15,6 páginas en promedio</w:t>
            </w:r>
          </w:p>
        </w:tc>
        <w:tc>
          <w:tcPr>
            <w:tcW w:w="1899" w:type="dxa"/>
          </w:tcPr>
          <w:p w14:paraId="47CB43B8" w14:textId="11700218" w:rsidR="005914AB" w:rsidRPr="00616BD9" w:rsidRDefault="00A308E7" w:rsidP="00A50D77">
            <w:pPr>
              <w:snapToGrid w:val="0"/>
              <w:spacing w:before="40" w:line="210" w:lineRule="atLeast"/>
              <w:rPr>
                <w:sz w:val="17"/>
                <w:szCs w:val="17"/>
                <w:lang w:val="es-ES_tradnl"/>
              </w:rPr>
            </w:pPr>
            <w:r w:rsidRPr="00616BD9">
              <w:rPr>
                <w:sz w:val="17"/>
                <w:szCs w:val="17"/>
                <w:lang w:val="es-ES_tradnl"/>
              </w:rPr>
              <w:t>13 documentos de 8,1 páginas en promedio</w:t>
            </w:r>
          </w:p>
        </w:tc>
      </w:tr>
      <w:tr w:rsidR="005914AB" w:rsidRPr="00616BD9" w14:paraId="11C5B58C" w14:textId="77777777" w:rsidTr="00A50D77">
        <w:tc>
          <w:tcPr>
            <w:tcW w:w="2869" w:type="dxa"/>
            <w:shd w:val="pct10" w:color="auto" w:fill="auto"/>
          </w:tcPr>
          <w:p w14:paraId="6756E670" w14:textId="15C676D2" w:rsidR="005914AB" w:rsidRPr="00616BD9" w:rsidRDefault="00CC61EA" w:rsidP="00A50D77">
            <w:pPr>
              <w:snapToGrid w:val="0"/>
              <w:spacing w:before="40" w:line="210" w:lineRule="atLeast"/>
              <w:rPr>
                <w:b/>
                <w:bCs/>
                <w:sz w:val="17"/>
                <w:szCs w:val="17"/>
                <w:lang w:val="es-ES_tradnl"/>
              </w:rPr>
            </w:pPr>
            <w:r w:rsidRPr="00616BD9">
              <w:rPr>
                <w:b/>
                <w:bCs/>
                <w:sz w:val="17"/>
                <w:szCs w:val="17"/>
                <w:lang w:val="es-ES_tradnl"/>
              </w:rPr>
              <w:t>Tercera parte</w:t>
            </w:r>
          </w:p>
          <w:p w14:paraId="0BD352C6" w14:textId="0E47C0E3" w:rsidR="005914AB" w:rsidRPr="00616BD9" w:rsidRDefault="005914AB" w:rsidP="00A50D77">
            <w:pPr>
              <w:snapToGrid w:val="0"/>
              <w:spacing w:before="40" w:after="80" w:line="210" w:lineRule="atLeast"/>
              <w:rPr>
                <w:b/>
                <w:bCs/>
                <w:sz w:val="17"/>
                <w:szCs w:val="17"/>
                <w:lang w:val="es-ES_tradnl"/>
              </w:rPr>
            </w:pPr>
            <w:r w:rsidRPr="00616BD9">
              <w:rPr>
                <w:b/>
                <w:bCs/>
                <w:sz w:val="17"/>
                <w:szCs w:val="17"/>
                <w:lang w:val="es-ES_tradnl"/>
              </w:rPr>
              <w:t>(</w:t>
            </w:r>
            <w:r w:rsidR="00BE2D8D" w:rsidRPr="00616BD9">
              <w:rPr>
                <w:b/>
                <w:bCs/>
                <w:sz w:val="17"/>
                <w:szCs w:val="17"/>
                <w:lang w:val="es-ES_tradnl"/>
              </w:rPr>
              <w:t>38o período de sesiones, continuación de los períodos de sesiones 38º y 39º</w:t>
            </w:r>
            <w:r w:rsidRPr="00616BD9">
              <w:rPr>
                <w:b/>
                <w:bCs/>
                <w:sz w:val="17"/>
                <w:szCs w:val="17"/>
                <w:lang w:val="es-ES_tradnl"/>
              </w:rPr>
              <w:t>)</w:t>
            </w:r>
          </w:p>
        </w:tc>
        <w:tc>
          <w:tcPr>
            <w:tcW w:w="1159" w:type="dxa"/>
          </w:tcPr>
          <w:p w14:paraId="451B219D" w14:textId="1369CF85" w:rsidR="005914AB" w:rsidRPr="00616BD9" w:rsidRDefault="005914AB" w:rsidP="00A50D77">
            <w:pPr>
              <w:snapToGrid w:val="0"/>
              <w:spacing w:before="40" w:line="210" w:lineRule="atLeast"/>
              <w:rPr>
                <w:sz w:val="17"/>
                <w:szCs w:val="17"/>
                <w:lang w:val="es-ES_tradnl"/>
              </w:rPr>
            </w:pPr>
            <w:r w:rsidRPr="00616BD9">
              <w:rPr>
                <w:sz w:val="17"/>
                <w:szCs w:val="17"/>
                <w:lang w:val="es-ES_tradnl"/>
              </w:rPr>
              <w:t xml:space="preserve">3 </w:t>
            </w:r>
            <w:r w:rsidR="008502D9" w:rsidRPr="00616BD9">
              <w:rPr>
                <w:sz w:val="17"/>
                <w:szCs w:val="17"/>
                <w:lang w:val="es-ES_tradnl"/>
              </w:rPr>
              <w:t>semanas</w:t>
            </w:r>
          </w:p>
        </w:tc>
        <w:tc>
          <w:tcPr>
            <w:tcW w:w="2162" w:type="dxa"/>
          </w:tcPr>
          <w:p w14:paraId="3CE559E7" w14:textId="0E78CAD2" w:rsidR="005914AB" w:rsidRPr="00616BD9" w:rsidRDefault="008502D9" w:rsidP="00A50D77">
            <w:pPr>
              <w:snapToGrid w:val="0"/>
              <w:spacing w:before="40" w:line="210" w:lineRule="atLeast"/>
              <w:rPr>
                <w:sz w:val="17"/>
                <w:szCs w:val="17"/>
                <w:lang w:val="es-ES_tradnl"/>
              </w:rPr>
            </w:pPr>
            <w:r w:rsidRPr="00616BD9">
              <w:rPr>
                <w:sz w:val="17"/>
                <w:szCs w:val="17"/>
                <w:lang w:val="es-ES_tradnl"/>
              </w:rPr>
              <w:t>13 documentos de trabajo de 11,9 páginas en promedio</w:t>
            </w:r>
          </w:p>
        </w:tc>
        <w:tc>
          <w:tcPr>
            <w:tcW w:w="1899" w:type="dxa"/>
          </w:tcPr>
          <w:p w14:paraId="45B6D2E7" w14:textId="5A60CB8F" w:rsidR="005914AB" w:rsidRPr="00616BD9" w:rsidRDefault="00F72266" w:rsidP="00A50D77">
            <w:pPr>
              <w:snapToGrid w:val="0"/>
              <w:spacing w:before="40" w:line="210" w:lineRule="atLeast"/>
              <w:rPr>
                <w:sz w:val="17"/>
                <w:szCs w:val="17"/>
                <w:lang w:val="es-ES_tradnl"/>
              </w:rPr>
            </w:pPr>
            <w:r w:rsidRPr="00616BD9">
              <w:rPr>
                <w:sz w:val="17"/>
                <w:szCs w:val="17"/>
                <w:lang w:val="es-ES_tradnl"/>
              </w:rPr>
              <w:t>18 documentos de 7,7 páginas en promedio</w:t>
            </w:r>
          </w:p>
        </w:tc>
      </w:tr>
      <w:tr w:rsidR="005914AB" w:rsidRPr="00616BD9" w14:paraId="667D13BA" w14:textId="77777777" w:rsidTr="00A50D77">
        <w:trPr>
          <w:trHeight w:val="561"/>
        </w:trPr>
        <w:tc>
          <w:tcPr>
            <w:tcW w:w="2869" w:type="dxa"/>
            <w:shd w:val="pct10" w:color="auto" w:fill="auto"/>
          </w:tcPr>
          <w:p w14:paraId="68D2763A" w14:textId="77777777" w:rsidR="005914AB" w:rsidRPr="00616BD9" w:rsidRDefault="005914AB" w:rsidP="00A50D77">
            <w:pPr>
              <w:snapToGrid w:val="0"/>
              <w:spacing w:before="40" w:line="210" w:lineRule="atLeast"/>
              <w:rPr>
                <w:b/>
                <w:bCs/>
                <w:sz w:val="17"/>
                <w:szCs w:val="17"/>
                <w:lang w:val="es-ES_tradnl"/>
              </w:rPr>
            </w:pPr>
            <w:r w:rsidRPr="00616BD9">
              <w:rPr>
                <w:b/>
                <w:bCs/>
                <w:sz w:val="17"/>
                <w:szCs w:val="17"/>
                <w:lang w:val="es-ES_tradnl"/>
              </w:rPr>
              <w:t>Total</w:t>
            </w:r>
          </w:p>
        </w:tc>
        <w:tc>
          <w:tcPr>
            <w:tcW w:w="1159" w:type="dxa"/>
          </w:tcPr>
          <w:p w14:paraId="6D0E7C03" w14:textId="08232E6D" w:rsidR="005914AB" w:rsidRPr="00616BD9" w:rsidRDefault="005914AB" w:rsidP="00A50D77">
            <w:pPr>
              <w:snapToGrid w:val="0"/>
              <w:spacing w:before="40" w:line="210" w:lineRule="atLeast"/>
              <w:rPr>
                <w:sz w:val="17"/>
                <w:szCs w:val="17"/>
                <w:lang w:val="es-ES_tradnl"/>
              </w:rPr>
            </w:pPr>
            <w:r w:rsidRPr="00616BD9">
              <w:rPr>
                <w:sz w:val="17"/>
                <w:szCs w:val="17"/>
                <w:lang w:val="es-ES_tradnl"/>
              </w:rPr>
              <w:t xml:space="preserve">7 </w:t>
            </w:r>
            <w:r w:rsidR="0067104F" w:rsidRPr="00616BD9">
              <w:rPr>
                <w:sz w:val="17"/>
                <w:szCs w:val="17"/>
                <w:lang w:val="es-ES_tradnl"/>
              </w:rPr>
              <w:t>semanas</w:t>
            </w:r>
          </w:p>
        </w:tc>
        <w:tc>
          <w:tcPr>
            <w:tcW w:w="2162" w:type="dxa"/>
          </w:tcPr>
          <w:p w14:paraId="5FB88356" w14:textId="0E535110" w:rsidR="005914AB" w:rsidRPr="00616BD9" w:rsidRDefault="005914AB" w:rsidP="00A50D77">
            <w:pPr>
              <w:snapToGrid w:val="0"/>
              <w:spacing w:before="40" w:line="210" w:lineRule="atLeast"/>
              <w:rPr>
                <w:sz w:val="17"/>
                <w:szCs w:val="17"/>
                <w:lang w:val="es-ES_tradnl"/>
              </w:rPr>
            </w:pPr>
            <w:r w:rsidRPr="00616BD9">
              <w:rPr>
                <w:sz w:val="17"/>
                <w:szCs w:val="17"/>
                <w:lang w:val="es-ES_tradnl"/>
              </w:rPr>
              <w:t xml:space="preserve">21 </w:t>
            </w:r>
            <w:r w:rsidR="0067104F" w:rsidRPr="00616BD9">
              <w:rPr>
                <w:sz w:val="17"/>
                <w:szCs w:val="17"/>
                <w:lang w:val="es-ES_tradnl"/>
              </w:rPr>
              <w:t>documentos de trabajo de</w:t>
            </w:r>
            <w:r w:rsidRPr="00616BD9">
              <w:rPr>
                <w:sz w:val="17"/>
                <w:szCs w:val="17"/>
                <w:lang w:val="es-ES_tradnl"/>
              </w:rPr>
              <w:t xml:space="preserve"> 13.3 p</w:t>
            </w:r>
            <w:r w:rsidR="0067104F" w:rsidRPr="00616BD9">
              <w:rPr>
                <w:sz w:val="17"/>
                <w:szCs w:val="17"/>
                <w:lang w:val="es-ES_tradnl"/>
              </w:rPr>
              <w:t>áginas en promedio</w:t>
            </w:r>
          </w:p>
        </w:tc>
        <w:tc>
          <w:tcPr>
            <w:tcW w:w="1899" w:type="dxa"/>
          </w:tcPr>
          <w:p w14:paraId="44936B02" w14:textId="22766EBA" w:rsidR="005914AB" w:rsidRPr="00616BD9" w:rsidRDefault="005914AB" w:rsidP="00A50D77">
            <w:pPr>
              <w:snapToGrid w:val="0"/>
              <w:spacing w:before="40" w:line="210" w:lineRule="atLeast"/>
              <w:rPr>
                <w:sz w:val="17"/>
                <w:szCs w:val="17"/>
                <w:lang w:val="es-ES_tradnl"/>
              </w:rPr>
            </w:pPr>
            <w:r w:rsidRPr="00616BD9">
              <w:rPr>
                <w:sz w:val="17"/>
                <w:szCs w:val="17"/>
                <w:lang w:val="es-ES_tradnl"/>
              </w:rPr>
              <w:t xml:space="preserve">31 </w:t>
            </w:r>
            <w:r w:rsidR="00F72266" w:rsidRPr="00616BD9">
              <w:rPr>
                <w:sz w:val="17"/>
                <w:szCs w:val="17"/>
                <w:lang w:val="es-ES_tradnl"/>
              </w:rPr>
              <w:t>documentos de 7,9 páginas en promedio</w:t>
            </w:r>
          </w:p>
        </w:tc>
      </w:tr>
    </w:tbl>
    <w:p w14:paraId="676AA4E7" w14:textId="77777777" w:rsidR="005914AB" w:rsidRPr="00616BD9" w:rsidRDefault="005914AB" w:rsidP="005F7176">
      <w:pPr>
        <w:pStyle w:val="SingleTxt"/>
        <w:tabs>
          <w:tab w:val="clear" w:pos="1267"/>
          <w:tab w:val="clear" w:pos="1742"/>
          <w:tab w:val="left" w:pos="567"/>
        </w:tabs>
        <w:spacing w:after="0" w:line="120" w:lineRule="atLeast"/>
        <w:ind w:left="567" w:right="1267"/>
        <w:rPr>
          <w:sz w:val="10"/>
          <w:lang w:val="es-ES_tradnl"/>
        </w:rPr>
      </w:pPr>
    </w:p>
    <w:p w14:paraId="01452610" w14:textId="77777777" w:rsidR="005914AB" w:rsidRPr="00616BD9" w:rsidRDefault="005914AB" w:rsidP="00902A56">
      <w:pPr>
        <w:pStyle w:val="SingleTxt"/>
        <w:spacing w:after="0" w:line="120" w:lineRule="atLeast"/>
        <w:ind w:left="1267" w:right="1267"/>
        <w:rPr>
          <w:sz w:val="10"/>
          <w:lang w:val="es-ES_tradnl"/>
        </w:rPr>
      </w:pPr>
    </w:p>
    <w:p w14:paraId="54D1D5C1" w14:textId="4073A37A" w:rsidR="005914AB" w:rsidRPr="00616BD9" w:rsidRDefault="00454472" w:rsidP="00A50D77">
      <w:pPr>
        <w:pStyle w:val="ListParagraph"/>
        <w:numPr>
          <w:ilvl w:val="0"/>
          <w:numId w:val="1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z w:val="10"/>
          <w:lang w:val="es-ES_tradnl"/>
        </w:rPr>
      </w:pPr>
      <w:r w:rsidRPr="00616BD9">
        <w:rPr>
          <w:lang w:val="es-ES_tradnl"/>
        </w:rPr>
        <w:t xml:space="preserve">En comparación con otros grupos de trabajo de la Comisión, un equipo de la Secretaría </w:t>
      </w:r>
      <w:r w:rsidR="00801D13" w:rsidRPr="00616BD9">
        <w:rPr>
          <w:lang w:val="es-ES_tradnl"/>
        </w:rPr>
        <w:t>un</w:t>
      </w:r>
      <w:r w:rsidR="00ED603E" w:rsidRPr="00616BD9">
        <w:rPr>
          <w:lang w:val="es-ES_tradnl"/>
        </w:rPr>
        <w:t xml:space="preserve"> poco</w:t>
      </w:r>
      <w:r w:rsidRPr="00616BD9">
        <w:rPr>
          <w:lang w:val="es-ES_tradnl"/>
        </w:rPr>
        <w:t xml:space="preserve"> más grande ha prestado servicios al Grupo de trabajo III y sus actividades entre períodos de sesiones desde 2017</w:t>
      </w:r>
      <w:r w:rsidR="003B54EF" w:rsidRPr="00616BD9">
        <w:rPr>
          <w:lang w:val="es-ES_tradnl"/>
        </w:rPr>
        <w:t xml:space="preserve">. </w:t>
      </w:r>
      <w:r w:rsidR="00F8047E" w:rsidRPr="00616BD9">
        <w:rPr>
          <w:lang w:val="es-ES_tradnl"/>
        </w:rPr>
        <w:t>El equipo actual está compuesto de un secretario del Grupo de Trabajo, dos funcionarios permanentes</w:t>
      </w:r>
      <w:r w:rsidR="00EE58CC" w:rsidRPr="00616BD9">
        <w:rPr>
          <w:lang w:val="es-ES_tradnl"/>
        </w:rPr>
        <w:t>,</w:t>
      </w:r>
      <w:r w:rsidR="00F8047E" w:rsidRPr="00616BD9">
        <w:rPr>
          <w:lang w:val="es-ES_tradnl"/>
        </w:rPr>
        <w:t xml:space="preserve"> un </w:t>
      </w:r>
      <w:r w:rsidR="00EE58CC" w:rsidRPr="00616BD9">
        <w:rPr>
          <w:lang w:val="es-ES_tradnl"/>
        </w:rPr>
        <w:t xml:space="preserve">funcionario </w:t>
      </w:r>
      <w:r w:rsidR="00F8047E" w:rsidRPr="00616BD9">
        <w:rPr>
          <w:lang w:val="es-ES_tradnl"/>
        </w:rPr>
        <w:t>profesional</w:t>
      </w:r>
      <w:r w:rsidR="00EE58CC" w:rsidRPr="00616BD9">
        <w:rPr>
          <w:lang w:val="es-ES_tradnl"/>
        </w:rPr>
        <w:t xml:space="preserve"> junior</w:t>
      </w:r>
      <w:r w:rsidR="00F8047E" w:rsidRPr="00616BD9">
        <w:rPr>
          <w:lang w:val="es-ES_tradnl"/>
        </w:rPr>
        <w:t xml:space="preserve"> </w:t>
      </w:r>
      <w:r w:rsidR="00FD088D" w:rsidRPr="00616BD9">
        <w:rPr>
          <w:rStyle w:val="FootnoteReference"/>
          <w:lang w:val="es-ES_tradnl"/>
        </w:rPr>
        <w:footnoteReference w:id="11"/>
      </w:r>
      <w:r w:rsidR="003B54EF" w:rsidRPr="00616BD9">
        <w:rPr>
          <w:spacing w:val="2"/>
          <w:w w:val="101"/>
          <w:lang w:val="es-ES_tradnl"/>
        </w:rPr>
        <w:t xml:space="preserve"> </w:t>
      </w:r>
      <w:r w:rsidR="004F2F0D" w:rsidRPr="00616BD9">
        <w:rPr>
          <w:spacing w:val="2"/>
          <w:w w:val="101"/>
          <w:lang w:val="es-ES_tradnl"/>
        </w:rPr>
        <w:t>y un funcionario administrativo</w:t>
      </w:r>
      <w:r w:rsidR="003B54EF" w:rsidRPr="00616BD9">
        <w:rPr>
          <w:lang w:val="es-ES_tradnl"/>
        </w:rPr>
        <w:t>.</w:t>
      </w:r>
      <w:r w:rsidR="006430FB" w:rsidRPr="00616BD9">
        <w:rPr>
          <w:lang w:val="es-ES_tradnl"/>
        </w:rPr>
        <w:t xml:space="preserve"> El Grupo de Trabajo tal vez desee tomar nota de que el mismo equipo también presta servicios al Grupo de Trabajo II y apoya además otras áreas de trabajo de la Comisión</w:t>
      </w:r>
      <w:r w:rsidR="003B54EF" w:rsidRPr="00616BD9">
        <w:rPr>
          <w:lang w:val="es-ES_tradnl"/>
        </w:rPr>
        <w:t>.</w:t>
      </w:r>
    </w:p>
    <w:p w14:paraId="63E5F63C" w14:textId="3C8CD8DC" w:rsidR="005914AB" w:rsidRPr="00616BD9" w:rsidRDefault="00BE2B0E" w:rsidP="00933BE0">
      <w:pPr>
        <w:pStyle w:val="SingleTxt"/>
        <w:tabs>
          <w:tab w:val="clear" w:pos="1267"/>
        </w:tabs>
        <w:ind w:left="567" w:right="1267"/>
        <w:rPr>
          <w:b/>
          <w:bCs/>
          <w:lang w:val="es-ES_tradnl"/>
        </w:rPr>
      </w:pPr>
      <w:r w:rsidRPr="00616BD9">
        <w:rPr>
          <w:b/>
          <w:bCs/>
          <w:lang w:val="es-ES_tradnl"/>
        </w:rPr>
        <w:t xml:space="preserve">2. </w:t>
      </w:r>
      <w:r w:rsidR="00747B24" w:rsidRPr="00616BD9">
        <w:rPr>
          <w:b/>
          <w:bCs/>
          <w:lang w:val="es-ES_tradnl"/>
        </w:rPr>
        <w:t>R</w:t>
      </w:r>
      <w:r w:rsidR="00890F2A" w:rsidRPr="00616BD9">
        <w:rPr>
          <w:b/>
          <w:bCs/>
          <w:lang w:val="es-ES_tradnl"/>
        </w:rPr>
        <w:t>equerimiento</w:t>
      </w:r>
      <w:r w:rsidR="00747B24" w:rsidRPr="00616BD9">
        <w:rPr>
          <w:b/>
          <w:bCs/>
          <w:lang w:val="es-ES_tradnl"/>
        </w:rPr>
        <w:t>s de recursos adicionales</w:t>
      </w:r>
    </w:p>
    <w:p w14:paraId="4ED32E98" w14:textId="1F315F41" w:rsidR="00933BE0" w:rsidRPr="00616BD9" w:rsidRDefault="005D09C4" w:rsidP="00933BE0">
      <w:pPr>
        <w:pStyle w:val="ListParagraph"/>
        <w:numPr>
          <w:ilvl w:val="0"/>
          <w:numId w:val="10"/>
        </w:numPr>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lang w:val="es-ES_tradnl"/>
        </w:rPr>
        <w:lastRenderedPageBreak/>
        <w:t>Esta sección proporciona una ilustración del tiempo</w:t>
      </w:r>
      <w:r w:rsidR="00106AEB" w:rsidRPr="00616BD9">
        <w:rPr>
          <w:lang w:val="es-ES_tradnl"/>
        </w:rPr>
        <w:t xml:space="preserve"> de conferencia</w:t>
      </w:r>
      <w:r w:rsidRPr="00616BD9">
        <w:rPr>
          <w:lang w:val="es-ES_tradnl"/>
        </w:rPr>
        <w:t xml:space="preserve"> y recursos adicionales que se requerirán </w:t>
      </w:r>
      <w:r w:rsidR="00106AEB" w:rsidRPr="00616BD9">
        <w:rPr>
          <w:lang w:val="es-ES_tradnl"/>
        </w:rPr>
        <w:t>de</w:t>
      </w:r>
      <w:r w:rsidRPr="00616BD9">
        <w:rPr>
          <w:lang w:val="es-ES_tradnl"/>
        </w:rPr>
        <w:t xml:space="preserve"> seguir trabajando en el Proyecto </w:t>
      </w:r>
      <w:r w:rsidR="00106AEB" w:rsidRPr="00616BD9">
        <w:rPr>
          <w:lang w:val="es-ES_tradnl"/>
        </w:rPr>
        <w:t>de SCIE</w:t>
      </w:r>
      <w:r w:rsidR="00AC61CA" w:rsidRPr="00616BD9">
        <w:rPr>
          <w:lang w:val="es-ES_tradnl"/>
        </w:rPr>
        <w:t xml:space="preserve"> de</w:t>
      </w:r>
      <w:r w:rsidRPr="00616BD9">
        <w:rPr>
          <w:lang w:val="es-ES_tradnl"/>
        </w:rPr>
        <w:t xml:space="preserve"> acuerdo con el Plan de Trabajo.</w:t>
      </w:r>
    </w:p>
    <w:p w14:paraId="6243AE3F" w14:textId="77777777" w:rsidR="00933BE0" w:rsidRPr="00616BD9" w:rsidRDefault="00933BE0" w:rsidP="00933BE0">
      <w:pPr>
        <w:pStyle w:val="ListParagraph"/>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jc w:val="both"/>
        <w:rPr>
          <w:spacing w:val="2"/>
          <w:w w:val="101"/>
          <w:lang w:val="es-ES_tradnl"/>
        </w:rPr>
      </w:pPr>
    </w:p>
    <w:p w14:paraId="380C203D" w14:textId="77777777" w:rsidR="00933BE0" w:rsidRPr="00616BD9" w:rsidRDefault="00D13ADA" w:rsidP="00933BE0">
      <w:pPr>
        <w:pStyle w:val="ListParagraph"/>
        <w:numPr>
          <w:ilvl w:val="0"/>
          <w:numId w:val="10"/>
        </w:numPr>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spacing w:val="2"/>
          <w:w w:val="101"/>
          <w:lang w:val="es-ES_tradnl"/>
        </w:rPr>
        <w:t xml:space="preserve">Según el plan de trabajo, se requieren dos semanas adicionales de tiempo de conferencia por un período de tres años desde 2022 hasta 2024. Esto permitiría </w:t>
      </w:r>
      <w:r w:rsidR="00244DD4" w:rsidRPr="00616BD9">
        <w:rPr>
          <w:spacing w:val="2"/>
          <w:w w:val="101"/>
          <w:lang w:val="es-ES_tradnl"/>
        </w:rPr>
        <w:t xml:space="preserve">contar con </w:t>
      </w:r>
      <w:r w:rsidRPr="00616BD9">
        <w:rPr>
          <w:spacing w:val="2"/>
          <w:w w:val="101"/>
          <w:lang w:val="es-ES_tradnl"/>
        </w:rPr>
        <w:t xml:space="preserve">un total de 15 semanas de tiempo de conferencia hasta la primera mitad de 2025 (9 dentro de los recursos existentes y 6 mediante recursos adicionales), </w:t>
      </w:r>
      <w:r w:rsidR="00CE320F" w:rsidRPr="00616BD9">
        <w:rPr>
          <w:spacing w:val="2"/>
          <w:w w:val="101"/>
          <w:lang w:val="es-ES_tradnl"/>
        </w:rPr>
        <w:t xml:space="preserve">los que serían </w:t>
      </w:r>
      <w:r w:rsidR="00083F4E" w:rsidRPr="00616BD9">
        <w:rPr>
          <w:spacing w:val="2"/>
          <w:w w:val="101"/>
          <w:lang w:val="es-ES_tradnl"/>
        </w:rPr>
        <w:t>seguidos por</w:t>
      </w:r>
      <w:r w:rsidRPr="00616BD9">
        <w:rPr>
          <w:spacing w:val="2"/>
          <w:w w:val="101"/>
          <w:lang w:val="es-ES_tradnl"/>
        </w:rPr>
        <w:t xml:space="preserve"> deliberaciones </w:t>
      </w:r>
      <w:r w:rsidR="00083F4E" w:rsidRPr="00616BD9">
        <w:rPr>
          <w:spacing w:val="2"/>
          <w:w w:val="101"/>
          <w:lang w:val="es-ES_tradnl"/>
        </w:rPr>
        <w:t>en</w:t>
      </w:r>
      <w:r w:rsidRPr="00616BD9">
        <w:rPr>
          <w:spacing w:val="2"/>
          <w:w w:val="101"/>
          <w:lang w:val="es-ES_tradnl"/>
        </w:rPr>
        <w:t xml:space="preserve"> la Comisión para finalizar el proyecto en 2025</w:t>
      </w:r>
      <w:r w:rsidR="00083F4E" w:rsidRPr="00616BD9">
        <w:rPr>
          <w:spacing w:val="2"/>
          <w:w w:val="101"/>
          <w:lang w:val="es-ES_tradnl"/>
        </w:rPr>
        <w:t>, e</w:t>
      </w:r>
      <w:r w:rsidRPr="00616BD9">
        <w:rPr>
          <w:spacing w:val="2"/>
          <w:w w:val="101"/>
          <w:lang w:val="es-ES_tradnl"/>
        </w:rPr>
        <w:t xml:space="preserve">n su 58º período de sesiones. Teniendo en cuenta que algunas opciones de reforma estarían sujetas a la aprobación en principio de la Comisión antes del 58º período de sesiones, el tiempo de conferencias existente debería asignarse a esos temas durante el </w:t>
      </w:r>
      <w:r w:rsidR="009605D9" w:rsidRPr="00616BD9">
        <w:rPr>
          <w:spacing w:val="2"/>
          <w:w w:val="101"/>
          <w:lang w:val="es-ES_tradnl"/>
        </w:rPr>
        <w:t xml:space="preserve">55º al 57º </w:t>
      </w:r>
      <w:r w:rsidRPr="00616BD9">
        <w:rPr>
          <w:spacing w:val="2"/>
          <w:w w:val="101"/>
          <w:lang w:val="es-ES_tradnl"/>
        </w:rPr>
        <w:t>período de sesiones de la Comisión</w:t>
      </w:r>
    </w:p>
    <w:p w14:paraId="443D9874" w14:textId="77777777" w:rsidR="00933BE0" w:rsidRPr="00616BD9" w:rsidRDefault="00933BE0" w:rsidP="00933BE0">
      <w:pPr>
        <w:pStyle w:val="ListParagraph"/>
        <w:rPr>
          <w:spacing w:val="2"/>
          <w:w w:val="101"/>
          <w:lang w:val="es-ES_tradnl"/>
        </w:rPr>
      </w:pPr>
    </w:p>
    <w:p w14:paraId="5D5C16CD" w14:textId="77777777" w:rsidR="00933BE0" w:rsidRPr="00616BD9" w:rsidRDefault="00416E78" w:rsidP="00933BE0">
      <w:pPr>
        <w:pStyle w:val="ListParagraph"/>
        <w:numPr>
          <w:ilvl w:val="0"/>
          <w:numId w:val="10"/>
        </w:numPr>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spacing w:val="2"/>
          <w:w w:val="101"/>
          <w:lang w:val="es-ES_tradnl"/>
        </w:rPr>
        <w:t>Las reuniones de la Comisión y sus grupos de trabajo se celebran utilizando el tiempo de conferencias asignado a la CNUDMI, que actualmente es de un máximo de quince semanas por año. Por lo tanto, el Grupo de Trabajo podría, en principio, solicitar a la Comisión que asigne el tiempo de conferencia no utilizado de la Comisión</w:t>
      </w:r>
      <w:r w:rsidR="004D187F" w:rsidRPr="00616BD9">
        <w:rPr>
          <w:vertAlign w:val="superscript"/>
          <w:lang w:val="es-ES_tradnl"/>
        </w:rPr>
        <w:footnoteReference w:id="12"/>
      </w:r>
      <w:r w:rsidR="004D187F" w:rsidRPr="00616BD9">
        <w:rPr>
          <w:lang w:val="es-ES_tradnl"/>
        </w:rPr>
        <w:t xml:space="preserve"> </w:t>
      </w:r>
      <w:r w:rsidR="006D3662" w:rsidRPr="00616BD9">
        <w:rPr>
          <w:lang w:val="es-ES_tradnl"/>
        </w:rPr>
        <w:t xml:space="preserve">o de otros Grupos de Trabajo al Proyecto de SCIE, </w:t>
      </w:r>
      <w:r w:rsidR="008C51A1" w:rsidRPr="00616BD9">
        <w:rPr>
          <w:lang w:val="es-ES_tradnl"/>
        </w:rPr>
        <w:t>lo que fue el caso de las semanas que no se usaron en la Comisión de 2019</w:t>
      </w:r>
      <w:r w:rsidR="00D7101C" w:rsidRPr="00616BD9">
        <w:rPr>
          <w:vertAlign w:val="superscript"/>
          <w:lang w:val="es-ES_tradnl"/>
        </w:rPr>
        <w:footnoteReference w:id="13"/>
      </w:r>
      <w:r w:rsidR="00D7101C" w:rsidRPr="00616BD9">
        <w:rPr>
          <w:lang w:val="es-ES_tradnl"/>
        </w:rPr>
        <w:t xml:space="preserve"> </w:t>
      </w:r>
      <w:r w:rsidR="008C51A1" w:rsidRPr="00616BD9">
        <w:rPr>
          <w:lang w:val="es-ES_tradnl"/>
        </w:rPr>
        <w:t xml:space="preserve">y en el caso del proyecto de </w:t>
      </w:r>
      <w:r w:rsidR="00221C1F" w:rsidRPr="00616BD9">
        <w:rPr>
          <w:lang w:val="es-ES_tradnl"/>
        </w:rPr>
        <w:t>las Reglas de Rotterdam</w:t>
      </w:r>
      <w:r w:rsidR="004D187F" w:rsidRPr="00616BD9">
        <w:rPr>
          <w:lang w:val="es-ES_tradnl"/>
        </w:rPr>
        <w:t>.</w:t>
      </w:r>
      <w:r w:rsidR="004D187F" w:rsidRPr="00616BD9">
        <w:rPr>
          <w:vertAlign w:val="superscript"/>
          <w:lang w:val="es-ES_tradnl"/>
        </w:rPr>
        <w:footnoteReference w:id="14"/>
      </w:r>
      <w:r w:rsidR="004D187F" w:rsidRPr="00616BD9">
        <w:rPr>
          <w:lang w:val="es-ES_tradnl"/>
        </w:rPr>
        <w:t xml:space="preserve"> </w:t>
      </w:r>
    </w:p>
    <w:p w14:paraId="30E3A73E" w14:textId="77777777" w:rsidR="00933BE0" w:rsidRPr="00616BD9" w:rsidRDefault="00933BE0" w:rsidP="00933BE0">
      <w:pPr>
        <w:pStyle w:val="ListParagraph"/>
        <w:rPr>
          <w:lang w:val="es-ES_tradnl"/>
        </w:rPr>
      </w:pPr>
    </w:p>
    <w:p w14:paraId="6A09E8E9" w14:textId="77777777" w:rsidR="00933BE0" w:rsidRPr="00616BD9" w:rsidRDefault="00474C1C" w:rsidP="00933BE0">
      <w:pPr>
        <w:pStyle w:val="ListParagraph"/>
        <w:numPr>
          <w:ilvl w:val="0"/>
          <w:numId w:val="10"/>
        </w:numPr>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lang w:val="es-ES_tradnl"/>
        </w:rPr>
        <w:t>Sin embargo, esto está sujeto a cambios</w:t>
      </w:r>
      <w:r w:rsidR="00CA7B63" w:rsidRPr="00616BD9">
        <w:rPr>
          <w:lang w:val="es-ES_tradnl"/>
        </w:rPr>
        <w:t xml:space="preserve"> todos los años, </w:t>
      </w:r>
      <w:r w:rsidRPr="00616BD9">
        <w:rPr>
          <w:lang w:val="es-ES_tradnl"/>
        </w:rPr>
        <w:t>ya que la Comisión reiteró que la duración de cada uno de sus períodos de sesiones anuales se determinaría caso por caso en función de la carga de trabajo prevista. Por ejemplo, la Comisión decidió celebrar un período de sesiones de tres semanas en 2021. Además, la determinación de la Comisión de asignar su tiempo de conferencia no utilizado a un grupo de trabajo durante su período de sesiones anual (generalmente celebrado en junio o julio) plantea desafío</w:t>
      </w:r>
      <w:r w:rsidR="003F58EC" w:rsidRPr="00616BD9">
        <w:rPr>
          <w:lang w:val="es-ES_tradnl"/>
        </w:rPr>
        <w:t>s</w:t>
      </w:r>
      <w:r w:rsidRPr="00616BD9">
        <w:rPr>
          <w:lang w:val="es-ES_tradnl"/>
        </w:rPr>
        <w:t xml:space="preserve"> práctico</w:t>
      </w:r>
      <w:r w:rsidR="003F58EC" w:rsidRPr="00616BD9">
        <w:rPr>
          <w:lang w:val="es-ES_tradnl"/>
        </w:rPr>
        <w:t>s</w:t>
      </w:r>
      <w:r w:rsidRPr="00616BD9">
        <w:rPr>
          <w:lang w:val="es-ES_tradnl"/>
        </w:rPr>
        <w:t xml:space="preserve"> </w:t>
      </w:r>
      <w:r w:rsidR="003F58EC" w:rsidRPr="00616BD9">
        <w:rPr>
          <w:lang w:val="es-ES_tradnl"/>
        </w:rPr>
        <w:t>como el de</w:t>
      </w:r>
      <w:r w:rsidRPr="00616BD9">
        <w:rPr>
          <w:lang w:val="es-ES_tradnl"/>
        </w:rPr>
        <w:t xml:space="preserve"> identificar un tiempo adecuado para conferencias en la segunda mitad del año y reprogram</w:t>
      </w:r>
      <w:r w:rsidR="003F58EC" w:rsidRPr="00616BD9">
        <w:rPr>
          <w:lang w:val="es-ES_tradnl"/>
        </w:rPr>
        <w:t>ar</w:t>
      </w:r>
      <w:r w:rsidRPr="00616BD9">
        <w:rPr>
          <w:lang w:val="es-ES_tradnl"/>
        </w:rPr>
        <w:t xml:space="preserve"> </w:t>
      </w:r>
      <w:r w:rsidR="005C741C" w:rsidRPr="00616BD9">
        <w:rPr>
          <w:lang w:val="es-ES_tradnl"/>
        </w:rPr>
        <w:t xml:space="preserve">las </w:t>
      </w:r>
      <w:r w:rsidRPr="00616BD9">
        <w:rPr>
          <w:lang w:val="es-ES_tradnl"/>
        </w:rPr>
        <w:t xml:space="preserve">fechas de </w:t>
      </w:r>
      <w:r w:rsidR="005C741C" w:rsidRPr="00616BD9">
        <w:rPr>
          <w:lang w:val="es-ES_tradnl"/>
        </w:rPr>
        <w:t xml:space="preserve">otros </w:t>
      </w:r>
      <w:r w:rsidRPr="00616BD9">
        <w:rPr>
          <w:lang w:val="es-ES_tradnl"/>
        </w:rPr>
        <w:t>grupos de trabajo. También genera dificultades en la planificación, ya que el Grupo de Trabajo no podría saber si se reunirá durante una o dos semanas en la segunda mitad del año y, de ser así, cuándo</w:t>
      </w:r>
      <w:r w:rsidR="004D187F" w:rsidRPr="00616BD9">
        <w:rPr>
          <w:spacing w:val="2"/>
          <w:w w:val="101"/>
          <w:lang w:val="es-ES_tradnl"/>
        </w:rPr>
        <w:t>.</w:t>
      </w:r>
    </w:p>
    <w:p w14:paraId="193911CE" w14:textId="77777777" w:rsidR="00933BE0" w:rsidRPr="00616BD9" w:rsidRDefault="00933BE0" w:rsidP="00933BE0">
      <w:pPr>
        <w:pStyle w:val="ListParagraph"/>
        <w:rPr>
          <w:spacing w:val="2"/>
          <w:w w:val="101"/>
          <w:lang w:val="es-ES_tradnl"/>
        </w:rPr>
      </w:pPr>
    </w:p>
    <w:p w14:paraId="2E272E6D" w14:textId="5C815E42" w:rsidR="00851D98" w:rsidRPr="00616BD9" w:rsidRDefault="000405F3" w:rsidP="00933BE0">
      <w:pPr>
        <w:pStyle w:val="ListParagraph"/>
        <w:numPr>
          <w:ilvl w:val="0"/>
          <w:numId w:val="10"/>
        </w:numPr>
        <w:tabs>
          <w:tab w:val="left" w:pos="567"/>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spacing w:val="2"/>
          <w:w w:val="101"/>
          <w:lang w:val="es-ES_tradnl"/>
        </w:rPr>
        <w:t xml:space="preserve">Si el Grupo de Trabajo decide solicitar tiempo adicional de conferencia, tal vez desee considerar si </w:t>
      </w:r>
      <w:r w:rsidR="005D2A9E" w:rsidRPr="00616BD9">
        <w:rPr>
          <w:spacing w:val="2"/>
          <w:w w:val="101"/>
          <w:lang w:val="es-ES_tradnl"/>
        </w:rPr>
        <w:t>desea m</w:t>
      </w:r>
      <w:r w:rsidRPr="00616BD9">
        <w:rPr>
          <w:spacing w:val="2"/>
          <w:w w:val="101"/>
          <w:lang w:val="es-ES_tradnl"/>
        </w:rPr>
        <w:t xml:space="preserve">antener el patrón de sesiones de una semana o celebrar sesiones de dos semanas. El Grupo de Trabajo tal vez desee considerar más a fondo si deben adoptarse medidas para permitir la participación </w:t>
      </w:r>
      <w:r w:rsidR="00CC18EC" w:rsidRPr="00616BD9">
        <w:rPr>
          <w:spacing w:val="2"/>
          <w:w w:val="101"/>
          <w:lang w:val="es-ES_tradnl"/>
        </w:rPr>
        <w:t>en línea</w:t>
      </w:r>
      <w:r w:rsidRPr="00616BD9">
        <w:rPr>
          <w:spacing w:val="2"/>
          <w:w w:val="101"/>
          <w:lang w:val="es-ES_tradnl"/>
        </w:rPr>
        <w:t xml:space="preserve"> de las delegaciones para abordar las preocupaciones expresadas sobre sus costos de viaje. Esos cambios en </w:t>
      </w:r>
      <w:r w:rsidR="00CC18EC" w:rsidRPr="00616BD9">
        <w:rPr>
          <w:spacing w:val="2"/>
          <w:w w:val="101"/>
          <w:lang w:val="es-ES_tradnl"/>
        </w:rPr>
        <w:t>el patrón</w:t>
      </w:r>
      <w:r w:rsidRPr="00616BD9">
        <w:rPr>
          <w:spacing w:val="2"/>
          <w:w w:val="101"/>
          <w:lang w:val="es-ES_tradnl"/>
        </w:rPr>
        <w:t xml:space="preserve"> de las reuniones o la introducción de medios para facilitar la participación a distancia requerirían </w:t>
      </w:r>
      <w:r w:rsidR="002E341A" w:rsidRPr="00616BD9">
        <w:rPr>
          <w:spacing w:val="2"/>
          <w:w w:val="101"/>
          <w:lang w:val="es-ES_tradnl"/>
        </w:rPr>
        <w:t>consultas adicionales</w:t>
      </w:r>
      <w:r w:rsidRPr="00616BD9">
        <w:rPr>
          <w:spacing w:val="2"/>
          <w:w w:val="101"/>
          <w:lang w:val="es-ES_tradnl"/>
        </w:rPr>
        <w:t xml:space="preserve"> con el Departamento de Asamblea General y Gestión de Conferencias </w:t>
      </w:r>
      <w:r w:rsidR="004D187F" w:rsidRPr="00616BD9">
        <w:rPr>
          <w:spacing w:val="2"/>
          <w:w w:val="101"/>
          <w:lang w:val="es-ES_tradnl"/>
        </w:rPr>
        <w:t>(DGACM).</w:t>
      </w:r>
    </w:p>
    <w:p w14:paraId="76F5E156" w14:textId="7604144A" w:rsidR="00A3665D" w:rsidRPr="00616BD9" w:rsidRDefault="00BE2B0E" w:rsidP="00933BE0">
      <w:pPr>
        <w:pStyle w:val="SingleTxt"/>
        <w:keepNext/>
        <w:keepLines/>
        <w:tabs>
          <w:tab w:val="clear" w:pos="1267"/>
          <w:tab w:val="left" w:pos="567"/>
        </w:tabs>
        <w:ind w:left="567" w:right="1267"/>
        <w:rPr>
          <w:b/>
          <w:bCs/>
          <w:lang w:val="es-ES_tradnl"/>
        </w:rPr>
      </w:pPr>
      <w:bookmarkStart w:id="11" w:name="_Toc39607760"/>
      <w:bookmarkEnd w:id="7"/>
      <w:r w:rsidRPr="00616BD9">
        <w:rPr>
          <w:b/>
          <w:bCs/>
          <w:lang w:val="es-ES_tradnl"/>
        </w:rPr>
        <w:t xml:space="preserve">3. </w:t>
      </w:r>
      <w:bookmarkEnd w:id="11"/>
      <w:r w:rsidR="00E421DD" w:rsidRPr="00616BD9">
        <w:rPr>
          <w:b/>
          <w:bCs/>
          <w:lang w:val="es-ES_tradnl"/>
        </w:rPr>
        <w:t>Consecuencias para el presupuesto por programas</w:t>
      </w:r>
    </w:p>
    <w:p w14:paraId="51D2A012" w14:textId="09F45261" w:rsidR="00A3665D" w:rsidRPr="00616BD9" w:rsidRDefault="008C0911" w:rsidP="00933BE0">
      <w:pPr>
        <w:pStyle w:val="ListParagraph"/>
        <w:keepNext/>
        <w:widowControl w:val="0"/>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spacing w:val="2"/>
          <w:w w:val="101"/>
          <w:lang w:val="es-ES_tradnl"/>
        </w:rPr>
      </w:pPr>
      <w:r w:rsidRPr="00616BD9">
        <w:rPr>
          <w:lang w:val="es-ES_tradnl"/>
        </w:rPr>
        <w:t xml:space="preserve">Si el Grupo de Trabajo y, finalmente, la Comisión, decide recomendar a la Asamblea General que se asigne tiempo </w:t>
      </w:r>
      <w:r w:rsidR="00E64DDA" w:rsidRPr="00616BD9">
        <w:rPr>
          <w:lang w:val="es-ES_tradnl"/>
        </w:rPr>
        <w:t xml:space="preserve">adicional </w:t>
      </w:r>
      <w:r w:rsidRPr="00616BD9">
        <w:rPr>
          <w:lang w:val="es-ES_tradnl"/>
        </w:rPr>
        <w:t xml:space="preserve">de conferencia a la Comisión </w:t>
      </w:r>
      <w:r w:rsidR="00084CE0" w:rsidRPr="00616BD9">
        <w:rPr>
          <w:lang w:val="es-ES_tradnl"/>
        </w:rPr>
        <w:t>para</w:t>
      </w:r>
      <w:r w:rsidRPr="00616BD9">
        <w:rPr>
          <w:lang w:val="es-ES_tradnl"/>
        </w:rPr>
        <w:t xml:space="preserve"> avanzar </w:t>
      </w:r>
      <w:r w:rsidR="00084CE0" w:rsidRPr="00616BD9">
        <w:rPr>
          <w:lang w:val="es-ES_tradnl"/>
        </w:rPr>
        <w:t xml:space="preserve">en </w:t>
      </w:r>
      <w:r w:rsidRPr="00616BD9">
        <w:rPr>
          <w:lang w:val="es-ES_tradnl"/>
        </w:rPr>
        <w:t>el proyecto</w:t>
      </w:r>
      <w:r w:rsidR="00084CE0" w:rsidRPr="00616BD9">
        <w:rPr>
          <w:lang w:val="es-ES_tradnl"/>
        </w:rPr>
        <w:t xml:space="preserve"> de SCIE</w:t>
      </w:r>
      <w:r w:rsidRPr="00616BD9">
        <w:rPr>
          <w:lang w:val="es-ES_tradnl"/>
        </w:rPr>
        <w:t>, esto deberá reflejarse en el proyecto de resolución presentado a la Sexta Comisión de la Asamblea General</w:t>
      </w:r>
      <w:r w:rsidR="00A3665D" w:rsidRPr="00616BD9">
        <w:rPr>
          <w:spacing w:val="2"/>
          <w:w w:val="101"/>
          <w:lang w:val="es-ES_tradnl"/>
        </w:rPr>
        <w:t xml:space="preserve">. </w:t>
      </w:r>
      <w:r w:rsidR="002B13CA" w:rsidRPr="00616BD9">
        <w:rPr>
          <w:spacing w:val="2"/>
          <w:w w:val="101"/>
          <w:lang w:val="es-ES_tradnl"/>
        </w:rPr>
        <w:t>En ese proceso, las implicaciones presupuestarias</w:t>
      </w:r>
      <w:r w:rsidR="002D5B74" w:rsidRPr="00616BD9">
        <w:rPr>
          <w:spacing w:val="2"/>
          <w:w w:val="101"/>
          <w:lang w:val="es-ES_tradnl"/>
        </w:rPr>
        <w:t xml:space="preserve"> de la solicitud e</w:t>
      </w:r>
      <w:r w:rsidR="00A922A4" w:rsidRPr="00616BD9">
        <w:rPr>
          <w:spacing w:val="2"/>
          <w:w w:val="101"/>
          <w:lang w:val="es-ES_tradnl"/>
        </w:rPr>
        <w:t>n el presupuesto por programas (principalmente la Sección 2 - Asuntos de la Asamblea General y del Consejo Económico y Social y gestión de conferencias y la Sección 8 - Asuntos jurídicos) serían examinadas por diferentes órganos, incluido el Comité Asesor de Asuntos Administrativos. y Asuntos de Presupuesto (</w:t>
      </w:r>
      <w:r w:rsidR="00B6126B" w:rsidRPr="00616BD9">
        <w:rPr>
          <w:spacing w:val="2"/>
          <w:w w:val="101"/>
          <w:lang w:val="es-ES_tradnl"/>
        </w:rPr>
        <w:t>¨</w:t>
      </w:r>
      <w:r w:rsidR="004F70CC" w:rsidRPr="00616BD9">
        <w:rPr>
          <w:spacing w:val="2"/>
          <w:w w:val="101"/>
          <w:lang w:val="es-ES_tradnl"/>
        </w:rPr>
        <w:t>ACABQ</w:t>
      </w:r>
      <w:r w:rsidR="00B6126B" w:rsidRPr="00616BD9">
        <w:rPr>
          <w:spacing w:val="2"/>
          <w:w w:val="101"/>
          <w:lang w:val="es-ES_tradnl"/>
        </w:rPr>
        <w:t>”</w:t>
      </w:r>
      <w:r w:rsidR="00A922A4" w:rsidRPr="00616BD9">
        <w:rPr>
          <w:spacing w:val="2"/>
          <w:w w:val="101"/>
          <w:lang w:val="es-ES_tradnl"/>
        </w:rPr>
        <w:t xml:space="preserve">) y la Quinta Comisión de la Asamblea </w:t>
      </w:r>
      <w:r w:rsidR="00A922A4" w:rsidRPr="00616BD9">
        <w:rPr>
          <w:spacing w:val="2"/>
          <w:w w:val="101"/>
          <w:lang w:val="es-ES_tradnl"/>
        </w:rPr>
        <w:lastRenderedPageBreak/>
        <w:t>General</w:t>
      </w:r>
      <w:r w:rsidR="006D1345" w:rsidRPr="00616BD9">
        <w:rPr>
          <w:spacing w:val="2"/>
          <w:w w:val="101"/>
          <w:lang w:val="es-ES_tradnl"/>
        </w:rPr>
        <w:t>.</w:t>
      </w:r>
    </w:p>
    <w:p w14:paraId="7D090882" w14:textId="77777777" w:rsidR="006D1345" w:rsidRPr="00616BD9" w:rsidRDefault="006D1345" w:rsidP="006D1345">
      <w:pPr>
        <w:pStyle w:val="ListParagraph"/>
        <w:keepNext/>
        <w:widowControl w:val="0"/>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spacing w:val="2"/>
          <w:w w:val="101"/>
          <w:lang w:val="es-ES_tradnl"/>
        </w:rPr>
      </w:pPr>
    </w:p>
    <w:p w14:paraId="1853BED0" w14:textId="0A8AEDCD" w:rsidR="00A3665D" w:rsidRPr="00616BD9" w:rsidRDefault="00B6126B" w:rsidP="000A1382">
      <w:pPr>
        <w:pStyle w:val="ListParagraph"/>
        <w:keepNext/>
        <w:widowControl w:val="0"/>
        <w:numPr>
          <w:ilvl w:val="0"/>
          <w:numId w:val="10"/>
        </w:numPr>
        <w:tabs>
          <w:tab w:val="left" w:pos="567"/>
          <w:tab w:val="left" w:pos="709"/>
          <w:tab w:val="left" w:pos="851"/>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spacing w:val="2"/>
          <w:w w:val="101"/>
          <w:lang w:val="es-ES_tradnl"/>
        </w:rPr>
        <w:t xml:space="preserve">En esta sección se ofrece una descripción general de las consecuencias para el presupuesto por programas, de modo que el Grupo de Trabajo esté en mejores condiciones de tomar una decisión informada. Sin embargo, cabe señalar que las repercusiones presupuestarias pueden variar según la solicitud </w:t>
      </w:r>
      <w:r w:rsidR="00546600" w:rsidRPr="00616BD9">
        <w:rPr>
          <w:spacing w:val="2"/>
          <w:w w:val="101"/>
          <w:lang w:val="es-ES_tradnl"/>
        </w:rPr>
        <w:t xml:space="preserve">que efectivamente se realicen </w:t>
      </w:r>
      <w:r w:rsidRPr="00616BD9">
        <w:rPr>
          <w:spacing w:val="2"/>
          <w:w w:val="101"/>
          <w:lang w:val="es-ES_tradnl"/>
        </w:rPr>
        <w:t xml:space="preserve">por la Comisión (incluido el lugar de las reuniones, su formato y </w:t>
      </w:r>
      <w:r w:rsidR="00E80A85" w:rsidRPr="00616BD9">
        <w:rPr>
          <w:spacing w:val="2"/>
          <w:w w:val="101"/>
          <w:lang w:val="es-ES_tradnl"/>
        </w:rPr>
        <w:t xml:space="preserve">la sede en la cual se </w:t>
      </w:r>
      <w:r w:rsidRPr="00616BD9">
        <w:rPr>
          <w:spacing w:val="2"/>
          <w:w w:val="101"/>
          <w:lang w:val="es-ES_tradnl"/>
        </w:rPr>
        <w:t>proporcion</w:t>
      </w:r>
      <w:r w:rsidR="00E80A85" w:rsidRPr="00616BD9">
        <w:rPr>
          <w:spacing w:val="2"/>
          <w:w w:val="101"/>
          <w:lang w:val="es-ES_tradnl"/>
        </w:rPr>
        <w:t>en</w:t>
      </w:r>
      <w:r w:rsidRPr="00616BD9">
        <w:rPr>
          <w:spacing w:val="2"/>
          <w:w w:val="101"/>
          <w:lang w:val="es-ES_tradnl"/>
        </w:rPr>
        <w:t xml:space="preserve"> los servicios pertinentes). Todas las cifras de esta sección están sujetas a </w:t>
      </w:r>
      <w:r w:rsidR="00FB1A12" w:rsidRPr="00616BD9">
        <w:rPr>
          <w:spacing w:val="2"/>
          <w:w w:val="101"/>
          <w:lang w:val="es-ES_tradnl"/>
        </w:rPr>
        <w:t xml:space="preserve">una </w:t>
      </w:r>
      <w:r w:rsidRPr="00616BD9">
        <w:rPr>
          <w:spacing w:val="2"/>
          <w:w w:val="101"/>
          <w:lang w:val="es-ES_tradnl"/>
        </w:rPr>
        <w:t xml:space="preserve">verificación adicional por parte de la División de Planificación de Programas y Presupuesto (PPBD). El Grupo de Trabajo tal vez desee tomar nota además de que las cifras que figuran a continuación se refieren a las reuniones formales del Grupo de Trabajo y no toman en cuenta los recursos necesarios para la traducción o interpretación durante las reuniones </w:t>
      </w:r>
      <w:r w:rsidR="007E423B" w:rsidRPr="00616BD9">
        <w:rPr>
          <w:spacing w:val="2"/>
          <w:w w:val="101"/>
          <w:lang w:val="es-ES_tradnl"/>
        </w:rPr>
        <w:t>oficiosas.</w:t>
      </w:r>
      <w:r w:rsidR="00325411" w:rsidRPr="00616BD9">
        <w:rPr>
          <w:lang w:val="es-ES_tradnl"/>
        </w:rPr>
        <w:t xml:space="preserve"> </w:t>
      </w:r>
    </w:p>
    <w:p w14:paraId="5FCBF718" w14:textId="37E9B91D" w:rsidR="00A3665D" w:rsidRPr="00616BD9" w:rsidRDefault="00C51B5D" w:rsidP="006D1345">
      <w:pPr>
        <w:pStyle w:val="H4"/>
        <w:keepLines w:val="0"/>
        <w:tabs>
          <w:tab w:val="clear" w:pos="1022"/>
          <w:tab w:val="clear" w:pos="1267"/>
          <w:tab w:val="right" w:pos="567"/>
        </w:tabs>
        <w:ind w:left="567" w:right="1260" w:firstLine="0"/>
        <w:rPr>
          <w:lang w:val="es-ES_tradnl"/>
        </w:rPr>
      </w:pPr>
      <w:r w:rsidRPr="00616BD9">
        <w:rPr>
          <w:lang w:val="es-ES_tradnl"/>
        </w:rPr>
        <w:t>Recursos para ser</w:t>
      </w:r>
      <w:r w:rsidR="00024A19" w:rsidRPr="00616BD9">
        <w:rPr>
          <w:lang w:val="es-ES_tradnl"/>
        </w:rPr>
        <w:t>vicios de</w:t>
      </w:r>
      <w:r w:rsidRPr="00616BD9">
        <w:rPr>
          <w:lang w:val="es-ES_tradnl"/>
        </w:rPr>
        <w:t xml:space="preserve"> conferencia</w:t>
      </w:r>
    </w:p>
    <w:p w14:paraId="3E9BB38B" w14:textId="7643A73F" w:rsidR="00A64F68" w:rsidRPr="00616BD9" w:rsidRDefault="00A64F68" w:rsidP="00965622">
      <w:pPr>
        <w:pStyle w:val="SingleTxt"/>
        <w:keepNext/>
        <w:spacing w:after="0" w:line="120" w:lineRule="atLeast"/>
        <w:rPr>
          <w:sz w:val="10"/>
          <w:lang w:val="es-ES_tradnl"/>
        </w:rPr>
      </w:pPr>
    </w:p>
    <w:p w14:paraId="7C5635C6" w14:textId="44BEDE15" w:rsidR="000E4D48" w:rsidRPr="00616BD9" w:rsidRDefault="004A238D" w:rsidP="00567E74">
      <w:pPr>
        <w:pStyle w:val="ListParagraph"/>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Una semana adicional de tiempo de conferencias consistiría en 10 reuniones (2 por día de tres horas</w:t>
      </w:r>
      <w:r w:rsidR="008A7AD6" w:rsidRPr="00616BD9">
        <w:rPr>
          <w:lang w:val="es-ES_tradnl"/>
        </w:rPr>
        <w:t xml:space="preserve"> de </w:t>
      </w:r>
      <w:r w:rsidR="00567E74" w:rsidRPr="00616BD9">
        <w:rPr>
          <w:lang w:val="es-ES_tradnl"/>
        </w:rPr>
        <w:t xml:space="preserve">duración) </w:t>
      </w:r>
      <w:r w:rsidRPr="00616BD9">
        <w:rPr>
          <w:lang w:val="es-ES_tradnl"/>
        </w:rPr>
        <w:t xml:space="preserve">en Nueva York o </w:t>
      </w:r>
      <w:r w:rsidR="008A7AD6" w:rsidRPr="00616BD9">
        <w:rPr>
          <w:lang w:val="es-ES_tradnl"/>
        </w:rPr>
        <w:t xml:space="preserve">en </w:t>
      </w:r>
      <w:r w:rsidRPr="00616BD9">
        <w:rPr>
          <w:lang w:val="es-ES_tradnl"/>
        </w:rPr>
        <w:t xml:space="preserve">Viena. Además de las disposiciones sobre el lugar y los servicios de conferencias, estas reuniones requerirían interpretación en todos los idiomas oficiales de las Naciones Unidas y, por lo tanto, deberían reflejarse en el presupuesto de la DGACM. Esto implicaría necesidades de recursos adicionales para servicios de reuniones por un monto de aproximadamente 170.000 dólares por cada semana adicional. De acuerdo con el Plan de Trabajo, que requiere dos sesiones adicionales por año, la cantidad requerida para recursos </w:t>
      </w:r>
      <w:r w:rsidR="00A052B3" w:rsidRPr="00616BD9">
        <w:rPr>
          <w:lang w:val="es-ES_tradnl"/>
        </w:rPr>
        <w:t>para servicios de</w:t>
      </w:r>
      <w:r w:rsidRPr="00616BD9">
        <w:rPr>
          <w:lang w:val="es-ES_tradnl"/>
        </w:rPr>
        <w:t xml:space="preserve"> conferencia sería de $ 340,000 por año.</w:t>
      </w:r>
    </w:p>
    <w:p w14:paraId="79C3735F" w14:textId="03B11292" w:rsidR="00A3665D" w:rsidRPr="00616BD9" w:rsidRDefault="00461DD5" w:rsidP="0047257A">
      <w:pPr>
        <w:pStyle w:val="H4"/>
        <w:keepNext w:val="0"/>
        <w:keepLines w:val="0"/>
        <w:ind w:left="1267" w:right="1260" w:hanging="700"/>
        <w:rPr>
          <w:lang w:val="es-ES_tradnl"/>
        </w:rPr>
      </w:pPr>
      <w:r w:rsidRPr="00616BD9">
        <w:rPr>
          <w:lang w:val="es-ES_tradnl"/>
        </w:rPr>
        <w:tab/>
      </w:r>
      <w:r w:rsidR="002F7D93" w:rsidRPr="00616BD9">
        <w:rPr>
          <w:lang w:val="es-ES_tradnl"/>
        </w:rPr>
        <w:t>Recursos para la documentación</w:t>
      </w:r>
    </w:p>
    <w:p w14:paraId="6DC32A51" w14:textId="733B4794" w:rsidR="00461DD5" w:rsidRPr="00616BD9" w:rsidRDefault="00461DD5" w:rsidP="00902A56">
      <w:pPr>
        <w:pStyle w:val="SingleTxt"/>
        <w:spacing w:after="0" w:line="120" w:lineRule="atLeast"/>
        <w:rPr>
          <w:sz w:val="10"/>
          <w:lang w:val="es-ES_tradnl"/>
        </w:rPr>
      </w:pPr>
    </w:p>
    <w:p w14:paraId="000CED21" w14:textId="309024AB" w:rsidR="009D4AE7" w:rsidRPr="00616BD9" w:rsidRDefault="003B4A3D" w:rsidP="00837D36">
      <w:pPr>
        <w:pStyle w:val="ListParagraph"/>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Una semana adicional de tiempo de conferencias aumentaría la documentación que debe manejar la DGACM, principalmente la traducción de los documentos a los idiomas oficiales de las Naciones Unidas. Esto debería reflejarse en el presupuesto de la DGACM. Sobre la base de sesiones anteriores del Grupo de Trabajo, la Secretaría prepararía un promedio de dos a tres documentos de trabajo y esperaría procesar de cuatro a cinco </w:t>
      </w:r>
      <w:r w:rsidR="00AE2311" w:rsidRPr="00616BD9">
        <w:rPr>
          <w:lang w:val="es-ES_tradnl"/>
        </w:rPr>
        <w:t>documentos presentados por</w:t>
      </w:r>
      <w:r w:rsidRPr="00616BD9">
        <w:rPr>
          <w:lang w:val="es-ES_tradnl"/>
        </w:rPr>
        <w:t xml:space="preserve"> Estados y otr</w:t>
      </w:r>
      <w:r w:rsidR="00092338" w:rsidRPr="00616BD9">
        <w:rPr>
          <w:lang w:val="es-ES_tradnl"/>
        </w:rPr>
        <w:t>os</w:t>
      </w:r>
      <w:r w:rsidRPr="00616BD9">
        <w:rPr>
          <w:lang w:val="es-ES_tradnl"/>
        </w:rPr>
        <w:t xml:space="preserve"> por sesión de una semana</w:t>
      </w:r>
      <w:r w:rsidR="00092338" w:rsidRPr="00616BD9">
        <w:rPr>
          <w:lang w:val="es-ES_tradnl"/>
        </w:rPr>
        <w:t xml:space="preserve"> de duración</w:t>
      </w:r>
      <w:r w:rsidRPr="00616BD9">
        <w:rPr>
          <w:lang w:val="es-ES_tradnl"/>
        </w:rPr>
        <w:t xml:space="preserve">. En general, el volumen de trabajo de documentos adicional sería de 7 documentos </w:t>
      </w:r>
      <w:r w:rsidR="006F722A" w:rsidRPr="00616BD9">
        <w:rPr>
          <w:lang w:val="es-ES_tradnl"/>
        </w:rPr>
        <w:t>enviados antes del</w:t>
      </w:r>
      <w:r w:rsidRPr="00616BD9">
        <w:rPr>
          <w:lang w:val="es-ES_tradnl"/>
        </w:rPr>
        <w:t xml:space="preserve"> período de sesiones (un total de 59.500 palabras</w:t>
      </w:r>
      <w:r w:rsidR="00A3665D" w:rsidRPr="00616BD9">
        <w:rPr>
          <w:lang w:val="es-ES_tradnl"/>
        </w:rPr>
        <w:t>),</w:t>
      </w:r>
      <w:r w:rsidR="00A3665D" w:rsidRPr="00616BD9">
        <w:rPr>
          <w:vertAlign w:val="superscript"/>
          <w:lang w:val="es-ES_tradnl"/>
        </w:rPr>
        <w:footnoteReference w:id="15"/>
      </w:r>
      <w:r w:rsidR="00A3665D" w:rsidRPr="00616BD9">
        <w:rPr>
          <w:lang w:val="es-ES_tradnl"/>
        </w:rPr>
        <w:t xml:space="preserve"> </w:t>
      </w:r>
      <w:r w:rsidR="00EB3243" w:rsidRPr="00616BD9">
        <w:rPr>
          <w:lang w:val="es-ES_tradnl"/>
        </w:rPr>
        <w:t xml:space="preserve">5 documentos </w:t>
      </w:r>
      <w:r w:rsidR="00DE392A" w:rsidRPr="00616BD9">
        <w:rPr>
          <w:lang w:val="es-ES_tradnl"/>
        </w:rPr>
        <w:t xml:space="preserve">presentados durante la </w:t>
      </w:r>
      <w:r w:rsidR="00EB3243" w:rsidRPr="00616BD9">
        <w:rPr>
          <w:lang w:val="es-ES_tradnl"/>
        </w:rPr>
        <w:t xml:space="preserve">sesión (un total de 10.700 palabras) y un documento </w:t>
      </w:r>
      <w:r w:rsidR="00DE392A" w:rsidRPr="00616BD9">
        <w:rPr>
          <w:lang w:val="es-ES_tradnl"/>
        </w:rPr>
        <w:t>presentado luego de la</w:t>
      </w:r>
      <w:r w:rsidR="00EB3243" w:rsidRPr="00616BD9">
        <w:rPr>
          <w:lang w:val="es-ES_tradnl"/>
        </w:rPr>
        <w:t xml:space="preserve"> sesión (un total de 10.700 palabras). Esto entrañaría necesidades de recursos adicionales p</w:t>
      </w:r>
      <w:r w:rsidR="003C4F49" w:rsidRPr="00616BD9">
        <w:rPr>
          <w:lang w:val="es-ES_tradnl"/>
        </w:rPr>
        <w:t>or</w:t>
      </w:r>
      <w:r w:rsidR="00EB3243" w:rsidRPr="00616BD9">
        <w:rPr>
          <w:lang w:val="es-ES_tradnl"/>
        </w:rPr>
        <w:t xml:space="preserve"> servicios de documentación por valor de 318.697 dólares</w:t>
      </w:r>
      <w:r w:rsidR="00A3665D" w:rsidRPr="00616BD9">
        <w:rPr>
          <w:lang w:val="es-ES_tradnl"/>
        </w:rPr>
        <w:t>.</w:t>
      </w:r>
      <w:r w:rsidR="00A3665D" w:rsidRPr="00616BD9">
        <w:rPr>
          <w:vertAlign w:val="superscript"/>
          <w:lang w:val="es-ES_tradnl"/>
        </w:rPr>
        <w:footnoteReference w:id="16"/>
      </w:r>
      <w:r w:rsidR="00A3665D" w:rsidRPr="00616BD9">
        <w:rPr>
          <w:lang w:val="es-ES_tradnl"/>
        </w:rPr>
        <w:t xml:space="preserve"> </w:t>
      </w:r>
      <w:r w:rsidR="00360F11" w:rsidRPr="00616BD9">
        <w:rPr>
          <w:lang w:val="es-ES_tradnl"/>
        </w:rPr>
        <w:t xml:space="preserve">De acuerdo con el Plan de Trabajo, en el que se proponen dos sesiones adicionales de una semana </w:t>
      </w:r>
      <w:r w:rsidR="003A3C53" w:rsidRPr="00616BD9">
        <w:rPr>
          <w:lang w:val="es-ES_tradnl"/>
        </w:rPr>
        <w:t xml:space="preserve">de duración </w:t>
      </w:r>
      <w:r w:rsidR="00360F11" w:rsidRPr="00616BD9">
        <w:rPr>
          <w:lang w:val="es-ES_tradnl"/>
        </w:rPr>
        <w:t xml:space="preserve">por año, el monto requerido </w:t>
      </w:r>
      <w:r w:rsidR="003A3C53" w:rsidRPr="00616BD9">
        <w:rPr>
          <w:lang w:val="es-ES_tradnl"/>
        </w:rPr>
        <w:t xml:space="preserve">por </w:t>
      </w:r>
      <w:r w:rsidR="00360F11" w:rsidRPr="00616BD9">
        <w:rPr>
          <w:lang w:val="es-ES_tradnl"/>
        </w:rPr>
        <w:t>recursos documentales sería de $ 637,394 por año.</w:t>
      </w:r>
    </w:p>
    <w:p w14:paraId="24DB8B1D" w14:textId="77777777" w:rsidR="0047257A" w:rsidRPr="00616BD9" w:rsidRDefault="0047257A" w:rsidP="0047257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4EDB5D10" w14:textId="2A8CBBA4" w:rsidR="000E4D48" w:rsidRPr="00616BD9" w:rsidRDefault="005116C9" w:rsidP="0047257A">
      <w:pPr>
        <w:pStyle w:val="ListParagraph"/>
        <w:numPr>
          <w:ilvl w:val="0"/>
          <w:numId w:val="1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Si el Grupo de Trabajo decidiera que las semanas adicionales se celebrarían como una extensión de las sesiones programadas, las necesidades de recursos adicionales para</w:t>
      </w:r>
      <w:r w:rsidR="009F5786" w:rsidRPr="00616BD9">
        <w:rPr>
          <w:lang w:val="es-ES_tradnl"/>
        </w:rPr>
        <w:t xml:space="preserve"> los servicios de documentación podrían reducirse a 243,000 dólares por período de sesiones, o </w:t>
      </w:r>
      <w:r w:rsidR="0028778C" w:rsidRPr="00616BD9">
        <w:rPr>
          <w:lang w:val="es-ES_tradnl"/>
        </w:rPr>
        <w:t>486,000 dólares por año</w:t>
      </w:r>
      <w:r w:rsidR="004113EC" w:rsidRPr="00616BD9">
        <w:rPr>
          <w:lang w:val="es-ES_tradnl"/>
        </w:rPr>
        <w:t>.</w:t>
      </w:r>
      <w:r w:rsidR="004113EC" w:rsidRPr="00616BD9">
        <w:rPr>
          <w:vertAlign w:val="superscript"/>
          <w:lang w:val="es-ES_tradnl"/>
        </w:rPr>
        <w:footnoteReference w:id="17"/>
      </w:r>
    </w:p>
    <w:p w14:paraId="4943BD78" w14:textId="46C87897" w:rsidR="00461DD5" w:rsidRPr="00616BD9" w:rsidRDefault="00461DD5" w:rsidP="00902A56">
      <w:pPr>
        <w:pStyle w:val="SingleTxt"/>
        <w:spacing w:after="0" w:line="120" w:lineRule="atLeast"/>
        <w:ind w:left="1267" w:right="1267"/>
        <w:rPr>
          <w:sz w:val="10"/>
          <w:lang w:val="es-ES_tradnl"/>
        </w:rPr>
      </w:pPr>
    </w:p>
    <w:p w14:paraId="329C11DE" w14:textId="242FE497" w:rsidR="00A3665D" w:rsidRPr="00616BD9" w:rsidRDefault="00461DD5" w:rsidP="0047257A">
      <w:pPr>
        <w:pStyle w:val="H4"/>
        <w:keepNext w:val="0"/>
        <w:keepLines w:val="0"/>
        <w:ind w:left="1267" w:right="1260" w:hanging="700"/>
        <w:rPr>
          <w:lang w:val="es-ES_tradnl"/>
        </w:rPr>
      </w:pPr>
      <w:r w:rsidRPr="00616BD9">
        <w:rPr>
          <w:lang w:val="es-ES_tradnl"/>
        </w:rPr>
        <w:tab/>
      </w:r>
      <w:r w:rsidR="00E636A1" w:rsidRPr="00616BD9">
        <w:rPr>
          <w:lang w:val="es-ES_tradnl"/>
        </w:rPr>
        <w:t>Recursos de la Secretaría de la CNUDMI</w:t>
      </w:r>
    </w:p>
    <w:p w14:paraId="1DF7E801" w14:textId="4A8C33BF" w:rsidR="00461DD5" w:rsidRPr="00616BD9" w:rsidRDefault="00461DD5" w:rsidP="00902A56">
      <w:pPr>
        <w:pStyle w:val="SingleTxt"/>
        <w:spacing w:after="0" w:line="120" w:lineRule="atLeast"/>
        <w:rPr>
          <w:sz w:val="10"/>
          <w:lang w:val="es-ES_tradnl"/>
        </w:rPr>
      </w:pPr>
    </w:p>
    <w:p w14:paraId="28663396" w14:textId="6CA7AEE6" w:rsidR="00A3665D" w:rsidRPr="00616BD9" w:rsidRDefault="00B4357B" w:rsidP="006E621B">
      <w:pPr>
        <w:pStyle w:val="ListParagraph"/>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La prestación de servicios para períodos de sesiones adicionales del Grupo de Trabajo y la prestación de apoyo continuo a un mayor número de reuniones informales requeriría ampliar el actual equipo que presta servicios al Grupo de Trabajo III. Esto se puede lograr liberando </w:t>
      </w:r>
      <w:r w:rsidRPr="00616BD9">
        <w:rPr>
          <w:lang w:val="es-ES_tradnl"/>
        </w:rPr>
        <w:lastRenderedPageBreak/>
        <w:t>a los miembros del equipo actual de otras tareas o incluyendo a otros miembros de la Secretaría como nuevos miembros del equipo. Sin embargo, es probable que ambas opciones tengan un impacto negativo en el papel de la Secretaría en el apoyo a otros programas de trabajo de la Comisión.</w:t>
      </w:r>
      <w:r w:rsidR="00A3665D" w:rsidRPr="00616BD9">
        <w:rPr>
          <w:lang w:val="es-ES_tradnl"/>
        </w:rPr>
        <w:t xml:space="preserve"> </w:t>
      </w:r>
    </w:p>
    <w:p w14:paraId="77ED8CDC" w14:textId="77777777" w:rsidR="006E621B" w:rsidRPr="00616BD9" w:rsidRDefault="006E621B" w:rsidP="006E62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jc w:val="both"/>
        <w:rPr>
          <w:lang w:val="es-ES_tradnl"/>
        </w:rPr>
      </w:pPr>
    </w:p>
    <w:p w14:paraId="7E6C84DB" w14:textId="77777777" w:rsidR="006E621B" w:rsidRPr="00616BD9" w:rsidRDefault="00C45205" w:rsidP="006E621B">
      <w:pPr>
        <w:pStyle w:val="ListParagraph"/>
        <w:numPr>
          <w:ilvl w:val="0"/>
          <w:numId w:val="10"/>
        </w:numPr>
        <w:tabs>
          <w:tab w:val="left" w:pos="567"/>
          <w:tab w:val="left" w:pos="993"/>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Para asegurar que el programa de trabajo de la Comisión no se vea afectado negativamente por </w:t>
      </w:r>
      <w:r w:rsidR="00EC3ECC" w:rsidRPr="00616BD9">
        <w:rPr>
          <w:lang w:val="es-ES_tradnl"/>
        </w:rPr>
        <w:t xml:space="preserve">cualquier </w:t>
      </w:r>
      <w:r w:rsidRPr="00616BD9">
        <w:rPr>
          <w:lang w:val="es-ES_tradnl"/>
        </w:rPr>
        <w:t>tiempo adicional de conferencias asignado al Grupo de Trabajo, se necesitarían tres nuevos puestos, como se indica en el cuadro 2. Esto implicaría necesidades de recursos adicionales que oscilarían entre 353.400 dólares y 410.100 dólares en 2022</w:t>
      </w:r>
      <w:r w:rsidR="006306E0" w:rsidRPr="00616BD9">
        <w:rPr>
          <w:lang w:val="es-ES_tradnl"/>
        </w:rPr>
        <w:t>, dependiendo</w:t>
      </w:r>
      <w:r w:rsidRPr="00616BD9">
        <w:rPr>
          <w:lang w:val="es-ES_tradnl"/>
        </w:rPr>
        <w:t xml:space="preserve"> si el puesto se financia con recursos ordinarios o extrapresupuestarios</w:t>
      </w:r>
      <w:r w:rsidR="00A3665D" w:rsidRPr="00616BD9">
        <w:rPr>
          <w:lang w:val="es-ES_tradnl"/>
        </w:rPr>
        <w:t>.</w:t>
      </w:r>
      <w:r w:rsidR="00A3665D" w:rsidRPr="00616BD9">
        <w:rPr>
          <w:vertAlign w:val="superscript"/>
          <w:lang w:val="es-ES_tradnl"/>
        </w:rPr>
        <w:footnoteReference w:id="18"/>
      </w:r>
      <w:r w:rsidR="00A3665D" w:rsidRPr="00616BD9">
        <w:rPr>
          <w:lang w:val="es-ES_tradnl"/>
        </w:rPr>
        <w:t xml:space="preserve"> </w:t>
      </w:r>
    </w:p>
    <w:p w14:paraId="2431D0ED" w14:textId="77777777" w:rsidR="006E621B" w:rsidRPr="00616BD9" w:rsidRDefault="006E621B" w:rsidP="006E621B">
      <w:pPr>
        <w:pStyle w:val="ListParagraph"/>
        <w:rPr>
          <w:lang w:val="es-ES_tradnl"/>
        </w:rPr>
      </w:pPr>
    </w:p>
    <w:p w14:paraId="1403F785" w14:textId="0FDBCDA2" w:rsidR="00325411" w:rsidRPr="00616BD9" w:rsidRDefault="00593ADD" w:rsidP="006E621B">
      <w:pPr>
        <w:pStyle w:val="ListParagraph"/>
        <w:numPr>
          <w:ilvl w:val="0"/>
          <w:numId w:val="10"/>
        </w:numPr>
        <w:tabs>
          <w:tab w:val="left" w:pos="567"/>
          <w:tab w:val="left" w:pos="993"/>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El Grupo de Trabajo también podrá tomar en consideración las contribuciones al fondo fiduciario de la CNUDMI para </w:t>
      </w:r>
      <w:r w:rsidR="00106537" w:rsidRPr="00616BD9">
        <w:rPr>
          <w:lang w:val="es-ES_tradnl"/>
        </w:rPr>
        <w:t xml:space="preserve">asistir </w:t>
      </w:r>
      <w:r w:rsidR="009F7AD0" w:rsidRPr="00616BD9">
        <w:rPr>
          <w:lang w:val="es-ES_tradnl"/>
        </w:rPr>
        <w:t>en la financiación de</w:t>
      </w:r>
      <w:r w:rsidRPr="00616BD9">
        <w:rPr>
          <w:lang w:val="es-ES_tradnl"/>
        </w:rPr>
        <w:t xml:space="preserve"> viajes </w:t>
      </w:r>
      <w:r w:rsidR="009F7AD0" w:rsidRPr="00616BD9">
        <w:rPr>
          <w:lang w:val="es-ES_tradnl"/>
        </w:rPr>
        <w:t xml:space="preserve">de </w:t>
      </w:r>
      <w:r w:rsidRPr="00616BD9">
        <w:rPr>
          <w:lang w:val="es-ES_tradnl"/>
        </w:rPr>
        <w:t>países en desarrollo, destinadas a permitir la participación de representantes de los Estados en desarrollo en las deliberaciones del Grupo de Trabajo III, así como en las reuniones regionales entre períodos de sesiones.</w:t>
      </w:r>
      <w:r w:rsidR="00325411" w:rsidRPr="00616BD9">
        <w:rPr>
          <w:lang w:val="es-ES_tradnl"/>
        </w:rPr>
        <w:t>.</w:t>
      </w:r>
      <w:r w:rsidR="00325411" w:rsidRPr="00616BD9">
        <w:rPr>
          <w:vertAlign w:val="superscript"/>
          <w:lang w:val="es-ES_tradnl"/>
        </w:rPr>
        <w:footnoteReference w:id="19"/>
      </w:r>
      <w:r w:rsidR="00325411" w:rsidRPr="00616BD9">
        <w:rPr>
          <w:lang w:val="es-ES_tradnl"/>
        </w:rPr>
        <w:t xml:space="preserve"> </w:t>
      </w:r>
      <w:r w:rsidR="004F4758" w:rsidRPr="00616BD9">
        <w:rPr>
          <w:lang w:val="es-ES_tradnl"/>
        </w:rPr>
        <w:t>Si esas contribuciones continúan en el futuro, es probable que también aumente el apoyo administrativo para brindar asistencia en viaje a las delegaciones que asistan a la reunión adicional del Grupo de Trabajo.</w:t>
      </w:r>
      <w:r w:rsidR="00325411" w:rsidRPr="00616BD9">
        <w:rPr>
          <w:lang w:val="es-ES_tradnl"/>
        </w:rPr>
        <w:t xml:space="preserve">. </w:t>
      </w:r>
    </w:p>
    <w:p w14:paraId="7085BC4D" w14:textId="2A84AA2D" w:rsidR="006A16BD" w:rsidRPr="00616BD9" w:rsidRDefault="008E4788" w:rsidP="006E621B">
      <w:pPr>
        <w:pStyle w:val="SingleTxt"/>
        <w:tabs>
          <w:tab w:val="clear" w:pos="1267"/>
          <w:tab w:val="left" w:pos="709"/>
        </w:tabs>
        <w:spacing w:after="0"/>
        <w:ind w:left="567"/>
        <w:jc w:val="left"/>
        <w:rPr>
          <w:lang w:val="es-ES_tradnl"/>
        </w:rPr>
      </w:pPr>
      <w:r w:rsidRPr="00616BD9">
        <w:rPr>
          <w:lang w:val="es-ES_tradnl"/>
        </w:rPr>
        <w:t>Cuadro</w:t>
      </w:r>
      <w:r w:rsidR="00A3665D" w:rsidRPr="00616BD9">
        <w:rPr>
          <w:lang w:val="es-ES_tradnl"/>
        </w:rPr>
        <w:t xml:space="preserve"> </w:t>
      </w:r>
      <w:r w:rsidR="00BE2B0E" w:rsidRPr="00616BD9">
        <w:rPr>
          <w:lang w:val="es-ES_tradnl"/>
        </w:rPr>
        <w:t>2</w:t>
      </w:r>
      <w:r w:rsidR="00A3665D" w:rsidRPr="00616BD9">
        <w:rPr>
          <w:lang w:val="es-ES_tradnl"/>
        </w:rPr>
        <w:t>:</w:t>
      </w:r>
    </w:p>
    <w:p w14:paraId="67F09BDA" w14:textId="76C6E98F" w:rsidR="00A3665D" w:rsidRPr="00616BD9" w:rsidRDefault="005C46BE" w:rsidP="006E621B">
      <w:pPr>
        <w:pStyle w:val="SingleTxt"/>
        <w:ind w:left="567"/>
        <w:jc w:val="left"/>
        <w:rPr>
          <w:b/>
          <w:bCs/>
          <w:lang w:val="es-ES_tradnl"/>
        </w:rPr>
      </w:pPr>
      <w:r w:rsidRPr="00616BD9">
        <w:rPr>
          <w:b/>
          <w:bCs/>
          <w:lang w:val="es-ES_tradnl"/>
        </w:rPr>
        <w:t>Recursos humanos</w:t>
      </w:r>
    </w:p>
    <w:tbl>
      <w:tblPr>
        <w:tblStyle w:val="TableGrid"/>
        <w:tblW w:w="0" w:type="auto"/>
        <w:tblInd w:w="562" w:type="dxa"/>
        <w:tblLook w:val="04A0" w:firstRow="1" w:lastRow="0" w:firstColumn="1" w:lastColumn="0" w:noHBand="0" w:noVBand="1"/>
      </w:tblPr>
      <w:tblGrid>
        <w:gridCol w:w="3573"/>
        <w:gridCol w:w="2070"/>
        <w:gridCol w:w="2340"/>
      </w:tblGrid>
      <w:tr w:rsidR="00DD0E55" w:rsidRPr="00616BD9" w14:paraId="3F841AF1" w14:textId="77777777" w:rsidTr="00F375A1">
        <w:tc>
          <w:tcPr>
            <w:tcW w:w="3573" w:type="dxa"/>
            <w:shd w:val="pct10" w:color="auto" w:fill="auto"/>
            <w:vAlign w:val="center"/>
          </w:tcPr>
          <w:p w14:paraId="4FC8C4FB" w14:textId="77777777" w:rsidR="00DD0E55" w:rsidRPr="00616BD9" w:rsidRDefault="00DD0E55" w:rsidP="00902A56">
            <w:pPr>
              <w:pStyle w:val="SingleTxt"/>
              <w:snapToGrid w:val="0"/>
              <w:spacing w:before="20" w:after="40" w:line="210" w:lineRule="exact"/>
              <w:ind w:left="0" w:right="21"/>
              <w:jc w:val="left"/>
              <w:rPr>
                <w:sz w:val="17"/>
                <w:szCs w:val="17"/>
                <w:lang w:val="es-ES_tradnl"/>
              </w:rPr>
            </w:pPr>
          </w:p>
        </w:tc>
        <w:tc>
          <w:tcPr>
            <w:tcW w:w="2070" w:type="dxa"/>
            <w:shd w:val="pct10" w:color="auto" w:fill="auto"/>
            <w:vAlign w:val="center"/>
          </w:tcPr>
          <w:p w14:paraId="6439C373" w14:textId="3DC16CC2" w:rsidR="00DD0E55" w:rsidRPr="00616BD9" w:rsidRDefault="005C46BE"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Presupuesto adicional</w:t>
            </w:r>
          </w:p>
        </w:tc>
        <w:tc>
          <w:tcPr>
            <w:tcW w:w="2340" w:type="dxa"/>
            <w:shd w:val="pct10" w:color="auto" w:fill="auto"/>
            <w:vAlign w:val="center"/>
          </w:tcPr>
          <w:p w14:paraId="170BECB2" w14:textId="048D15E4" w:rsidR="00DD0E55" w:rsidRPr="00616BD9" w:rsidRDefault="005C46BE"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Recursos extraordinarios</w:t>
            </w:r>
          </w:p>
        </w:tc>
      </w:tr>
      <w:tr w:rsidR="00DD0E55" w:rsidRPr="00616BD9" w14:paraId="2EF44E30" w14:textId="77777777" w:rsidTr="00F375A1">
        <w:tc>
          <w:tcPr>
            <w:tcW w:w="3573" w:type="dxa"/>
            <w:shd w:val="pct10" w:color="auto" w:fill="auto"/>
            <w:vAlign w:val="center"/>
          </w:tcPr>
          <w:p w14:paraId="4A0A64D2" w14:textId="38B39AB0" w:rsidR="00DD0E55" w:rsidRPr="00616BD9" w:rsidRDefault="00885ADE" w:rsidP="00902A56">
            <w:pPr>
              <w:pStyle w:val="SingleTxt"/>
              <w:tabs>
                <w:tab w:val="clear" w:pos="1267"/>
              </w:tabs>
              <w:snapToGrid w:val="0"/>
              <w:spacing w:before="20" w:after="40" w:line="210" w:lineRule="exact"/>
              <w:ind w:left="0" w:right="18"/>
              <w:jc w:val="left"/>
              <w:rPr>
                <w:sz w:val="17"/>
                <w:szCs w:val="17"/>
                <w:lang w:val="es-ES_tradnl"/>
              </w:rPr>
            </w:pPr>
            <w:r w:rsidRPr="00616BD9">
              <w:rPr>
                <w:sz w:val="17"/>
                <w:szCs w:val="17"/>
                <w:lang w:val="es-ES_tradnl"/>
              </w:rPr>
              <w:t>Oficial Jurídico</w:t>
            </w:r>
            <w:r w:rsidR="00DD0E55" w:rsidRPr="00616BD9">
              <w:rPr>
                <w:sz w:val="17"/>
                <w:szCs w:val="17"/>
                <w:lang w:val="es-ES_tradnl"/>
              </w:rPr>
              <w:t xml:space="preserve"> (P-3)</w:t>
            </w:r>
          </w:p>
        </w:tc>
        <w:tc>
          <w:tcPr>
            <w:tcW w:w="2070" w:type="dxa"/>
            <w:vAlign w:val="center"/>
          </w:tcPr>
          <w:p w14:paraId="0BCA9AE4" w14:textId="77777777" w:rsidR="00DD0E55" w:rsidRPr="00616BD9" w:rsidRDefault="00DD0E55" w:rsidP="00902A56">
            <w:pPr>
              <w:pStyle w:val="SingleTxt"/>
              <w:tabs>
                <w:tab w:val="clear" w:pos="1267"/>
              </w:tabs>
              <w:snapToGrid w:val="0"/>
              <w:spacing w:before="20" w:after="40" w:line="210" w:lineRule="exact"/>
              <w:ind w:left="0" w:right="170"/>
              <w:jc w:val="center"/>
              <w:rPr>
                <w:sz w:val="17"/>
                <w:szCs w:val="17"/>
                <w:lang w:val="es-ES_tradnl"/>
              </w:rPr>
            </w:pPr>
            <w:r w:rsidRPr="00616BD9">
              <w:rPr>
                <w:sz w:val="17"/>
                <w:szCs w:val="17"/>
                <w:lang w:val="es-ES_tradnl"/>
              </w:rPr>
              <w:t>$ 139,600</w:t>
            </w:r>
          </w:p>
        </w:tc>
        <w:tc>
          <w:tcPr>
            <w:tcW w:w="2340" w:type="dxa"/>
            <w:vAlign w:val="center"/>
          </w:tcPr>
          <w:p w14:paraId="76A4E50E" w14:textId="0F565529" w:rsidR="00DD0E55" w:rsidRPr="00616BD9" w:rsidRDefault="00DD0E55" w:rsidP="00902A56">
            <w:pPr>
              <w:pStyle w:val="SingleTxt"/>
              <w:tabs>
                <w:tab w:val="clear" w:pos="1267"/>
              </w:tabs>
              <w:snapToGrid w:val="0"/>
              <w:spacing w:before="20" w:after="40" w:line="210" w:lineRule="exact"/>
              <w:ind w:left="0" w:right="170"/>
              <w:jc w:val="center"/>
              <w:rPr>
                <w:sz w:val="17"/>
                <w:szCs w:val="17"/>
                <w:lang w:val="es-ES_tradnl"/>
              </w:rPr>
            </w:pPr>
            <w:r w:rsidRPr="00616BD9">
              <w:rPr>
                <w:sz w:val="17"/>
                <w:szCs w:val="17"/>
                <w:lang w:val="es-ES_tradnl"/>
              </w:rPr>
              <w:t>$ 16</w:t>
            </w:r>
            <w:r w:rsidR="00532313" w:rsidRPr="00616BD9">
              <w:rPr>
                <w:sz w:val="17"/>
                <w:szCs w:val="17"/>
                <w:lang w:val="es-ES_tradnl"/>
              </w:rPr>
              <w:t>9</w:t>
            </w:r>
            <w:r w:rsidRPr="00616BD9">
              <w:rPr>
                <w:sz w:val="17"/>
                <w:szCs w:val="17"/>
                <w:lang w:val="es-ES_tradnl"/>
              </w:rPr>
              <w:t>,</w:t>
            </w:r>
            <w:r w:rsidR="00532313" w:rsidRPr="00616BD9">
              <w:rPr>
                <w:sz w:val="17"/>
                <w:szCs w:val="17"/>
                <w:lang w:val="es-ES_tradnl"/>
              </w:rPr>
              <w:t>5</w:t>
            </w:r>
            <w:r w:rsidRPr="00616BD9">
              <w:rPr>
                <w:sz w:val="17"/>
                <w:szCs w:val="17"/>
                <w:lang w:val="es-ES_tradnl"/>
              </w:rPr>
              <w:t>00</w:t>
            </w:r>
          </w:p>
        </w:tc>
      </w:tr>
      <w:tr w:rsidR="00DD0E55" w:rsidRPr="00616BD9" w14:paraId="79E68A3E" w14:textId="77777777" w:rsidTr="00F375A1">
        <w:tc>
          <w:tcPr>
            <w:tcW w:w="3573" w:type="dxa"/>
            <w:shd w:val="pct10" w:color="auto" w:fill="auto"/>
            <w:vAlign w:val="center"/>
          </w:tcPr>
          <w:p w14:paraId="6D6843E7" w14:textId="55549231" w:rsidR="00DD0E55" w:rsidRPr="00616BD9" w:rsidRDefault="00885ADE" w:rsidP="00902A56">
            <w:pPr>
              <w:pStyle w:val="SingleTxt"/>
              <w:snapToGrid w:val="0"/>
              <w:spacing w:before="20" w:after="40" w:line="210" w:lineRule="exact"/>
              <w:ind w:left="0" w:right="26"/>
              <w:jc w:val="left"/>
              <w:rPr>
                <w:sz w:val="17"/>
                <w:szCs w:val="17"/>
                <w:lang w:val="es-ES_tradnl"/>
              </w:rPr>
            </w:pPr>
            <w:r w:rsidRPr="00616BD9">
              <w:rPr>
                <w:sz w:val="17"/>
                <w:szCs w:val="17"/>
                <w:lang w:val="es-ES_tradnl"/>
              </w:rPr>
              <w:t>Oficial Jurídico Adjunto</w:t>
            </w:r>
            <w:r w:rsidR="00DD0E55" w:rsidRPr="00616BD9">
              <w:rPr>
                <w:sz w:val="17"/>
                <w:szCs w:val="17"/>
                <w:lang w:val="es-ES_tradnl"/>
              </w:rPr>
              <w:t xml:space="preserve"> (P-2)</w:t>
            </w:r>
          </w:p>
        </w:tc>
        <w:tc>
          <w:tcPr>
            <w:tcW w:w="2070" w:type="dxa"/>
            <w:vAlign w:val="center"/>
          </w:tcPr>
          <w:p w14:paraId="5401E529" w14:textId="77777777" w:rsidR="00DD0E55" w:rsidRPr="00616BD9" w:rsidRDefault="00DD0E55"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$ 115,100</w:t>
            </w:r>
          </w:p>
        </w:tc>
        <w:tc>
          <w:tcPr>
            <w:tcW w:w="2340" w:type="dxa"/>
            <w:vAlign w:val="center"/>
          </w:tcPr>
          <w:p w14:paraId="67C133A1" w14:textId="7892297F" w:rsidR="00DD0E55" w:rsidRPr="00616BD9" w:rsidRDefault="00DD0E55"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$ 13</w:t>
            </w:r>
            <w:r w:rsidR="00532313" w:rsidRPr="00616BD9">
              <w:rPr>
                <w:sz w:val="17"/>
                <w:szCs w:val="17"/>
                <w:lang w:val="es-ES_tradnl"/>
              </w:rPr>
              <w:t>3</w:t>
            </w:r>
            <w:r w:rsidRPr="00616BD9">
              <w:rPr>
                <w:sz w:val="17"/>
                <w:szCs w:val="17"/>
                <w:lang w:val="es-ES_tradnl"/>
              </w:rPr>
              <w:t>,</w:t>
            </w:r>
            <w:r w:rsidR="00532313" w:rsidRPr="00616BD9">
              <w:rPr>
                <w:sz w:val="17"/>
                <w:szCs w:val="17"/>
                <w:lang w:val="es-ES_tradnl"/>
              </w:rPr>
              <w:t>7</w:t>
            </w:r>
            <w:r w:rsidRPr="00616BD9">
              <w:rPr>
                <w:sz w:val="17"/>
                <w:szCs w:val="17"/>
                <w:lang w:val="es-ES_tradnl"/>
              </w:rPr>
              <w:t>00</w:t>
            </w:r>
          </w:p>
        </w:tc>
      </w:tr>
      <w:tr w:rsidR="00DD0E55" w:rsidRPr="00616BD9" w14:paraId="1B173714" w14:textId="77777777" w:rsidTr="00F375A1">
        <w:tc>
          <w:tcPr>
            <w:tcW w:w="3573" w:type="dxa"/>
            <w:shd w:val="pct10" w:color="auto" w:fill="auto"/>
            <w:vAlign w:val="center"/>
          </w:tcPr>
          <w:p w14:paraId="1C5255CD" w14:textId="4F53DE86" w:rsidR="00DD0E55" w:rsidRPr="00616BD9" w:rsidRDefault="00885ADE" w:rsidP="00902A56">
            <w:pPr>
              <w:pStyle w:val="SingleTxt"/>
              <w:snapToGrid w:val="0"/>
              <w:spacing w:before="20" w:after="40" w:line="210" w:lineRule="exact"/>
              <w:ind w:left="0" w:right="116"/>
              <w:jc w:val="left"/>
              <w:rPr>
                <w:sz w:val="17"/>
                <w:szCs w:val="17"/>
                <w:lang w:val="es-ES_tradnl"/>
              </w:rPr>
            </w:pPr>
            <w:r w:rsidRPr="00616BD9">
              <w:rPr>
                <w:sz w:val="17"/>
                <w:szCs w:val="17"/>
                <w:lang w:val="es-ES_tradnl"/>
              </w:rPr>
              <w:t>Auxiliar Administrativo</w:t>
            </w:r>
            <w:r w:rsidR="00DD0E55" w:rsidRPr="00616BD9">
              <w:rPr>
                <w:sz w:val="17"/>
                <w:szCs w:val="17"/>
                <w:lang w:val="es-ES_tradnl"/>
              </w:rPr>
              <w:t xml:space="preserve"> (G-6)</w:t>
            </w:r>
          </w:p>
        </w:tc>
        <w:tc>
          <w:tcPr>
            <w:tcW w:w="2070" w:type="dxa"/>
            <w:vAlign w:val="center"/>
          </w:tcPr>
          <w:p w14:paraId="1DB254E5" w14:textId="77777777" w:rsidR="00DD0E55" w:rsidRPr="00616BD9" w:rsidRDefault="00DD0E55"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$ 98,700</w:t>
            </w:r>
          </w:p>
        </w:tc>
        <w:tc>
          <w:tcPr>
            <w:tcW w:w="2340" w:type="dxa"/>
            <w:vAlign w:val="center"/>
          </w:tcPr>
          <w:p w14:paraId="5D6F8A3D" w14:textId="0D4A728F" w:rsidR="00DD0E55" w:rsidRPr="00616BD9" w:rsidRDefault="00DD0E55" w:rsidP="00902A56">
            <w:pPr>
              <w:pStyle w:val="SingleTxt"/>
              <w:snapToGrid w:val="0"/>
              <w:spacing w:before="20" w:after="40" w:line="210" w:lineRule="exact"/>
              <w:ind w:left="0" w:right="170"/>
              <w:jc w:val="center"/>
              <w:rPr>
                <w:sz w:val="17"/>
                <w:szCs w:val="17"/>
                <w:lang w:val="es-ES_tradnl"/>
              </w:rPr>
            </w:pPr>
            <w:r w:rsidRPr="00616BD9">
              <w:rPr>
                <w:sz w:val="17"/>
                <w:szCs w:val="17"/>
                <w:lang w:val="es-ES_tradnl"/>
              </w:rPr>
              <w:t>$ 10</w:t>
            </w:r>
            <w:r w:rsidR="00532313" w:rsidRPr="00616BD9">
              <w:rPr>
                <w:sz w:val="17"/>
                <w:szCs w:val="17"/>
                <w:lang w:val="es-ES_tradnl"/>
              </w:rPr>
              <w:t>6</w:t>
            </w:r>
            <w:r w:rsidRPr="00616BD9">
              <w:rPr>
                <w:sz w:val="17"/>
                <w:szCs w:val="17"/>
                <w:lang w:val="es-ES_tradnl"/>
              </w:rPr>
              <w:t>,900</w:t>
            </w:r>
          </w:p>
        </w:tc>
      </w:tr>
      <w:tr w:rsidR="00DD0E55" w:rsidRPr="00616BD9" w14:paraId="05988C5A" w14:textId="77777777" w:rsidTr="00F375A1">
        <w:tc>
          <w:tcPr>
            <w:tcW w:w="3573" w:type="dxa"/>
            <w:shd w:val="pct10" w:color="auto" w:fill="auto"/>
            <w:vAlign w:val="center"/>
          </w:tcPr>
          <w:p w14:paraId="64A8C9D6" w14:textId="77777777" w:rsidR="00DD0E55" w:rsidRPr="00616BD9" w:rsidRDefault="00DD0E55" w:rsidP="00902A56">
            <w:pPr>
              <w:pStyle w:val="SingleTxt"/>
              <w:snapToGrid w:val="0"/>
              <w:spacing w:before="20" w:after="40" w:line="210" w:lineRule="exact"/>
              <w:ind w:left="0" w:right="21"/>
              <w:jc w:val="left"/>
              <w:rPr>
                <w:b/>
                <w:bCs/>
                <w:sz w:val="17"/>
                <w:szCs w:val="17"/>
                <w:lang w:val="es-ES_tradnl"/>
              </w:rPr>
            </w:pPr>
            <w:r w:rsidRPr="00616BD9">
              <w:rPr>
                <w:b/>
                <w:bCs/>
                <w:sz w:val="17"/>
                <w:szCs w:val="17"/>
                <w:lang w:val="es-ES_tradnl"/>
              </w:rPr>
              <w:t>Total</w:t>
            </w:r>
          </w:p>
        </w:tc>
        <w:tc>
          <w:tcPr>
            <w:tcW w:w="2070" w:type="dxa"/>
            <w:vAlign w:val="center"/>
          </w:tcPr>
          <w:p w14:paraId="3A541333" w14:textId="77777777" w:rsidR="00DD0E55" w:rsidRPr="00616BD9" w:rsidRDefault="00DD0E55" w:rsidP="00902A56">
            <w:pPr>
              <w:pStyle w:val="SingleTxt"/>
              <w:snapToGrid w:val="0"/>
              <w:spacing w:before="20" w:after="40" w:line="210" w:lineRule="exact"/>
              <w:ind w:left="0" w:right="170"/>
              <w:jc w:val="center"/>
              <w:rPr>
                <w:b/>
                <w:bCs/>
                <w:sz w:val="17"/>
                <w:szCs w:val="17"/>
                <w:lang w:val="es-ES_tradnl"/>
              </w:rPr>
            </w:pPr>
            <w:r w:rsidRPr="00616BD9">
              <w:rPr>
                <w:b/>
                <w:bCs/>
                <w:sz w:val="17"/>
                <w:szCs w:val="17"/>
                <w:lang w:val="es-ES_tradnl"/>
              </w:rPr>
              <w:t>$ 353,400</w:t>
            </w:r>
          </w:p>
        </w:tc>
        <w:tc>
          <w:tcPr>
            <w:tcW w:w="2340" w:type="dxa"/>
            <w:vAlign w:val="center"/>
          </w:tcPr>
          <w:p w14:paraId="46715A0D" w14:textId="4BC9D4B0" w:rsidR="00DD0E55" w:rsidRPr="00616BD9" w:rsidRDefault="00DD0E55" w:rsidP="00902A56">
            <w:pPr>
              <w:pStyle w:val="SingleTxt"/>
              <w:snapToGrid w:val="0"/>
              <w:spacing w:before="20" w:after="40" w:line="210" w:lineRule="exact"/>
              <w:ind w:left="0" w:right="170"/>
              <w:jc w:val="center"/>
              <w:rPr>
                <w:b/>
                <w:bCs/>
                <w:sz w:val="17"/>
                <w:szCs w:val="17"/>
                <w:lang w:val="es-ES_tradnl"/>
              </w:rPr>
            </w:pPr>
            <w:r w:rsidRPr="00616BD9">
              <w:rPr>
                <w:b/>
                <w:bCs/>
                <w:sz w:val="17"/>
                <w:szCs w:val="17"/>
                <w:lang w:val="es-ES_tradnl"/>
              </w:rPr>
              <w:t>$ 4</w:t>
            </w:r>
            <w:r w:rsidR="00532313" w:rsidRPr="00616BD9">
              <w:rPr>
                <w:b/>
                <w:bCs/>
                <w:sz w:val="17"/>
                <w:szCs w:val="17"/>
                <w:lang w:val="es-ES_tradnl"/>
              </w:rPr>
              <w:t>10</w:t>
            </w:r>
            <w:r w:rsidRPr="00616BD9">
              <w:rPr>
                <w:b/>
                <w:bCs/>
                <w:sz w:val="17"/>
                <w:szCs w:val="17"/>
                <w:lang w:val="es-ES_tradnl"/>
              </w:rPr>
              <w:t>,</w:t>
            </w:r>
            <w:r w:rsidR="00532313" w:rsidRPr="00616BD9">
              <w:rPr>
                <w:b/>
                <w:bCs/>
                <w:sz w:val="17"/>
                <w:szCs w:val="17"/>
                <w:lang w:val="es-ES_tradnl"/>
              </w:rPr>
              <w:t>1</w:t>
            </w:r>
            <w:r w:rsidRPr="00616BD9">
              <w:rPr>
                <w:b/>
                <w:bCs/>
                <w:sz w:val="17"/>
                <w:szCs w:val="17"/>
                <w:lang w:val="es-ES_tradnl"/>
              </w:rPr>
              <w:t>00</w:t>
            </w:r>
          </w:p>
        </w:tc>
      </w:tr>
    </w:tbl>
    <w:p w14:paraId="5720DED4" w14:textId="4FE047B0" w:rsidR="00A3665D" w:rsidRPr="00616BD9" w:rsidRDefault="00A3665D" w:rsidP="00902A56">
      <w:pPr>
        <w:pStyle w:val="SingleTxt"/>
        <w:spacing w:after="0" w:line="120" w:lineRule="atLeast"/>
        <w:rPr>
          <w:sz w:val="10"/>
          <w:lang w:val="es-ES_tradnl"/>
        </w:rPr>
      </w:pPr>
    </w:p>
    <w:p w14:paraId="23113E30" w14:textId="62B57D36" w:rsidR="00A3665D" w:rsidRPr="00616BD9" w:rsidRDefault="00086E7B" w:rsidP="006E621B">
      <w:pPr>
        <w:pStyle w:val="ListParagraph"/>
        <w:numPr>
          <w:ilvl w:val="0"/>
          <w:numId w:val="1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Además, se necesitarían recursos adicionales por valor de 13.000 dólares para adquirir mobiliario y equipo para los nuevos funcionarios; 5.400 dólares para servicios relacionados con la tecnología de la información y las comunicaciones; y 13.593 dólares en concepto de gastos de viaje del personal para prestar servicios en los períodos de sesiones de los grupos de trabajo en Nueva York. </w:t>
      </w:r>
    </w:p>
    <w:p w14:paraId="3F1CD95A" w14:textId="32AF2634" w:rsidR="00EE1E72" w:rsidRPr="00616BD9" w:rsidRDefault="006B5CBD" w:rsidP="006E621B">
      <w:pPr>
        <w:pStyle w:val="H4"/>
        <w:keepNext w:val="0"/>
        <w:keepLines w:val="0"/>
        <w:spacing w:after="120"/>
        <w:ind w:left="1267" w:right="1267" w:hanging="700"/>
        <w:rPr>
          <w:lang w:val="es-ES_tradnl"/>
        </w:rPr>
      </w:pPr>
      <w:r w:rsidRPr="00616BD9">
        <w:rPr>
          <w:lang w:val="es-ES_tradnl"/>
        </w:rPr>
        <w:tab/>
      </w:r>
      <w:r w:rsidR="001D79DF" w:rsidRPr="00616BD9">
        <w:rPr>
          <w:lang w:val="es-ES_tradnl"/>
        </w:rPr>
        <w:t>Resumen</w:t>
      </w:r>
    </w:p>
    <w:p w14:paraId="3AC7497E" w14:textId="7524F1E3" w:rsidR="00BE2B0E" w:rsidRPr="00616BD9" w:rsidRDefault="00F9329C" w:rsidP="006E621B">
      <w:pPr>
        <w:pStyle w:val="ListParagraph"/>
        <w:numPr>
          <w:ilvl w:val="0"/>
          <w:numId w:val="10"/>
        </w:numP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En conclusión, las consecuencias </w:t>
      </w:r>
      <w:r w:rsidR="00EA0717" w:rsidRPr="00616BD9">
        <w:rPr>
          <w:lang w:val="es-ES_tradnl"/>
        </w:rPr>
        <w:t>presupuestarias por</w:t>
      </w:r>
      <w:r w:rsidR="00530BC3" w:rsidRPr="00616BD9">
        <w:rPr>
          <w:lang w:val="es-ES_tradnl"/>
        </w:rPr>
        <w:t xml:space="preserve"> </w:t>
      </w:r>
      <w:r w:rsidR="00EA0717" w:rsidRPr="00616BD9">
        <w:rPr>
          <w:lang w:val="es-ES_tradnl"/>
        </w:rPr>
        <w:t>celebrar</w:t>
      </w:r>
      <w:r w:rsidRPr="00616BD9">
        <w:rPr>
          <w:lang w:val="es-ES_tradnl"/>
        </w:rPr>
        <w:t xml:space="preserve"> dos períodos de sesiones adicionales del Grupo de Trabajo por año serían las siguientes</w:t>
      </w:r>
      <w:r w:rsidR="00BE2B0E" w:rsidRPr="00616BD9">
        <w:rPr>
          <w:lang w:val="es-ES_tradnl"/>
        </w:rPr>
        <w:t xml:space="preserve">: </w:t>
      </w:r>
    </w:p>
    <w:p w14:paraId="6ED55D1A" w14:textId="6B8CAAF1" w:rsidR="007A6711" w:rsidRPr="00616BD9" w:rsidRDefault="00EA0717" w:rsidP="006E621B">
      <w:pPr>
        <w:pStyle w:val="SingleTxt"/>
        <w:spacing w:after="0"/>
        <w:ind w:left="567"/>
        <w:jc w:val="left"/>
        <w:rPr>
          <w:lang w:val="es-ES_tradnl"/>
        </w:rPr>
      </w:pPr>
      <w:r w:rsidRPr="00616BD9">
        <w:rPr>
          <w:lang w:val="es-ES_tradnl"/>
        </w:rPr>
        <w:t xml:space="preserve">Cuadro </w:t>
      </w:r>
      <w:r w:rsidR="006B5CBD" w:rsidRPr="00616BD9">
        <w:rPr>
          <w:lang w:val="es-ES_tradnl"/>
        </w:rPr>
        <w:t xml:space="preserve">3: </w:t>
      </w:r>
    </w:p>
    <w:p w14:paraId="5CFA5608" w14:textId="2296C9A7" w:rsidR="00532313" w:rsidRPr="00616BD9" w:rsidRDefault="00CE1F37" w:rsidP="006E621B">
      <w:pPr>
        <w:pStyle w:val="SingleTxt"/>
        <w:ind w:left="567" w:right="1267"/>
        <w:rPr>
          <w:b/>
          <w:bCs/>
          <w:lang w:val="es-ES_tradnl"/>
        </w:rPr>
      </w:pPr>
      <w:r w:rsidRPr="00616BD9">
        <w:rPr>
          <w:b/>
          <w:bCs/>
          <w:lang w:val="es-ES_tradnl"/>
        </w:rPr>
        <w:t>Consecuencias para el presupuesto por programas por año</w:t>
      </w:r>
    </w:p>
    <w:tbl>
      <w:tblPr>
        <w:tblStyle w:val="TableGrid"/>
        <w:tblW w:w="0" w:type="auto"/>
        <w:tblInd w:w="562" w:type="dxa"/>
        <w:tblLook w:val="04A0" w:firstRow="1" w:lastRow="0" w:firstColumn="1" w:lastColumn="0" w:noHBand="0" w:noVBand="1"/>
      </w:tblPr>
      <w:tblGrid>
        <w:gridCol w:w="3033"/>
        <w:gridCol w:w="1530"/>
        <w:gridCol w:w="3420"/>
      </w:tblGrid>
      <w:tr w:rsidR="00CE0811" w:rsidRPr="00616BD9" w14:paraId="509B680C" w14:textId="77777777" w:rsidTr="005F1DE8">
        <w:tc>
          <w:tcPr>
            <w:tcW w:w="4563" w:type="dxa"/>
            <w:gridSpan w:val="2"/>
            <w:shd w:val="pct10" w:color="auto" w:fill="auto"/>
            <w:vAlign w:val="center"/>
          </w:tcPr>
          <w:p w14:paraId="6E5DD921" w14:textId="77777777" w:rsidR="00CE0811" w:rsidRPr="00616BD9" w:rsidRDefault="00CE0811" w:rsidP="00902A56">
            <w:pPr>
              <w:pStyle w:val="SingleTxt"/>
              <w:snapToGrid w:val="0"/>
              <w:spacing w:before="20" w:after="40" w:line="210" w:lineRule="exact"/>
              <w:ind w:left="0" w:right="21"/>
              <w:jc w:val="center"/>
              <w:rPr>
                <w:sz w:val="18"/>
                <w:szCs w:val="18"/>
                <w:lang w:val="es-ES_tradnl"/>
              </w:rPr>
            </w:pPr>
          </w:p>
        </w:tc>
        <w:tc>
          <w:tcPr>
            <w:tcW w:w="3420" w:type="dxa"/>
            <w:shd w:val="pct10" w:color="auto" w:fill="auto"/>
            <w:vAlign w:val="center"/>
          </w:tcPr>
          <w:p w14:paraId="7A84B833" w14:textId="49F892CA" w:rsidR="00CE0811" w:rsidRPr="00616BD9" w:rsidRDefault="002F08CB" w:rsidP="00902A56">
            <w:pPr>
              <w:pStyle w:val="SingleTxt"/>
              <w:snapToGrid w:val="0"/>
              <w:spacing w:before="20" w:after="40" w:line="210" w:lineRule="exact"/>
              <w:ind w:left="0" w:right="170"/>
              <w:jc w:val="center"/>
              <w:rPr>
                <w:sz w:val="18"/>
                <w:szCs w:val="18"/>
                <w:lang w:val="es-ES_tradnl"/>
              </w:rPr>
            </w:pPr>
            <w:r w:rsidRPr="00616BD9">
              <w:rPr>
                <w:sz w:val="18"/>
                <w:szCs w:val="18"/>
                <w:lang w:val="es-ES_tradnl"/>
              </w:rPr>
              <w:t>Estimados</w:t>
            </w:r>
          </w:p>
        </w:tc>
      </w:tr>
      <w:tr w:rsidR="00CE0811" w:rsidRPr="00616BD9" w14:paraId="593E3E77" w14:textId="77777777" w:rsidTr="005F1DE8">
        <w:trPr>
          <w:trHeight w:val="647"/>
        </w:trPr>
        <w:tc>
          <w:tcPr>
            <w:tcW w:w="3033" w:type="dxa"/>
            <w:vMerge w:val="restart"/>
            <w:shd w:val="pct10" w:color="auto" w:fill="auto"/>
            <w:vAlign w:val="center"/>
          </w:tcPr>
          <w:p w14:paraId="74F3875F" w14:textId="0B658F91" w:rsidR="00CE0811" w:rsidRPr="00616BD9" w:rsidRDefault="005067E7" w:rsidP="00902A56">
            <w:pPr>
              <w:pStyle w:val="SingleTxt"/>
              <w:tabs>
                <w:tab w:val="clear" w:pos="1267"/>
              </w:tabs>
              <w:snapToGrid w:val="0"/>
              <w:spacing w:before="20" w:after="40" w:line="210" w:lineRule="exact"/>
              <w:ind w:left="0" w:right="18"/>
              <w:jc w:val="center"/>
              <w:rPr>
                <w:sz w:val="18"/>
                <w:szCs w:val="18"/>
                <w:lang w:val="es-ES_tradnl"/>
              </w:rPr>
            </w:pPr>
            <w:r w:rsidRPr="00616BD9">
              <w:rPr>
                <w:spacing w:val="2"/>
                <w:w w:val="101"/>
                <w:sz w:val="18"/>
                <w:szCs w:val="18"/>
                <w:lang w:val="es-ES_tradnl"/>
              </w:rPr>
              <w:t>Sección 2</w:t>
            </w:r>
            <w:r w:rsidR="00CE0811" w:rsidRPr="00616BD9">
              <w:rPr>
                <w:spacing w:val="2"/>
                <w:w w:val="101"/>
                <w:sz w:val="18"/>
                <w:szCs w:val="18"/>
                <w:lang w:val="es-ES_tradnl"/>
              </w:rPr>
              <w:t xml:space="preserve"> - </w:t>
            </w:r>
            <w:r w:rsidR="00DD5BCC" w:rsidRPr="00616BD9">
              <w:rPr>
                <w:lang w:val="es-ES_tradnl"/>
              </w:rPr>
              <w:t>Asuntos de la Asamblea General y el Consejo Económico y Social y gestión de conferencias</w:t>
            </w:r>
            <w:r w:rsidR="00DD5BCC" w:rsidRPr="00616BD9">
              <w:rPr>
                <w:spacing w:val="2"/>
                <w:w w:val="101"/>
                <w:sz w:val="18"/>
                <w:szCs w:val="18"/>
                <w:lang w:val="es-ES_tradnl"/>
              </w:rPr>
              <w:t xml:space="preserve"> </w:t>
            </w:r>
          </w:p>
        </w:tc>
        <w:tc>
          <w:tcPr>
            <w:tcW w:w="1530" w:type="dxa"/>
            <w:shd w:val="pct10" w:color="auto" w:fill="auto"/>
            <w:vAlign w:val="center"/>
          </w:tcPr>
          <w:p w14:paraId="15D8B648" w14:textId="17076A62" w:rsidR="00CE0811" w:rsidRPr="00616BD9" w:rsidRDefault="00927A04" w:rsidP="00902A56">
            <w:pPr>
              <w:pStyle w:val="SingleTxt"/>
              <w:tabs>
                <w:tab w:val="clear" w:pos="1267"/>
              </w:tabs>
              <w:snapToGrid w:val="0"/>
              <w:spacing w:before="20" w:after="40" w:line="210" w:lineRule="exact"/>
              <w:ind w:left="0" w:right="18"/>
              <w:jc w:val="center"/>
              <w:rPr>
                <w:sz w:val="18"/>
                <w:szCs w:val="18"/>
                <w:lang w:val="es-ES_tradnl"/>
              </w:rPr>
            </w:pPr>
            <w:r w:rsidRPr="00616BD9">
              <w:rPr>
                <w:sz w:val="18"/>
                <w:szCs w:val="18"/>
                <w:lang w:val="es-ES_tradnl"/>
              </w:rPr>
              <w:t>Recursos para servicios de conferencia</w:t>
            </w:r>
          </w:p>
        </w:tc>
        <w:tc>
          <w:tcPr>
            <w:tcW w:w="3420" w:type="dxa"/>
            <w:vAlign w:val="center"/>
          </w:tcPr>
          <w:p w14:paraId="54C9B554" w14:textId="16715BBA" w:rsidR="00CE0811" w:rsidRPr="00616BD9" w:rsidRDefault="00CE0811" w:rsidP="00902A56">
            <w:pPr>
              <w:pStyle w:val="SingleTxt"/>
              <w:tabs>
                <w:tab w:val="clear" w:pos="1267"/>
              </w:tabs>
              <w:snapToGrid w:val="0"/>
              <w:spacing w:before="20" w:after="40" w:line="210" w:lineRule="exact"/>
              <w:ind w:left="0" w:right="170"/>
              <w:jc w:val="center"/>
              <w:rPr>
                <w:sz w:val="18"/>
                <w:szCs w:val="18"/>
                <w:lang w:val="es-ES_tradnl"/>
              </w:rPr>
            </w:pPr>
            <w:r w:rsidRPr="00616BD9">
              <w:rPr>
                <w:sz w:val="18"/>
                <w:szCs w:val="18"/>
                <w:lang w:val="es-ES_tradnl"/>
              </w:rPr>
              <w:t>$ 340,000</w:t>
            </w:r>
          </w:p>
        </w:tc>
      </w:tr>
      <w:tr w:rsidR="00CE0811" w:rsidRPr="00616BD9" w14:paraId="6AC97090" w14:textId="77777777" w:rsidTr="005F1DE8">
        <w:trPr>
          <w:trHeight w:val="602"/>
        </w:trPr>
        <w:tc>
          <w:tcPr>
            <w:tcW w:w="3033" w:type="dxa"/>
            <w:vMerge/>
            <w:shd w:val="pct10" w:color="auto" w:fill="auto"/>
            <w:vAlign w:val="center"/>
          </w:tcPr>
          <w:p w14:paraId="43EF4B19" w14:textId="317CE1C8" w:rsidR="00CE0811" w:rsidRPr="00616BD9" w:rsidRDefault="00CE0811" w:rsidP="00902A56">
            <w:pPr>
              <w:pStyle w:val="SingleTxt"/>
              <w:snapToGrid w:val="0"/>
              <w:spacing w:before="20" w:after="40" w:line="210" w:lineRule="exact"/>
              <w:ind w:left="0" w:right="26"/>
              <w:jc w:val="center"/>
              <w:rPr>
                <w:sz w:val="18"/>
                <w:szCs w:val="18"/>
                <w:lang w:val="es-ES_tradnl"/>
              </w:rPr>
            </w:pPr>
          </w:p>
        </w:tc>
        <w:tc>
          <w:tcPr>
            <w:tcW w:w="1530" w:type="dxa"/>
            <w:shd w:val="pct10" w:color="auto" w:fill="auto"/>
            <w:vAlign w:val="center"/>
          </w:tcPr>
          <w:p w14:paraId="61C3451E" w14:textId="7088AAB7" w:rsidR="00CE0811" w:rsidRPr="00616BD9" w:rsidRDefault="00861D99" w:rsidP="00902A56">
            <w:pPr>
              <w:pStyle w:val="SingleTxt"/>
              <w:snapToGrid w:val="0"/>
              <w:spacing w:before="20" w:after="40" w:line="210" w:lineRule="exact"/>
              <w:ind w:left="0" w:right="26"/>
              <w:jc w:val="center"/>
              <w:rPr>
                <w:sz w:val="18"/>
                <w:szCs w:val="18"/>
                <w:lang w:val="es-ES_tradnl"/>
              </w:rPr>
            </w:pPr>
            <w:r w:rsidRPr="00616BD9">
              <w:rPr>
                <w:sz w:val="18"/>
                <w:szCs w:val="18"/>
                <w:lang w:val="es-ES_tradnl"/>
              </w:rPr>
              <w:t>Recursos para la documentación</w:t>
            </w:r>
          </w:p>
        </w:tc>
        <w:tc>
          <w:tcPr>
            <w:tcW w:w="3420" w:type="dxa"/>
            <w:vAlign w:val="center"/>
          </w:tcPr>
          <w:p w14:paraId="5E1F1DDC" w14:textId="637D63D5" w:rsidR="00CE0811" w:rsidRPr="00616BD9" w:rsidRDefault="00CE0811" w:rsidP="00902A56">
            <w:pPr>
              <w:pStyle w:val="SingleTxt"/>
              <w:snapToGrid w:val="0"/>
              <w:spacing w:before="20" w:after="40" w:line="210" w:lineRule="exact"/>
              <w:ind w:left="0" w:right="170"/>
              <w:jc w:val="center"/>
              <w:rPr>
                <w:sz w:val="18"/>
                <w:szCs w:val="18"/>
                <w:lang w:val="es-ES_tradnl"/>
              </w:rPr>
            </w:pPr>
            <w:r w:rsidRPr="00616BD9">
              <w:rPr>
                <w:sz w:val="18"/>
                <w:szCs w:val="18"/>
                <w:lang w:val="es-ES_tradnl"/>
              </w:rPr>
              <w:t xml:space="preserve">$ 486,000 </w:t>
            </w:r>
            <w:r w:rsidR="00861D99" w:rsidRPr="00616BD9">
              <w:rPr>
                <w:sz w:val="18"/>
                <w:szCs w:val="18"/>
                <w:lang w:val="es-ES_tradnl"/>
              </w:rPr>
              <w:t>a</w:t>
            </w:r>
            <w:r w:rsidRPr="00616BD9">
              <w:rPr>
                <w:sz w:val="18"/>
                <w:szCs w:val="18"/>
                <w:lang w:val="es-ES_tradnl"/>
              </w:rPr>
              <w:t xml:space="preserve"> $ 637,394</w:t>
            </w:r>
          </w:p>
        </w:tc>
      </w:tr>
      <w:tr w:rsidR="00CE0811" w:rsidRPr="00616BD9" w14:paraId="4B37172A" w14:textId="77777777" w:rsidTr="005F1DE8">
        <w:trPr>
          <w:trHeight w:val="683"/>
        </w:trPr>
        <w:tc>
          <w:tcPr>
            <w:tcW w:w="3033" w:type="dxa"/>
            <w:vMerge w:val="restart"/>
            <w:shd w:val="pct10" w:color="auto" w:fill="auto"/>
            <w:vAlign w:val="center"/>
          </w:tcPr>
          <w:p w14:paraId="4CF036E1" w14:textId="6B3F5D6E" w:rsidR="00CE0811" w:rsidRPr="00616BD9" w:rsidRDefault="00861D99" w:rsidP="00902A56">
            <w:pPr>
              <w:pStyle w:val="SingleTxt"/>
              <w:snapToGrid w:val="0"/>
              <w:spacing w:before="20" w:after="40" w:line="210" w:lineRule="exact"/>
              <w:ind w:left="0" w:right="116"/>
              <w:jc w:val="center"/>
              <w:rPr>
                <w:sz w:val="18"/>
                <w:szCs w:val="18"/>
                <w:lang w:val="es-ES_tradnl"/>
              </w:rPr>
            </w:pPr>
            <w:r w:rsidRPr="00616BD9">
              <w:rPr>
                <w:spacing w:val="2"/>
                <w:w w:val="101"/>
                <w:sz w:val="18"/>
                <w:szCs w:val="18"/>
                <w:lang w:val="es-ES_tradnl"/>
              </w:rPr>
              <w:t>Sección 8: Asuntos Legales</w:t>
            </w:r>
          </w:p>
        </w:tc>
        <w:tc>
          <w:tcPr>
            <w:tcW w:w="1530" w:type="dxa"/>
            <w:shd w:val="pct10" w:color="auto" w:fill="auto"/>
            <w:vAlign w:val="center"/>
          </w:tcPr>
          <w:p w14:paraId="7B87B508" w14:textId="37825DEA" w:rsidR="00CE0811" w:rsidRPr="00616BD9" w:rsidRDefault="00861D99" w:rsidP="00902A56">
            <w:pPr>
              <w:pStyle w:val="SingleTxt"/>
              <w:snapToGrid w:val="0"/>
              <w:spacing w:before="20" w:after="40" w:line="210" w:lineRule="exact"/>
              <w:ind w:left="0" w:right="116"/>
              <w:jc w:val="center"/>
              <w:rPr>
                <w:sz w:val="18"/>
                <w:szCs w:val="18"/>
                <w:lang w:val="es-ES_tradnl"/>
              </w:rPr>
            </w:pPr>
            <w:r w:rsidRPr="00616BD9">
              <w:rPr>
                <w:sz w:val="18"/>
                <w:szCs w:val="18"/>
                <w:lang w:val="es-ES_tradnl"/>
              </w:rPr>
              <w:t>Recursos humanos</w:t>
            </w:r>
          </w:p>
        </w:tc>
        <w:tc>
          <w:tcPr>
            <w:tcW w:w="3420" w:type="dxa"/>
            <w:vAlign w:val="center"/>
          </w:tcPr>
          <w:p w14:paraId="6D7F6448" w14:textId="2C937CD8" w:rsidR="00CE0811" w:rsidRPr="00616BD9" w:rsidRDefault="00CE0811" w:rsidP="00902A56">
            <w:pPr>
              <w:pStyle w:val="SingleTxt"/>
              <w:snapToGrid w:val="0"/>
              <w:spacing w:before="20" w:after="40" w:line="210" w:lineRule="exact"/>
              <w:ind w:left="0" w:right="170"/>
              <w:jc w:val="center"/>
              <w:rPr>
                <w:sz w:val="18"/>
                <w:szCs w:val="18"/>
                <w:lang w:val="es-ES_tradnl"/>
              </w:rPr>
            </w:pPr>
            <w:r w:rsidRPr="00616BD9">
              <w:rPr>
                <w:sz w:val="18"/>
                <w:szCs w:val="18"/>
                <w:lang w:val="es-ES_tradnl"/>
              </w:rPr>
              <w:t xml:space="preserve">$ 353,400 </w:t>
            </w:r>
            <w:r w:rsidR="00861D99" w:rsidRPr="00616BD9">
              <w:rPr>
                <w:sz w:val="18"/>
                <w:szCs w:val="18"/>
                <w:lang w:val="es-ES_tradnl"/>
              </w:rPr>
              <w:t>a</w:t>
            </w:r>
            <w:r w:rsidRPr="00616BD9">
              <w:rPr>
                <w:sz w:val="18"/>
                <w:szCs w:val="18"/>
                <w:lang w:val="es-ES_tradnl"/>
              </w:rPr>
              <w:t xml:space="preserve"> $ 410,100</w:t>
            </w:r>
          </w:p>
        </w:tc>
      </w:tr>
      <w:tr w:rsidR="00CE0811" w:rsidRPr="00616BD9" w14:paraId="5606A896" w14:textId="77777777" w:rsidTr="005F1DE8">
        <w:trPr>
          <w:trHeight w:val="530"/>
        </w:trPr>
        <w:tc>
          <w:tcPr>
            <w:tcW w:w="3033" w:type="dxa"/>
            <w:vMerge/>
            <w:shd w:val="pct10" w:color="auto" w:fill="auto"/>
            <w:vAlign w:val="center"/>
          </w:tcPr>
          <w:p w14:paraId="1B808D96" w14:textId="18CA70A5" w:rsidR="00CE0811" w:rsidRPr="00616BD9" w:rsidRDefault="00CE0811" w:rsidP="00902A56">
            <w:pPr>
              <w:pStyle w:val="SingleTxt"/>
              <w:snapToGrid w:val="0"/>
              <w:spacing w:before="20" w:after="40" w:line="210" w:lineRule="exact"/>
              <w:ind w:left="0" w:right="21"/>
              <w:jc w:val="center"/>
              <w:rPr>
                <w:sz w:val="18"/>
                <w:szCs w:val="18"/>
                <w:lang w:val="es-ES_tradnl"/>
              </w:rPr>
            </w:pPr>
          </w:p>
        </w:tc>
        <w:tc>
          <w:tcPr>
            <w:tcW w:w="1530" w:type="dxa"/>
            <w:shd w:val="pct10" w:color="auto" w:fill="auto"/>
            <w:vAlign w:val="center"/>
          </w:tcPr>
          <w:p w14:paraId="158FBDEF" w14:textId="5E4AA966" w:rsidR="00CE0811" w:rsidRPr="00616BD9" w:rsidRDefault="00861D99" w:rsidP="00902A56">
            <w:pPr>
              <w:pStyle w:val="SingleTxt"/>
              <w:snapToGrid w:val="0"/>
              <w:spacing w:before="20" w:after="40" w:line="210" w:lineRule="exact"/>
              <w:ind w:left="0" w:right="21"/>
              <w:jc w:val="center"/>
              <w:rPr>
                <w:sz w:val="18"/>
                <w:szCs w:val="18"/>
                <w:lang w:val="es-ES_tradnl"/>
              </w:rPr>
            </w:pPr>
            <w:r w:rsidRPr="00616BD9">
              <w:rPr>
                <w:sz w:val="18"/>
                <w:szCs w:val="18"/>
                <w:lang w:val="es-ES_tradnl"/>
              </w:rPr>
              <w:t>Otro</w:t>
            </w:r>
          </w:p>
        </w:tc>
        <w:tc>
          <w:tcPr>
            <w:tcW w:w="3420" w:type="dxa"/>
            <w:vAlign w:val="center"/>
          </w:tcPr>
          <w:p w14:paraId="657509D2" w14:textId="75B0AAA7" w:rsidR="00CE0811" w:rsidRPr="00616BD9" w:rsidRDefault="00CE0811" w:rsidP="00902A56">
            <w:pPr>
              <w:pStyle w:val="SingleTxt"/>
              <w:snapToGrid w:val="0"/>
              <w:spacing w:before="20" w:after="40" w:line="210" w:lineRule="exact"/>
              <w:ind w:left="0" w:right="170"/>
              <w:jc w:val="center"/>
              <w:rPr>
                <w:sz w:val="18"/>
                <w:szCs w:val="18"/>
                <w:lang w:val="es-ES_tradnl"/>
              </w:rPr>
            </w:pPr>
            <w:r w:rsidRPr="00616BD9">
              <w:rPr>
                <w:sz w:val="18"/>
                <w:szCs w:val="18"/>
                <w:lang w:val="es-ES_tradnl"/>
              </w:rPr>
              <w:t>$ 31,993</w:t>
            </w:r>
          </w:p>
        </w:tc>
      </w:tr>
      <w:tr w:rsidR="006B5CBD" w:rsidRPr="00616BD9" w14:paraId="067FBB77" w14:textId="77777777" w:rsidTr="005F1DE8">
        <w:tc>
          <w:tcPr>
            <w:tcW w:w="4563" w:type="dxa"/>
            <w:gridSpan w:val="2"/>
            <w:shd w:val="pct10" w:color="auto" w:fill="auto"/>
            <w:vAlign w:val="center"/>
          </w:tcPr>
          <w:p w14:paraId="57CF6541" w14:textId="21082B91" w:rsidR="006B5CBD" w:rsidRPr="00616BD9" w:rsidRDefault="006B5CBD" w:rsidP="00902A56">
            <w:pPr>
              <w:pStyle w:val="SingleTxt"/>
              <w:snapToGrid w:val="0"/>
              <w:spacing w:before="20" w:after="40" w:line="210" w:lineRule="exact"/>
              <w:ind w:left="0" w:right="21"/>
              <w:jc w:val="center"/>
              <w:rPr>
                <w:b/>
                <w:bCs/>
                <w:sz w:val="18"/>
                <w:szCs w:val="18"/>
                <w:lang w:val="es-ES_tradnl"/>
              </w:rPr>
            </w:pPr>
            <w:r w:rsidRPr="00616BD9">
              <w:rPr>
                <w:b/>
                <w:bCs/>
                <w:sz w:val="18"/>
                <w:szCs w:val="18"/>
                <w:lang w:val="es-ES_tradnl"/>
              </w:rPr>
              <w:t>Total</w:t>
            </w:r>
          </w:p>
        </w:tc>
        <w:tc>
          <w:tcPr>
            <w:tcW w:w="3420" w:type="dxa"/>
            <w:vAlign w:val="center"/>
          </w:tcPr>
          <w:p w14:paraId="39A83ED8" w14:textId="24C35FF7" w:rsidR="006B5CBD" w:rsidRPr="00616BD9" w:rsidRDefault="006B5CBD" w:rsidP="00902A56">
            <w:pPr>
              <w:pStyle w:val="SingleTxt"/>
              <w:snapToGrid w:val="0"/>
              <w:spacing w:before="20" w:after="40" w:line="210" w:lineRule="exact"/>
              <w:ind w:left="0" w:right="170"/>
              <w:jc w:val="center"/>
              <w:rPr>
                <w:b/>
                <w:bCs/>
                <w:sz w:val="18"/>
                <w:szCs w:val="18"/>
                <w:lang w:val="es-ES_tradnl"/>
              </w:rPr>
            </w:pPr>
            <w:r w:rsidRPr="00616BD9">
              <w:rPr>
                <w:b/>
                <w:bCs/>
                <w:sz w:val="18"/>
                <w:szCs w:val="18"/>
                <w:lang w:val="es-ES_tradnl"/>
              </w:rPr>
              <w:t>$ 1,211,393 to $ 1,419,487</w:t>
            </w:r>
          </w:p>
        </w:tc>
      </w:tr>
    </w:tbl>
    <w:p w14:paraId="1D6F4C3C" w14:textId="77777777" w:rsidR="0016254C" w:rsidRPr="00616BD9" w:rsidRDefault="0016254C" w:rsidP="00902A56">
      <w:pPr>
        <w:pStyle w:val="HCh"/>
        <w:keepNext w:val="0"/>
        <w:keepLines w:val="0"/>
        <w:ind w:left="1267" w:right="1260" w:hanging="1267"/>
        <w:rPr>
          <w:lang w:val="es-ES_tradnl"/>
        </w:rPr>
      </w:pPr>
    </w:p>
    <w:p w14:paraId="6E237B8D" w14:textId="659D9D7F" w:rsidR="00A3665D" w:rsidRPr="00616BD9" w:rsidRDefault="00A3665D" w:rsidP="00902A56">
      <w:pPr>
        <w:pStyle w:val="HCh"/>
        <w:keepNext w:val="0"/>
        <w:keepLines w:val="0"/>
        <w:ind w:left="1267" w:right="1260" w:hanging="1267"/>
        <w:rPr>
          <w:lang w:val="es-ES_tradnl"/>
        </w:rPr>
      </w:pPr>
      <w:r w:rsidRPr="00616BD9">
        <w:rPr>
          <w:lang w:val="es-ES_tradnl"/>
        </w:rPr>
        <w:tab/>
      </w:r>
      <w:bookmarkStart w:id="12" w:name="_Toc39607761"/>
      <w:r w:rsidR="00902A56" w:rsidRPr="00616BD9">
        <w:rPr>
          <w:lang w:val="es-ES_tradnl"/>
        </w:rPr>
        <w:t>IV</w:t>
      </w:r>
      <w:r w:rsidRPr="00616BD9">
        <w:rPr>
          <w:lang w:val="es-ES_tradnl"/>
        </w:rPr>
        <w:t>.</w:t>
      </w:r>
      <w:r w:rsidRPr="00616BD9">
        <w:rPr>
          <w:lang w:val="es-ES_tradnl"/>
        </w:rPr>
        <w:tab/>
      </w:r>
      <w:bookmarkEnd w:id="12"/>
      <w:r w:rsidR="00861D99" w:rsidRPr="00616BD9">
        <w:rPr>
          <w:lang w:val="es-ES_tradnl"/>
        </w:rPr>
        <w:t>Observaciones finales</w:t>
      </w:r>
    </w:p>
    <w:p w14:paraId="65F92157" w14:textId="2180FCB2" w:rsidR="00EC09A6" w:rsidRPr="00616BD9" w:rsidRDefault="00EC09A6" w:rsidP="00902A56">
      <w:pPr>
        <w:pStyle w:val="SingleTxt"/>
        <w:spacing w:after="0" w:line="120" w:lineRule="atLeast"/>
        <w:rPr>
          <w:sz w:val="10"/>
          <w:lang w:val="es-ES_tradnl"/>
        </w:rPr>
      </w:pPr>
    </w:p>
    <w:p w14:paraId="6D7318F2" w14:textId="37E5D420" w:rsidR="000A2221" w:rsidRPr="00616BD9" w:rsidRDefault="00EB5993" w:rsidP="006E621B">
      <w:pPr>
        <w:pStyle w:val="ListParagraph"/>
        <w:keepNext/>
        <w:keepLines/>
        <w:numPr>
          <w:ilvl w:val="0"/>
          <w:numId w:val="1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567" w:right="1267" w:firstLine="0"/>
        <w:jc w:val="both"/>
        <w:rPr>
          <w:lang w:val="es-ES_tradnl"/>
        </w:rPr>
      </w:pPr>
      <w:r w:rsidRPr="00616BD9">
        <w:rPr>
          <w:lang w:val="es-ES_tradnl"/>
        </w:rPr>
        <w:t xml:space="preserve">Como se señaló en la introducción, el objetivo de la presente nota es proporcionar a la Comisión información sobre los recursos que serían necesarios para ejecutar el programa de trabajo de la Comisión sobre la reforma de SCIE. </w:t>
      </w:r>
      <w:r w:rsidR="00145312" w:rsidRPr="00616BD9">
        <w:rPr>
          <w:lang w:val="es-ES_tradnl"/>
        </w:rPr>
        <w:t>Tras</w:t>
      </w:r>
      <w:r w:rsidRPr="00616BD9">
        <w:rPr>
          <w:lang w:val="es-ES_tradnl"/>
        </w:rPr>
        <w:t xml:space="preserve"> evaluar </w:t>
      </w:r>
      <w:r w:rsidR="00752137" w:rsidRPr="00616BD9">
        <w:rPr>
          <w:lang w:val="es-ES_tradnl"/>
        </w:rPr>
        <w:t xml:space="preserve">el </w:t>
      </w:r>
      <w:r w:rsidR="00B707B6" w:rsidRPr="00616BD9">
        <w:rPr>
          <w:lang w:val="es-ES_tradnl"/>
        </w:rPr>
        <w:t>plan</w:t>
      </w:r>
      <w:r w:rsidR="00752137" w:rsidRPr="00616BD9">
        <w:rPr>
          <w:lang w:val="es-ES_tradnl"/>
        </w:rPr>
        <w:t xml:space="preserve">, tal vez se desee </w:t>
      </w:r>
      <w:r w:rsidR="003F6F31" w:rsidRPr="00616BD9">
        <w:rPr>
          <w:lang w:val="es-ES_tradnl"/>
        </w:rPr>
        <w:t xml:space="preserve">considerar si se solicitará a la Comisión recomendar a la Asamblea General </w:t>
      </w:r>
      <w:r w:rsidRPr="00616BD9">
        <w:rPr>
          <w:lang w:val="es-ES_tradnl"/>
        </w:rPr>
        <w:t>la asignación a la CNUDMI recursos adicionales para servicios de conferencias y servicios de apoyo a</w:t>
      </w:r>
      <w:r w:rsidR="00520353" w:rsidRPr="00616BD9">
        <w:rPr>
          <w:lang w:val="es-ES_tradnl"/>
        </w:rPr>
        <w:t xml:space="preserve"> la Secretaría para</w:t>
      </w:r>
      <w:r w:rsidRPr="00616BD9">
        <w:rPr>
          <w:lang w:val="es-ES_tradnl"/>
        </w:rPr>
        <w:t xml:space="preserve"> avanzar y concluir el Proyecto de SCIE </w:t>
      </w:r>
      <w:r w:rsidR="00C97A56" w:rsidRPr="00616BD9">
        <w:rPr>
          <w:lang w:val="es-ES_tradnl"/>
        </w:rPr>
        <w:t xml:space="preserve">en un período de 3 años. </w:t>
      </w:r>
      <w:r w:rsidR="00B55F00" w:rsidRPr="00616BD9">
        <w:rPr>
          <w:lang w:val="es-ES_tradnl"/>
        </w:rPr>
        <w:t xml:space="preserve">Teniendo en cuenta la situación presupuestaria de las Naciones Unidas, será difícil obtener recursos adicionales del presupuesto ordinario cuando el presupuesto general se esté sometiendo a un escrutinio riguroso (A / CN.9 / 970, párr. 49). Por lo tanto, sería importante que el Grupo de Trabajo y la Comisión señalen la importancia de las reformas </w:t>
      </w:r>
      <w:r w:rsidR="00797DEB" w:rsidRPr="00616BD9">
        <w:rPr>
          <w:lang w:val="es-ES_tradnl"/>
        </w:rPr>
        <w:t>del SCIE</w:t>
      </w:r>
      <w:r w:rsidR="00B55F00" w:rsidRPr="00616BD9">
        <w:rPr>
          <w:lang w:val="es-ES_tradnl"/>
        </w:rPr>
        <w:t xml:space="preserve"> y la necesidad de obtener resultados dentro del plazo establecido en su recomendación a la Asamblea General.</w:t>
      </w:r>
    </w:p>
    <w:p w14:paraId="45B4411E" w14:textId="159E1AB4" w:rsidR="00EB5993" w:rsidRPr="00616BD9" w:rsidRDefault="00902A56" w:rsidP="004A60B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es-ES_tradnl"/>
        </w:rPr>
      </w:pPr>
      <w:r w:rsidRPr="00616BD9">
        <w:rPr>
          <w:noProof/>
          <w:lang w:val="es-ES_tradnl" w:eastAsia="en-CA"/>
        </w:rPr>
        <mc:AlternateContent>
          <mc:Choice Requires="wps">
            <w:drawing>
              <wp:anchor distT="0" distB="0" distL="114300" distR="114300" simplePos="0" relativeHeight="251659264" behindDoc="0" locked="0" layoutInCell="1" allowOverlap="1" wp14:anchorId="3F3924F3" wp14:editId="012DC7C5">
                <wp:simplePos x="0" y="0"/>
                <wp:positionH relativeFrom="column">
                  <wp:posOffset>2793365</wp:posOffset>
                </wp:positionH>
                <wp:positionV relativeFrom="paragraph">
                  <wp:posOffset>1975485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7C4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95pt,155.55pt" to="291.9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" strokecolor="#010000" strokeweight=".25pt"/>
            </w:pict>
          </mc:Fallback>
        </mc:AlternateContent>
      </w:r>
    </w:p>
    <w:sectPr w:rsidR="00EB5993" w:rsidRPr="00616BD9" w:rsidSect="006F67F9">
      <w:endnotePr>
        <w:numFmt w:val="decimal"/>
      </w:endnotePr>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7BD69" w14:textId="77777777" w:rsidR="008012F2" w:rsidRDefault="008012F2" w:rsidP="00556720">
      <w:r>
        <w:separator/>
      </w:r>
    </w:p>
  </w:endnote>
  <w:endnote w:type="continuationSeparator" w:id="0">
    <w:p w14:paraId="02395555" w14:textId="77777777" w:rsidR="008012F2" w:rsidRDefault="008012F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0C2D5C" w14:paraId="5FE60056" w14:textId="77777777" w:rsidTr="00252269">
      <w:trPr>
        <w:jc w:val="center"/>
      </w:trPr>
      <w:tc>
        <w:tcPr>
          <w:tcW w:w="4922" w:type="dxa"/>
          <w:shd w:val="clear" w:color="auto" w:fill="auto"/>
        </w:tcPr>
        <w:p w14:paraId="76ACD351" w14:textId="3F470F37" w:rsidR="000C2D5C" w:rsidRPr="00252269" w:rsidRDefault="000C2D5C" w:rsidP="00252269">
          <w:pPr>
            <w:pStyle w:val="Footer"/>
            <w:jc w:val="right"/>
            <w:rPr>
              <w:b w:val="0"/>
              <w:w w:val="103"/>
              <w:sz w:val="14"/>
            </w:rPr>
          </w:pPr>
        </w:p>
      </w:tc>
      <w:tc>
        <w:tcPr>
          <w:tcW w:w="4923" w:type="dxa"/>
          <w:shd w:val="clear" w:color="auto" w:fill="auto"/>
        </w:tcPr>
        <w:p w14:paraId="5F33C3A8" w14:textId="737097EC" w:rsidR="000C2D5C" w:rsidRPr="00252269" w:rsidRDefault="000C2D5C" w:rsidP="00252269">
          <w:pPr>
            <w:pStyle w:val="Footer"/>
            <w:rPr>
              <w:w w:val="103"/>
            </w:rPr>
          </w:pPr>
          <w:r>
            <w:rPr>
              <w:w w:val="103"/>
            </w:rPr>
            <w:fldChar w:fldCharType="begin"/>
          </w:r>
          <w:r>
            <w:rPr>
              <w:w w:val="103"/>
            </w:rPr>
            <w:instrText xml:space="preserve"> PAGE  \* Arabic  \* MERGEFORMAT </w:instrText>
          </w:r>
          <w:r>
            <w:rPr>
              <w:w w:val="103"/>
            </w:rPr>
            <w:fldChar w:fldCharType="separate"/>
          </w:r>
          <w:r w:rsidR="00B92CC5">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CC5">
            <w:rPr>
              <w:w w:val="103"/>
            </w:rPr>
            <w:t>10</w:t>
          </w:r>
          <w:r>
            <w:rPr>
              <w:w w:val="103"/>
            </w:rPr>
            <w:fldChar w:fldCharType="end"/>
          </w:r>
        </w:p>
      </w:tc>
    </w:tr>
  </w:tbl>
  <w:p w14:paraId="15A7CA32" w14:textId="77777777" w:rsidR="000C2D5C" w:rsidRPr="00252269" w:rsidRDefault="000C2D5C" w:rsidP="0025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0C2D5C" w14:paraId="786C596A" w14:textId="77777777" w:rsidTr="00252269">
      <w:trPr>
        <w:jc w:val="center"/>
      </w:trPr>
      <w:tc>
        <w:tcPr>
          <w:tcW w:w="4922" w:type="dxa"/>
          <w:shd w:val="clear" w:color="auto" w:fill="auto"/>
        </w:tcPr>
        <w:p w14:paraId="0AEDE63B" w14:textId="6A6F4ED3" w:rsidR="000C2D5C" w:rsidRPr="00252269" w:rsidRDefault="000C2D5C" w:rsidP="002522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2CC5">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CC5">
            <w:rPr>
              <w:w w:val="103"/>
            </w:rPr>
            <w:t>10</w:t>
          </w:r>
          <w:r>
            <w:rPr>
              <w:w w:val="103"/>
            </w:rPr>
            <w:fldChar w:fldCharType="end"/>
          </w:r>
        </w:p>
      </w:tc>
      <w:tc>
        <w:tcPr>
          <w:tcW w:w="4923" w:type="dxa"/>
          <w:shd w:val="clear" w:color="auto" w:fill="auto"/>
        </w:tcPr>
        <w:p w14:paraId="63A6287E" w14:textId="711BB132" w:rsidR="000C2D5C" w:rsidRPr="00252269" w:rsidRDefault="000C2D5C" w:rsidP="002522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end"/>
          </w:r>
        </w:p>
      </w:tc>
    </w:tr>
  </w:tbl>
  <w:p w14:paraId="6FAF2A12" w14:textId="77777777" w:rsidR="000C2D5C" w:rsidRPr="00252269" w:rsidRDefault="000C2D5C" w:rsidP="0025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FDC4" w14:textId="77777777" w:rsidR="008012F2" w:rsidRPr="0063595F" w:rsidRDefault="008012F2" w:rsidP="0063595F">
      <w:pPr>
        <w:pStyle w:val="Footer"/>
        <w:spacing w:after="80"/>
        <w:ind w:left="792"/>
        <w:rPr>
          <w:sz w:val="16"/>
        </w:rPr>
      </w:pPr>
      <w:r w:rsidRPr="0063595F">
        <w:rPr>
          <w:sz w:val="16"/>
        </w:rPr>
        <w:t>__________________</w:t>
      </w:r>
    </w:p>
  </w:footnote>
  <w:footnote w:type="continuationSeparator" w:id="0">
    <w:p w14:paraId="48B1CBAB" w14:textId="77777777" w:rsidR="008012F2" w:rsidRPr="0063595F" w:rsidRDefault="008012F2" w:rsidP="0063595F">
      <w:pPr>
        <w:pStyle w:val="Footer"/>
        <w:spacing w:after="80"/>
        <w:ind w:left="792"/>
        <w:rPr>
          <w:sz w:val="16"/>
        </w:rPr>
      </w:pPr>
      <w:r w:rsidRPr="0063595F">
        <w:rPr>
          <w:sz w:val="16"/>
        </w:rPr>
        <w:t>__________________</w:t>
      </w:r>
    </w:p>
  </w:footnote>
  <w:footnote w:id="1">
    <w:p w14:paraId="16B2EB87" w14:textId="5C8BE04A" w:rsidR="000C2D5C" w:rsidRPr="00616BD9" w:rsidRDefault="000C2D5C" w:rsidP="0051286B">
      <w:pPr>
        <w:pStyle w:val="FootnoteText"/>
        <w:widowControl/>
        <w:tabs>
          <w:tab w:val="clear" w:pos="418"/>
          <w:tab w:val="left" w:pos="567"/>
          <w:tab w:val="left" w:pos="1742"/>
          <w:tab w:val="left" w:pos="2218"/>
          <w:tab w:val="left" w:pos="2693"/>
        </w:tabs>
        <w:ind w:left="567" w:right="1259" w:firstLine="0"/>
        <w:jc w:val="both"/>
        <w:rPr>
          <w:szCs w:val="17"/>
          <w:lang w:val="es-ES"/>
        </w:rPr>
      </w:pPr>
      <w:r w:rsidRPr="00616BD9">
        <w:rPr>
          <w:rStyle w:val="FootnoteReference"/>
          <w:szCs w:val="17"/>
        </w:rPr>
        <w:footnoteRef/>
      </w:r>
      <w:r w:rsidR="00C4472B" w:rsidRPr="00616BD9">
        <w:rPr>
          <w:i/>
          <w:iCs/>
          <w:szCs w:val="17"/>
          <w:lang w:val="es-ES"/>
        </w:rPr>
        <w:t>Documentos Oficiales de la Asamblea General</w:t>
      </w:r>
      <w:r w:rsidRPr="00616BD9">
        <w:rPr>
          <w:i/>
          <w:iCs/>
          <w:szCs w:val="17"/>
          <w:lang w:val="es-ES"/>
        </w:rPr>
        <w:t xml:space="preserve">, </w:t>
      </w:r>
      <w:r w:rsidR="006B60B1" w:rsidRPr="00616BD9">
        <w:rPr>
          <w:i/>
          <w:iCs/>
          <w:szCs w:val="17"/>
          <w:lang w:val="es-ES"/>
        </w:rPr>
        <w:t>Septuagésimo quinto</w:t>
      </w:r>
      <w:r w:rsidR="00F6608F" w:rsidRPr="00616BD9">
        <w:rPr>
          <w:i/>
          <w:iCs/>
          <w:szCs w:val="17"/>
          <w:lang w:val="es-ES"/>
        </w:rPr>
        <w:t xml:space="preserve"> período de sesiones</w:t>
      </w:r>
      <w:r w:rsidRPr="00616BD9">
        <w:rPr>
          <w:i/>
          <w:iCs/>
          <w:szCs w:val="17"/>
          <w:lang w:val="es-ES"/>
        </w:rPr>
        <w:t>, Su</w:t>
      </w:r>
      <w:r w:rsidR="00F6608F" w:rsidRPr="00616BD9">
        <w:rPr>
          <w:i/>
          <w:iCs/>
          <w:szCs w:val="17"/>
          <w:lang w:val="es-ES"/>
        </w:rPr>
        <w:t>plemento</w:t>
      </w:r>
      <w:r w:rsidRPr="00616BD9">
        <w:rPr>
          <w:i/>
          <w:iCs/>
          <w:szCs w:val="17"/>
          <w:lang w:val="es-ES"/>
        </w:rPr>
        <w:t xml:space="preserve"> No. 17</w:t>
      </w:r>
      <w:r w:rsidRPr="00616BD9">
        <w:rPr>
          <w:szCs w:val="17"/>
          <w:lang w:val="es-ES"/>
        </w:rPr>
        <w:t xml:space="preserve"> (A/75/17), paras. 102-118.</w:t>
      </w:r>
    </w:p>
  </w:footnote>
  <w:footnote w:id="2">
    <w:p w14:paraId="5099A3BF" w14:textId="7D8AF581" w:rsidR="000C2D5C" w:rsidRPr="00616BD9" w:rsidRDefault="000C2D5C" w:rsidP="00E53954">
      <w:pPr>
        <w:pStyle w:val="FootnoteText"/>
        <w:widowControl/>
        <w:tabs>
          <w:tab w:val="clear" w:pos="418"/>
          <w:tab w:val="right" w:pos="1195"/>
          <w:tab w:val="left" w:pos="1267"/>
          <w:tab w:val="left" w:pos="1742"/>
          <w:tab w:val="left" w:pos="2218"/>
          <w:tab w:val="left" w:pos="2693"/>
        </w:tabs>
        <w:ind w:right="1259" w:firstLine="65"/>
        <w:jc w:val="both"/>
        <w:rPr>
          <w:szCs w:val="17"/>
          <w:lang w:val="es-ES"/>
        </w:rPr>
      </w:pPr>
      <w:r w:rsidRPr="00616BD9">
        <w:rPr>
          <w:rStyle w:val="FootnoteReference"/>
          <w:szCs w:val="17"/>
        </w:rPr>
        <w:footnoteRef/>
      </w:r>
      <w:r w:rsidRPr="00616BD9">
        <w:rPr>
          <w:i/>
          <w:iCs/>
          <w:szCs w:val="17"/>
          <w:lang w:val="es-ES"/>
        </w:rPr>
        <w:tab/>
        <w:t>Ibid.,</w:t>
      </w:r>
      <w:r w:rsidRPr="00616BD9">
        <w:rPr>
          <w:szCs w:val="17"/>
          <w:lang w:val="es-ES"/>
        </w:rPr>
        <w:t xml:space="preserve"> para. 119.</w:t>
      </w:r>
    </w:p>
  </w:footnote>
  <w:footnote w:id="3">
    <w:p w14:paraId="230030A2" w14:textId="34416F66" w:rsidR="000C2D5C" w:rsidRPr="00616BD9" w:rsidRDefault="000C2D5C" w:rsidP="00F6608F">
      <w:pPr>
        <w:pStyle w:val="SingleTxt"/>
        <w:tabs>
          <w:tab w:val="clear" w:pos="1267"/>
          <w:tab w:val="clear" w:pos="3182"/>
          <w:tab w:val="clear" w:pos="3658"/>
          <w:tab w:val="clear" w:pos="4133"/>
          <w:tab w:val="clear" w:pos="4622"/>
          <w:tab w:val="clear" w:pos="5098"/>
          <w:tab w:val="clear" w:pos="5573"/>
          <w:tab w:val="clear" w:pos="6048"/>
          <w:tab w:val="left" w:pos="567"/>
        </w:tabs>
        <w:snapToGrid w:val="0"/>
        <w:spacing w:after="0" w:line="210" w:lineRule="exact"/>
        <w:ind w:left="567" w:right="1259"/>
        <w:rPr>
          <w:spacing w:val="5"/>
          <w:sz w:val="17"/>
          <w:szCs w:val="17"/>
          <w:lang w:val="es-ES"/>
        </w:rPr>
      </w:pPr>
      <w:r w:rsidRPr="00616BD9">
        <w:rPr>
          <w:rStyle w:val="FootnoteReference"/>
          <w:sz w:val="17"/>
          <w:szCs w:val="17"/>
        </w:rPr>
        <w:footnoteRef/>
      </w:r>
      <w:r w:rsidR="00655C0A" w:rsidRPr="00616BD9">
        <w:rPr>
          <w:spacing w:val="5"/>
          <w:sz w:val="17"/>
          <w:szCs w:val="17"/>
          <w:lang w:val="es-ES"/>
        </w:rPr>
        <w:t>Conforme al patrón actual de reuniones, el Grupo de Trabajo III se reúne dos veces al año en sesión de una semana de duración, con cuatro días dedicados a debates sustantivos y un día dedicado a la aprobación del informe. Se espera que el grupo de trabajo celebre deliberaciones sustantivas durante la</w:t>
      </w:r>
      <w:r w:rsidR="00F06771" w:rsidRPr="00616BD9">
        <w:rPr>
          <w:spacing w:val="5"/>
          <w:sz w:val="17"/>
          <w:szCs w:val="17"/>
          <w:lang w:val="es-ES"/>
        </w:rPr>
        <w:t xml:space="preserve"> mañana de las</w:t>
      </w:r>
      <w:r w:rsidR="00655C0A" w:rsidRPr="00616BD9">
        <w:rPr>
          <w:spacing w:val="5"/>
          <w:sz w:val="17"/>
          <w:szCs w:val="17"/>
          <w:lang w:val="es-ES"/>
        </w:rPr>
        <w:t xml:space="preserve"> primeras nueve reuniones (es decir, de lunes a viernes por la mañana)</w:t>
      </w:r>
      <w:r w:rsidR="009E54BE" w:rsidRPr="00616BD9">
        <w:rPr>
          <w:spacing w:val="5"/>
          <w:sz w:val="17"/>
          <w:szCs w:val="17"/>
          <w:lang w:val="es-ES"/>
        </w:rPr>
        <w:t>.</w:t>
      </w:r>
      <w:r w:rsidR="00522BA8" w:rsidRPr="00616BD9">
        <w:rPr>
          <w:spacing w:val="5"/>
          <w:sz w:val="17"/>
          <w:szCs w:val="17"/>
          <w:lang w:val="es-ES"/>
        </w:rPr>
        <w:t xml:space="preserve">y la preparación del </w:t>
      </w:r>
      <w:r w:rsidR="00650106" w:rsidRPr="00616BD9">
        <w:rPr>
          <w:spacing w:val="5"/>
          <w:sz w:val="17"/>
          <w:szCs w:val="17"/>
          <w:lang w:val="es-ES"/>
        </w:rPr>
        <w:t>proyecto de informe de to</w:t>
      </w:r>
      <w:r w:rsidR="003D4C45" w:rsidRPr="00616BD9">
        <w:rPr>
          <w:spacing w:val="5"/>
          <w:sz w:val="17"/>
          <w:szCs w:val="17"/>
          <w:lang w:val="es-ES"/>
        </w:rPr>
        <w:t>do el período</w:t>
      </w:r>
      <w:r w:rsidR="00650106" w:rsidRPr="00616BD9">
        <w:rPr>
          <w:spacing w:val="5"/>
          <w:sz w:val="17"/>
          <w:szCs w:val="17"/>
          <w:lang w:val="es-ES"/>
        </w:rPr>
        <w:t xml:space="preserve">, </w:t>
      </w:r>
      <w:r w:rsidR="003D4C45" w:rsidRPr="00616BD9">
        <w:rPr>
          <w:spacing w:val="5"/>
          <w:sz w:val="17"/>
          <w:szCs w:val="17"/>
          <w:lang w:val="es-ES"/>
        </w:rPr>
        <w:t>preparado</w:t>
      </w:r>
      <w:r w:rsidR="00650106" w:rsidRPr="00616BD9">
        <w:rPr>
          <w:spacing w:val="5"/>
          <w:sz w:val="17"/>
          <w:szCs w:val="17"/>
          <w:lang w:val="es-ES"/>
        </w:rPr>
        <w:t xml:space="preserve"> por la Secretaría</w:t>
      </w:r>
      <w:r w:rsidR="003D4C45" w:rsidRPr="00616BD9">
        <w:rPr>
          <w:spacing w:val="5"/>
          <w:sz w:val="17"/>
          <w:szCs w:val="17"/>
          <w:lang w:val="es-ES"/>
        </w:rPr>
        <w:t xml:space="preserve"> y</w:t>
      </w:r>
      <w:r w:rsidR="00C76623" w:rsidRPr="00616BD9">
        <w:rPr>
          <w:spacing w:val="5"/>
          <w:sz w:val="17"/>
          <w:szCs w:val="17"/>
          <w:lang w:val="es-ES"/>
        </w:rPr>
        <w:t xml:space="preserve"> presentado a</w:t>
      </w:r>
      <w:r w:rsidR="00655C0A" w:rsidRPr="00616BD9">
        <w:rPr>
          <w:spacing w:val="5"/>
          <w:sz w:val="17"/>
          <w:szCs w:val="17"/>
          <w:lang w:val="es-ES"/>
        </w:rPr>
        <w:t xml:space="preserve"> aprobación en la décima y última reunión del Grupo de trabajo (viernes por la tarde)</w:t>
      </w:r>
      <w:r w:rsidR="00B105FD" w:rsidRPr="00616BD9">
        <w:rPr>
          <w:spacing w:val="5"/>
          <w:sz w:val="17"/>
          <w:szCs w:val="17"/>
          <w:lang w:val="es-ES"/>
        </w:rPr>
        <w:t>.</w:t>
      </w:r>
      <w:r w:rsidRPr="00616BD9">
        <w:rPr>
          <w:spacing w:val="5"/>
          <w:sz w:val="17"/>
          <w:szCs w:val="17"/>
          <w:lang w:val="es-ES"/>
        </w:rPr>
        <w:t>(</w:t>
      </w:r>
      <w:r w:rsidR="00C6064F" w:rsidRPr="00616BD9">
        <w:rPr>
          <w:spacing w:val="5"/>
          <w:sz w:val="17"/>
          <w:szCs w:val="17"/>
          <w:lang w:val="es-ES"/>
        </w:rPr>
        <w:t>Ver</w:t>
      </w:r>
      <w:r w:rsidRPr="00616BD9">
        <w:rPr>
          <w:i/>
          <w:iCs/>
          <w:spacing w:val="5"/>
          <w:sz w:val="17"/>
          <w:szCs w:val="17"/>
          <w:lang w:val="es-ES"/>
        </w:rPr>
        <w:t xml:space="preserve"> </w:t>
      </w:r>
      <w:r w:rsidR="00C6064F" w:rsidRPr="00616BD9">
        <w:rPr>
          <w:i/>
          <w:iCs/>
          <w:spacing w:val="5"/>
          <w:sz w:val="17"/>
          <w:szCs w:val="17"/>
          <w:lang w:val="es-ES"/>
        </w:rPr>
        <w:t>Documentos Oficiales de la Asamblea General</w:t>
      </w:r>
      <w:r w:rsidRPr="00616BD9">
        <w:rPr>
          <w:i/>
          <w:iCs/>
          <w:spacing w:val="5"/>
          <w:sz w:val="17"/>
          <w:szCs w:val="17"/>
          <w:lang w:val="es-ES"/>
        </w:rPr>
        <w:t xml:space="preserve">, </w:t>
      </w:r>
      <w:r w:rsidR="00C6064F" w:rsidRPr="00616BD9">
        <w:rPr>
          <w:i/>
          <w:spacing w:val="5"/>
          <w:sz w:val="17"/>
          <w:szCs w:val="17"/>
          <w:lang w:val="es-ES"/>
        </w:rPr>
        <w:t>Suplemento</w:t>
      </w:r>
      <w:r w:rsidRPr="00616BD9">
        <w:rPr>
          <w:i/>
          <w:spacing w:val="5"/>
          <w:sz w:val="17"/>
          <w:szCs w:val="17"/>
          <w:lang w:val="es-ES"/>
        </w:rPr>
        <w:t xml:space="preserve"> No. 17</w:t>
      </w:r>
      <w:r w:rsidRPr="00616BD9">
        <w:rPr>
          <w:spacing w:val="5"/>
          <w:sz w:val="17"/>
          <w:szCs w:val="17"/>
          <w:lang w:val="es-ES"/>
        </w:rPr>
        <w:t xml:space="preserve"> </w:t>
      </w:r>
      <w:r w:rsidR="00C6064F" w:rsidRPr="00616BD9">
        <w:rPr>
          <w:spacing w:val="5"/>
          <w:sz w:val="17"/>
          <w:szCs w:val="17"/>
          <w:lang w:val="es-ES"/>
        </w:rPr>
        <w:t>y</w:t>
      </w:r>
      <w:r w:rsidRPr="00616BD9">
        <w:rPr>
          <w:spacing w:val="5"/>
          <w:sz w:val="17"/>
          <w:szCs w:val="17"/>
          <w:lang w:val="es-ES"/>
        </w:rPr>
        <w:t xml:space="preserve"> </w:t>
      </w:r>
      <w:proofErr w:type="spellStart"/>
      <w:r w:rsidRPr="00616BD9">
        <w:rPr>
          <w:spacing w:val="5"/>
          <w:sz w:val="17"/>
          <w:szCs w:val="17"/>
          <w:lang w:val="es-ES"/>
        </w:rPr>
        <w:t>corrigendum</w:t>
      </w:r>
      <w:proofErr w:type="spellEnd"/>
      <w:r w:rsidRPr="00616BD9">
        <w:rPr>
          <w:spacing w:val="5"/>
          <w:sz w:val="17"/>
          <w:szCs w:val="17"/>
          <w:lang w:val="es-ES"/>
        </w:rPr>
        <w:t xml:space="preserve"> (</w:t>
      </w:r>
      <w:hyperlink r:id="rId1" w:history="1">
        <w:r w:rsidRPr="00616BD9">
          <w:rPr>
            <w:rStyle w:val="Hyperlink"/>
            <w:spacing w:val="5"/>
            <w:sz w:val="17"/>
            <w:szCs w:val="17"/>
            <w:lang w:val="es-ES"/>
          </w:rPr>
          <w:t>A/56/17</w:t>
        </w:r>
      </w:hyperlink>
      <w:r w:rsidRPr="00616BD9">
        <w:rPr>
          <w:spacing w:val="5"/>
          <w:sz w:val="17"/>
          <w:szCs w:val="17"/>
          <w:lang w:val="es-ES"/>
        </w:rPr>
        <w:t xml:space="preserve">), para. 381). </w:t>
      </w:r>
      <w:r w:rsidR="00D06BA3" w:rsidRPr="00616BD9">
        <w:rPr>
          <w:spacing w:val="5"/>
          <w:sz w:val="17"/>
          <w:szCs w:val="17"/>
          <w:lang w:val="es-ES"/>
        </w:rPr>
        <w:t>Sin embargo, teniendo en cuenta el tiempo necesario para aprobar los informes del Grupo de trabajo III, la práctica ha sido que se dedicara un día completo a ese fin.</w:t>
      </w:r>
    </w:p>
  </w:footnote>
  <w:footnote w:id="4">
    <w:p w14:paraId="041B1889" w14:textId="208BC57F" w:rsidR="00B965A6" w:rsidRPr="00616BD9" w:rsidRDefault="00B965A6">
      <w:pPr>
        <w:pStyle w:val="FootnoteText"/>
        <w:rPr>
          <w:lang w:val="es-ES"/>
        </w:rPr>
      </w:pPr>
      <w:r w:rsidRPr="00616BD9">
        <w:rPr>
          <w:rStyle w:val="FootnoteReference"/>
        </w:rPr>
        <w:footnoteRef/>
      </w:r>
      <w:r w:rsidRPr="00616BD9">
        <w:rPr>
          <w:lang w:val="es-ES"/>
        </w:rPr>
        <w:t xml:space="preserve"> Resolución de la Asamblea General </w:t>
      </w:r>
      <w:hyperlink r:id="rId2" w:history="1">
        <w:r w:rsidR="00E324C9" w:rsidRPr="00616BD9">
          <w:rPr>
            <w:rStyle w:val="Hyperlink"/>
            <w:lang w:val="es-ES"/>
          </w:rPr>
          <w:t>61/31</w:t>
        </w:r>
      </w:hyperlink>
      <w:r w:rsidR="00E324C9" w:rsidRPr="00616BD9">
        <w:rPr>
          <w:lang w:val="es-ES"/>
        </w:rPr>
        <w:t xml:space="preserve"> (2006), para.9</w:t>
      </w:r>
    </w:p>
  </w:footnote>
  <w:footnote w:id="5">
    <w:p w14:paraId="12ED0CD0" w14:textId="47ACF089" w:rsidR="000C2D5C" w:rsidRPr="00616BD9" w:rsidRDefault="000C2D5C" w:rsidP="00754BDE">
      <w:pPr>
        <w:pStyle w:val="FootnoteText"/>
        <w:widowControl/>
        <w:tabs>
          <w:tab w:val="clear" w:pos="418"/>
          <w:tab w:val="left" w:pos="567"/>
          <w:tab w:val="left" w:pos="851"/>
          <w:tab w:val="left" w:pos="2218"/>
          <w:tab w:val="left" w:pos="2693"/>
        </w:tabs>
        <w:ind w:left="567" w:right="1259" w:firstLine="0"/>
        <w:jc w:val="both"/>
        <w:rPr>
          <w:szCs w:val="17"/>
          <w:lang w:val="es-ES"/>
        </w:rPr>
      </w:pPr>
      <w:r w:rsidRPr="00616BD9">
        <w:rPr>
          <w:rStyle w:val="FootnoteReference"/>
          <w:szCs w:val="17"/>
        </w:rPr>
        <w:footnoteRef/>
      </w:r>
      <w:r w:rsidR="00FC7D39" w:rsidRPr="00616BD9">
        <w:rPr>
          <w:szCs w:val="17"/>
          <w:lang w:val="es-ES"/>
        </w:rPr>
        <w:t>Las deliberaciones y decisiones del Grupo de Trabajo en sus 34º y 37º período de sesiones se encuentran en</w:t>
      </w:r>
      <w:r w:rsidRPr="00616BD9">
        <w:rPr>
          <w:szCs w:val="17"/>
          <w:lang w:val="es-ES"/>
        </w:rPr>
        <w:t xml:space="preserve"> </w:t>
      </w:r>
      <w:hyperlink r:id="rId3" w:history="1">
        <w:r w:rsidRPr="00616BD9">
          <w:rPr>
            <w:rStyle w:val="Hyperlink"/>
            <w:szCs w:val="17"/>
            <w:lang w:val="es-ES"/>
          </w:rPr>
          <w:t>A/CN.9/930/Rev.1</w:t>
        </w:r>
      </w:hyperlink>
      <w:r w:rsidRPr="00616BD9">
        <w:rPr>
          <w:szCs w:val="17"/>
          <w:lang w:val="es-ES"/>
        </w:rPr>
        <w:t xml:space="preserve">, </w:t>
      </w:r>
      <w:hyperlink r:id="rId4" w:history="1">
        <w:r w:rsidRPr="00616BD9">
          <w:rPr>
            <w:rStyle w:val="Hyperlink"/>
            <w:szCs w:val="17"/>
            <w:lang w:val="es-ES"/>
          </w:rPr>
          <w:t>A/CN.9/930/Rev.1/Add.1</w:t>
        </w:r>
      </w:hyperlink>
      <w:r w:rsidRPr="00616BD9">
        <w:rPr>
          <w:szCs w:val="17"/>
          <w:lang w:val="es-ES"/>
        </w:rPr>
        <w:t xml:space="preserve">; </w:t>
      </w:r>
      <w:hyperlink r:id="rId5" w:history="1">
        <w:r w:rsidRPr="00616BD9">
          <w:rPr>
            <w:rStyle w:val="Hyperlink"/>
            <w:szCs w:val="17"/>
            <w:lang w:val="es-ES"/>
          </w:rPr>
          <w:t>A/CN.9/935</w:t>
        </w:r>
      </w:hyperlink>
      <w:r w:rsidRPr="00616BD9">
        <w:rPr>
          <w:rStyle w:val="Hyperlink"/>
          <w:szCs w:val="17"/>
          <w:lang w:val="es-ES"/>
        </w:rPr>
        <w:t>;</w:t>
      </w:r>
      <w:r w:rsidRPr="00616BD9">
        <w:rPr>
          <w:szCs w:val="17"/>
          <w:lang w:val="es-ES"/>
        </w:rPr>
        <w:t xml:space="preserve"> </w:t>
      </w:r>
      <w:hyperlink r:id="rId6" w:history="1">
        <w:r w:rsidRPr="00616BD9">
          <w:rPr>
            <w:rStyle w:val="Hyperlink"/>
            <w:szCs w:val="17"/>
            <w:lang w:val="es-ES"/>
          </w:rPr>
          <w:t>A/CN.9/964</w:t>
        </w:r>
      </w:hyperlink>
      <w:r w:rsidRPr="00616BD9">
        <w:rPr>
          <w:rStyle w:val="Hyperlink"/>
          <w:color w:val="auto"/>
          <w:szCs w:val="17"/>
          <w:lang w:val="es-ES"/>
        </w:rPr>
        <w:t xml:space="preserve">; </w:t>
      </w:r>
      <w:r w:rsidR="00712368" w:rsidRPr="00616BD9">
        <w:rPr>
          <w:rStyle w:val="Hyperlink"/>
          <w:color w:val="auto"/>
          <w:szCs w:val="17"/>
          <w:lang w:val="es-ES"/>
        </w:rPr>
        <w:t xml:space="preserve">y </w:t>
      </w:r>
      <w:hyperlink r:id="rId7" w:history="1">
        <w:r w:rsidRPr="00616BD9">
          <w:rPr>
            <w:rStyle w:val="Hyperlink"/>
            <w:szCs w:val="17"/>
            <w:lang w:val="es-ES"/>
          </w:rPr>
          <w:t>A/CN.9/970</w:t>
        </w:r>
      </w:hyperlink>
      <w:r w:rsidR="00712368" w:rsidRPr="00616BD9">
        <w:rPr>
          <w:szCs w:val="17"/>
          <w:lang w:val="es-ES"/>
        </w:rPr>
        <w:t xml:space="preserve"> respectivamente</w:t>
      </w:r>
      <w:r w:rsidRPr="00616BD9">
        <w:rPr>
          <w:szCs w:val="17"/>
          <w:lang w:val="es-ES"/>
        </w:rPr>
        <w:t>.</w:t>
      </w:r>
    </w:p>
  </w:footnote>
  <w:footnote w:id="6">
    <w:p w14:paraId="124D2C8D" w14:textId="5094A564" w:rsidR="000C2D5C" w:rsidRPr="00616BD9" w:rsidRDefault="000C2D5C" w:rsidP="00E53954">
      <w:pPr>
        <w:pStyle w:val="FootnoteText"/>
        <w:widowControl/>
        <w:tabs>
          <w:tab w:val="clear" w:pos="418"/>
          <w:tab w:val="right" w:pos="1195"/>
          <w:tab w:val="left" w:pos="1267"/>
          <w:tab w:val="left" w:pos="1742"/>
          <w:tab w:val="left" w:pos="2218"/>
          <w:tab w:val="left" w:pos="2693"/>
        </w:tabs>
        <w:ind w:left="540" w:right="1259" w:firstLine="0"/>
        <w:jc w:val="both"/>
        <w:rPr>
          <w:szCs w:val="17"/>
          <w:lang w:val="es-ES"/>
        </w:rPr>
      </w:pPr>
      <w:r w:rsidRPr="00616BD9">
        <w:rPr>
          <w:rStyle w:val="FootnoteReference"/>
          <w:szCs w:val="17"/>
        </w:rPr>
        <w:footnoteRef/>
      </w:r>
      <w:r w:rsidRPr="00616BD9">
        <w:rPr>
          <w:szCs w:val="17"/>
          <w:lang w:val="es-ES"/>
        </w:rPr>
        <w:tab/>
      </w:r>
      <w:r w:rsidR="0029746B" w:rsidRPr="00616BD9">
        <w:rPr>
          <w:szCs w:val="17"/>
          <w:lang w:val="es-ES"/>
        </w:rPr>
        <w:t xml:space="preserve">Las deliberaciones y decisiones del Grupo de Trabajo en sus 38º y 39º período de sesiones se encuentran en </w:t>
      </w:r>
      <w:hyperlink r:id="rId8" w:history="1">
        <w:r w:rsidRPr="00616BD9">
          <w:rPr>
            <w:rStyle w:val="Hyperlink"/>
            <w:szCs w:val="17"/>
            <w:lang w:val="es-ES"/>
          </w:rPr>
          <w:t>A/CN.9/1004</w:t>
        </w:r>
      </w:hyperlink>
      <w:r w:rsidRPr="00616BD9">
        <w:rPr>
          <w:rStyle w:val="Hyperlink"/>
          <w:color w:val="auto"/>
          <w:szCs w:val="17"/>
          <w:vertAlign w:val="superscript"/>
          <w:lang w:val="es-ES"/>
        </w:rPr>
        <w:t>*</w:t>
      </w:r>
      <w:r w:rsidRPr="00616BD9">
        <w:rPr>
          <w:szCs w:val="17"/>
          <w:lang w:val="es-ES"/>
        </w:rPr>
        <w:t xml:space="preserve">; </w:t>
      </w:r>
      <w:hyperlink r:id="rId9" w:history="1">
        <w:r w:rsidRPr="00616BD9">
          <w:rPr>
            <w:rStyle w:val="Hyperlink"/>
            <w:szCs w:val="17"/>
            <w:lang w:val="es-ES"/>
          </w:rPr>
          <w:t>A/CN.9/1004/Add.1</w:t>
        </w:r>
      </w:hyperlink>
      <w:r w:rsidRPr="00616BD9">
        <w:rPr>
          <w:rStyle w:val="Hyperlink"/>
          <w:szCs w:val="17"/>
          <w:lang w:val="es-ES"/>
        </w:rPr>
        <w:t xml:space="preserve"> </w:t>
      </w:r>
      <w:r w:rsidR="00B30540" w:rsidRPr="00616BD9">
        <w:rPr>
          <w:rStyle w:val="Hyperlink"/>
          <w:color w:val="auto"/>
          <w:szCs w:val="17"/>
          <w:lang w:val="es-ES"/>
        </w:rPr>
        <w:t>y</w:t>
      </w:r>
      <w:r w:rsidRPr="00616BD9">
        <w:rPr>
          <w:lang w:val="es-ES"/>
        </w:rPr>
        <w:t xml:space="preserve"> A/CN.9/1044</w:t>
      </w:r>
      <w:r w:rsidR="00B30540" w:rsidRPr="00616BD9">
        <w:rPr>
          <w:szCs w:val="17"/>
          <w:lang w:val="es-ES"/>
        </w:rPr>
        <w:t xml:space="preserve"> respectivamente</w:t>
      </w:r>
      <w:r w:rsidRPr="00616BD9">
        <w:rPr>
          <w:szCs w:val="17"/>
          <w:lang w:val="es-ES"/>
        </w:rPr>
        <w:t>.</w:t>
      </w:r>
    </w:p>
  </w:footnote>
  <w:footnote w:id="7">
    <w:p w14:paraId="3113A5CC" w14:textId="76A2BF1A" w:rsidR="000C2D5C" w:rsidRPr="00616BD9" w:rsidRDefault="000C2D5C" w:rsidP="00E53954">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463F83" w:rsidRPr="00616BD9">
        <w:rPr>
          <w:szCs w:val="17"/>
          <w:lang w:val="es-ES"/>
        </w:rPr>
        <w:t>Principalmente el lugar de la conferencia y servicios relacionados (por ejemplo, distribución de documentos y apoyo técnico), así como interpretación a los idiomas oficiales de las Naciones Unidas.</w:t>
      </w:r>
    </w:p>
  </w:footnote>
  <w:footnote w:id="8">
    <w:p w14:paraId="59CC61D1" w14:textId="001E8E28" w:rsidR="000C2D5C" w:rsidRPr="00616BD9" w:rsidRDefault="000C2D5C" w:rsidP="00381BA7">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A83E4B" w:rsidRPr="00616BD9">
        <w:rPr>
          <w:szCs w:val="17"/>
          <w:lang w:val="es-ES"/>
        </w:rPr>
        <w:t>Principalmente formateo, traducción a los idiomas oficiales de las Naciones Unidas y publicación e impresión de documentos</w:t>
      </w:r>
      <w:r w:rsidRPr="00616BD9">
        <w:rPr>
          <w:szCs w:val="17"/>
          <w:lang w:val="es-ES"/>
        </w:rPr>
        <w:t xml:space="preserve">. </w:t>
      </w:r>
    </w:p>
  </w:footnote>
  <w:footnote w:id="9">
    <w:p w14:paraId="10D17F8C" w14:textId="0CBEC1C0" w:rsidR="000C2D5C" w:rsidRPr="00616BD9" w:rsidRDefault="000C2D5C" w:rsidP="00381BA7">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FA7098" w:rsidRPr="00616BD9">
        <w:rPr>
          <w:szCs w:val="17"/>
          <w:lang w:val="es-ES"/>
        </w:rPr>
        <w:t xml:space="preserve">Este cuadro tiene en cuenta todos los documentos oficiales producidos para el Grupo de Trabajo que se han traducido a los seis idiomas oficiales de las Naciones Unidas. En aras de la simplicidad, los documentos emitidos como apéndices se cuentan como documentos separados y la extensión media del documento se calcula en función de su versión en inglés. Para un desglose de </w:t>
      </w:r>
      <w:r w:rsidR="00F63C61" w:rsidRPr="00616BD9">
        <w:rPr>
          <w:szCs w:val="17"/>
          <w:lang w:val="es-ES"/>
        </w:rPr>
        <w:t>un promedio de los</w:t>
      </w:r>
      <w:r w:rsidR="00FA7098" w:rsidRPr="00616BD9">
        <w:rPr>
          <w:szCs w:val="17"/>
          <w:lang w:val="es-ES"/>
        </w:rPr>
        <w:t xml:space="preserve"> recursos </w:t>
      </w:r>
      <w:r w:rsidR="00C83709" w:rsidRPr="00616BD9">
        <w:rPr>
          <w:szCs w:val="17"/>
          <w:lang w:val="es-ES"/>
        </w:rPr>
        <w:t>empleados en</w:t>
      </w:r>
      <w:r w:rsidR="00A41B0A" w:rsidRPr="00616BD9">
        <w:rPr>
          <w:szCs w:val="17"/>
          <w:lang w:val="es-ES"/>
        </w:rPr>
        <w:t xml:space="preserve"> documentos</w:t>
      </w:r>
      <w:r w:rsidR="0090186A" w:rsidRPr="00616BD9">
        <w:rPr>
          <w:szCs w:val="17"/>
          <w:lang w:val="es-ES"/>
        </w:rPr>
        <w:t xml:space="preserve"> </w:t>
      </w:r>
      <w:r w:rsidR="00FA7098" w:rsidRPr="00616BD9">
        <w:rPr>
          <w:szCs w:val="17"/>
          <w:lang w:val="es-ES"/>
        </w:rPr>
        <w:t>por el Grupo de Trabajo durante sus siete períodos de sesiones</w:t>
      </w:r>
      <w:r w:rsidRPr="00616BD9">
        <w:rPr>
          <w:lang w:val="es-ES"/>
        </w:rPr>
        <w:t xml:space="preserve">, </w:t>
      </w:r>
      <w:r w:rsidR="0090186A" w:rsidRPr="00616BD9">
        <w:rPr>
          <w:lang w:val="es-ES"/>
        </w:rPr>
        <w:t>ver Cuadro</w:t>
      </w:r>
      <w:r w:rsidRPr="00616BD9">
        <w:rPr>
          <w:lang w:val="es-ES"/>
        </w:rPr>
        <w:t xml:space="preserve"> 2</w:t>
      </w:r>
      <w:r w:rsidR="0090186A" w:rsidRPr="00616BD9">
        <w:rPr>
          <w:lang w:val="es-ES"/>
        </w:rPr>
        <w:t xml:space="preserve"> en documento</w:t>
      </w:r>
      <w:r w:rsidRPr="00616BD9">
        <w:rPr>
          <w:lang w:val="es-ES"/>
        </w:rPr>
        <w:t xml:space="preserve"> </w:t>
      </w:r>
      <w:hyperlink r:id="rId10" w:history="1">
        <w:r w:rsidRPr="00616BD9">
          <w:rPr>
            <w:rStyle w:val="Hyperlink"/>
            <w:lang w:val="es-ES"/>
          </w:rPr>
          <w:t>A/CN.9/1011</w:t>
        </w:r>
      </w:hyperlink>
      <w:r w:rsidRPr="00616BD9">
        <w:rPr>
          <w:lang w:val="es-ES"/>
        </w:rPr>
        <w:t>.</w:t>
      </w:r>
    </w:p>
  </w:footnote>
  <w:footnote w:id="10">
    <w:p w14:paraId="5016D18F" w14:textId="7C794BD2" w:rsidR="000C2D5C" w:rsidRPr="00616BD9" w:rsidRDefault="000C2D5C" w:rsidP="00381BA7">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lang w:val="es-ES" w:eastAsia="ko-KR"/>
        </w:rPr>
      </w:pPr>
      <w:r w:rsidRPr="00616BD9">
        <w:rPr>
          <w:rStyle w:val="FootnoteReference"/>
        </w:rPr>
        <w:footnoteRef/>
      </w:r>
      <w:r w:rsidRPr="00616BD9">
        <w:rPr>
          <w:lang w:val="es-ES"/>
        </w:rPr>
        <w:tab/>
      </w:r>
      <w:r w:rsidR="00754BDE" w:rsidRPr="00616BD9">
        <w:rPr>
          <w:lang w:val="es-ES"/>
        </w:rPr>
        <w:t>Esto incluye los tres informes</w:t>
      </w:r>
      <w:r w:rsidR="00B67ED2" w:rsidRPr="00616BD9">
        <w:rPr>
          <w:lang w:val="es-ES"/>
        </w:rPr>
        <w:t xml:space="preserve"> presentados de las reuniones de los periodos entre sesiones presentados por los Estados organizadores</w:t>
      </w:r>
      <w:r w:rsidRPr="00616BD9">
        <w:rPr>
          <w:lang w:val="es-ES"/>
        </w:rPr>
        <w:t>.</w:t>
      </w:r>
    </w:p>
  </w:footnote>
  <w:footnote w:id="11">
    <w:p w14:paraId="096EFCB4" w14:textId="5929A710" w:rsidR="000C2D5C" w:rsidRPr="00616BD9" w:rsidRDefault="004C3B1F" w:rsidP="00381BA7">
      <w:pPr>
        <w:pStyle w:val="FootnoteText"/>
        <w:tabs>
          <w:tab w:val="clear" w:pos="418"/>
          <w:tab w:val="right" w:pos="540"/>
        </w:tabs>
        <w:ind w:left="540" w:firstLine="0"/>
        <w:jc w:val="both"/>
        <w:rPr>
          <w:lang w:val="es-ES"/>
        </w:rPr>
      </w:pPr>
      <w:r w:rsidRPr="00616BD9">
        <w:rPr>
          <w:lang w:val="es-ES"/>
        </w:rPr>
        <w:t xml:space="preserve"> </w:t>
      </w:r>
      <w:r w:rsidR="000C2D5C" w:rsidRPr="00616BD9">
        <w:rPr>
          <w:rStyle w:val="FootnoteReference"/>
        </w:rPr>
        <w:footnoteRef/>
      </w:r>
      <w:r w:rsidR="000C2D5C" w:rsidRPr="00616BD9">
        <w:rPr>
          <w:lang w:val="es-ES"/>
        </w:rPr>
        <w:t xml:space="preserve"> </w:t>
      </w:r>
      <w:r w:rsidR="004F2F0D" w:rsidRPr="00616BD9">
        <w:rPr>
          <w:lang w:val="es-ES"/>
        </w:rPr>
        <w:t xml:space="preserve">Este puesto es financiado por el Gobierno de Alemania </w:t>
      </w:r>
      <w:r w:rsidR="00665920" w:rsidRPr="00616BD9">
        <w:rPr>
          <w:lang w:val="es-ES"/>
        </w:rPr>
        <w:t xml:space="preserve">y su término finaliza </w:t>
      </w:r>
      <w:r w:rsidR="0070514C" w:rsidRPr="00616BD9">
        <w:rPr>
          <w:lang w:val="es-ES"/>
        </w:rPr>
        <w:t xml:space="preserve">probablemente </w:t>
      </w:r>
      <w:r w:rsidR="00665920" w:rsidRPr="00616BD9">
        <w:rPr>
          <w:lang w:val="es-ES"/>
        </w:rPr>
        <w:t>en 2021.</w:t>
      </w:r>
    </w:p>
  </w:footnote>
  <w:footnote w:id="12">
    <w:p w14:paraId="6125CFF8" w14:textId="7C48C524" w:rsidR="000C2D5C" w:rsidRPr="00616BD9" w:rsidRDefault="000C2D5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eastAsia="ko-KR"/>
        </w:rPr>
      </w:pPr>
      <w:r w:rsidRPr="00616BD9">
        <w:rPr>
          <w:rStyle w:val="FootnoteReference"/>
          <w:szCs w:val="17"/>
        </w:rPr>
        <w:footnoteRef/>
      </w:r>
      <w:r w:rsidRPr="00616BD9">
        <w:rPr>
          <w:szCs w:val="17"/>
          <w:lang w:val="es-ES"/>
        </w:rPr>
        <w:tab/>
      </w:r>
      <w:r w:rsidR="003E3BC5" w:rsidRPr="00616BD9">
        <w:rPr>
          <w:lang w:val="es-ES"/>
        </w:rPr>
        <w:t>Con respecto al tiempo no utilizado de la Comisión, la Comisión había indicado que entendía que dos semanas para sus períodos de sesiones anuales serían en general suficientes</w:t>
      </w:r>
      <w:r w:rsidRPr="00616BD9">
        <w:rPr>
          <w:lang w:val="es-ES"/>
        </w:rPr>
        <w:t xml:space="preserve">. </w:t>
      </w:r>
      <w:r w:rsidRPr="00616BD9">
        <w:t xml:space="preserve">Ibid, </w:t>
      </w:r>
      <w:r w:rsidRPr="00616BD9">
        <w:rPr>
          <w:szCs w:val="17"/>
        </w:rPr>
        <w:t>Seventy-fourth Session, Supplement No. 17 (</w:t>
      </w:r>
      <w:hyperlink r:id="rId11" w:history="1">
        <w:r w:rsidRPr="00616BD9">
          <w:rPr>
            <w:rStyle w:val="Hyperlink"/>
            <w:szCs w:val="17"/>
          </w:rPr>
          <w:t>A/74/17</w:t>
        </w:r>
      </w:hyperlink>
      <w:r w:rsidRPr="00616BD9">
        <w:rPr>
          <w:szCs w:val="17"/>
        </w:rPr>
        <w:t xml:space="preserve">), para. 331. </w:t>
      </w:r>
    </w:p>
  </w:footnote>
  <w:footnote w:id="13">
    <w:p w14:paraId="599787C2" w14:textId="16D5124A" w:rsidR="00D7101C" w:rsidRPr="00616BD9" w:rsidRDefault="00D7101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_tradnl" w:eastAsia="ko-KR"/>
        </w:rPr>
      </w:pPr>
      <w:r w:rsidRPr="00616BD9">
        <w:rPr>
          <w:rStyle w:val="FootnoteReference"/>
          <w:szCs w:val="17"/>
        </w:rPr>
        <w:footnoteRef/>
      </w:r>
      <w:r w:rsidRPr="00616BD9">
        <w:rPr>
          <w:szCs w:val="17"/>
        </w:rPr>
        <w:tab/>
        <w:t xml:space="preserve">Ibid., para. </w:t>
      </w:r>
      <w:r w:rsidRPr="00616BD9">
        <w:rPr>
          <w:szCs w:val="17"/>
          <w:lang w:val="es-ES_tradnl"/>
        </w:rPr>
        <w:t>329.</w:t>
      </w:r>
    </w:p>
  </w:footnote>
  <w:footnote w:id="14">
    <w:p w14:paraId="6C79BC99" w14:textId="4E8B79DF" w:rsidR="000C2D5C" w:rsidRPr="00616BD9" w:rsidRDefault="000C2D5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7A6711" w:rsidRPr="00616BD9">
        <w:rPr>
          <w:lang w:val="es-ES"/>
        </w:rPr>
        <w:t xml:space="preserve">Ibid., </w:t>
      </w:r>
      <w:proofErr w:type="spellStart"/>
      <w:r w:rsidR="00364019" w:rsidRPr="00616BD9">
        <w:rPr>
          <w:lang w:val="es-ES"/>
        </w:rPr>
        <w:t>Quicuagésimo</w:t>
      </w:r>
      <w:proofErr w:type="spellEnd"/>
      <w:r w:rsidR="00364019" w:rsidRPr="00616BD9">
        <w:rPr>
          <w:lang w:val="es-ES"/>
        </w:rPr>
        <w:t xml:space="preserve"> sexto período de sesiones</w:t>
      </w:r>
      <w:r w:rsidR="007A6711" w:rsidRPr="00616BD9">
        <w:rPr>
          <w:lang w:val="es-ES"/>
        </w:rPr>
        <w:t>, Sup</w:t>
      </w:r>
      <w:r w:rsidR="00364019" w:rsidRPr="00616BD9">
        <w:rPr>
          <w:lang w:val="es-ES"/>
        </w:rPr>
        <w:t>lemento</w:t>
      </w:r>
      <w:r w:rsidR="007A6711" w:rsidRPr="00616BD9">
        <w:rPr>
          <w:lang w:val="es-ES"/>
        </w:rPr>
        <w:t xml:space="preserve"> No. 17 (</w:t>
      </w:r>
      <w:hyperlink r:id="rId12" w:history="1">
        <w:r w:rsidR="007A6711" w:rsidRPr="00616BD9">
          <w:rPr>
            <w:rStyle w:val="Hyperlink"/>
            <w:lang w:val="es-ES"/>
          </w:rPr>
          <w:t>A/56/17</w:t>
        </w:r>
      </w:hyperlink>
      <w:r w:rsidR="007A6711" w:rsidRPr="00616BD9">
        <w:rPr>
          <w:lang w:val="es-ES"/>
        </w:rPr>
        <w:t xml:space="preserve">), paras. </w:t>
      </w:r>
      <w:r w:rsidR="007A6711" w:rsidRPr="00616BD9">
        <w:rPr>
          <w:lang w:val="es-ES_tradnl"/>
        </w:rPr>
        <w:t xml:space="preserve">376–383 and 425(c). </w:t>
      </w:r>
      <w:r w:rsidR="0081247C" w:rsidRPr="00616BD9">
        <w:rPr>
          <w:lang w:val="es-ES"/>
        </w:rPr>
        <w:t>La Comisión, en 2001, aumentó el número de grupos de trabajo de tres a seis, cada uno de los cuales generalmente celebraría dos períodos de sesiones anuales de una semana cada uno. Sin embargo, el grupo de trabajo encargado de la preparación de las Reglas de Rotterdam fue autorizado por la Comisión a celebrar períodos de sesiones de dos semanas de 2002 a 2008, a excepción de su período de sesiones de septiembre de 2002, que se reunió durante una semana.</w:t>
      </w:r>
    </w:p>
  </w:footnote>
  <w:footnote w:id="15">
    <w:p w14:paraId="34F1EA8B" w14:textId="72333925" w:rsidR="000C2D5C" w:rsidRPr="00616BD9" w:rsidRDefault="000C2D5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1F2790" w:rsidRPr="00616BD9">
        <w:rPr>
          <w:szCs w:val="17"/>
          <w:lang w:val="es-ES"/>
        </w:rPr>
        <w:t xml:space="preserve">Un programa provisional, dos o tres notas de la Secretaría y cuatro </w:t>
      </w:r>
      <w:r w:rsidR="00056EA5" w:rsidRPr="00616BD9">
        <w:rPr>
          <w:szCs w:val="17"/>
          <w:lang w:val="es-ES"/>
        </w:rPr>
        <w:t>documentos presentados por</w:t>
      </w:r>
      <w:r w:rsidR="001F2790" w:rsidRPr="00616BD9">
        <w:rPr>
          <w:szCs w:val="17"/>
          <w:lang w:val="es-ES"/>
        </w:rPr>
        <w:t xml:space="preserve"> Estados y otros, todo estimado en 8.500 palabras. Existe una limitación para los documentos que se originan en la Secretaría, </w:t>
      </w:r>
      <w:r w:rsidR="00BC2A9C" w:rsidRPr="00616BD9">
        <w:rPr>
          <w:szCs w:val="17"/>
          <w:lang w:val="es-ES"/>
        </w:rPr>
        <w:t>los que</w:t>
      </w:r>
      <w:r w:rsidR="001F2790" w:rsidRPr="00616BD9">
        <w:rPr>
          <w:szCs w:val="17"/>
          <w:lang w:val="es-ES"/>
        </w:rPr>
        <w:t xml:space="preserve"> no deben tener más de 16 páginas (8.500 palabras). Se invita a los órganos intergubernamentales a considerar, cuando proceda, </w:t>
      </w:r>
      <w:r w:rsidR="00126B1C" w:rsidRPr="00616BD9">
        <w:rPr>
          <w:szCs w:val="17"/>
          <w:lang w:val="es-ES"/>
        </w:rPr>
        <w:t xml:space="preserve">una reducción de </w:t>
      </w:r>
      <w:r w:rsidR="00C673F0" w:rsidRPr="00616BD9">
        <w:rPr>
          <w:szCs w:val="17"/>
          <w:lang w:val="es-ES"/>
        </w:rPr>
        <w:t>su informe</w:t>
      </w:r>
      <w:r w:rsidR="001F2790" w:rsidRPr="00616BD9">
        <w:rPr>
          <w:szCs w:val="17"/>
          <w:lang w:val="es-ES"/>
        </w:rPr>
        <w:t xml:space="preserve"> a 20 páginas (10 700 palabras). Véase la </w:t>
      </w:r>
      <w:r w:rsidR="001A2D7E" w:rsidRPr="00616BD9">
        <w:rPr>
          <w:szCs w:val="17"/>
          <w:lang w:val="es-ES"/>
        </w:rPr>
        <w:t xml:space="preserve">Resolución de la Asamblea General </w:t>
      </w:r>
      <w:r w:rsidR="001F2790" w:rsidRPr="00616BD9">
        <w:rPr>
          <w:szCs w:val="17"/>
          <w:lang w:val="es-ES"/>
        </w:rPr>
        <w:t xml:space="preserve">52/214, sección B, </w:t>
      </w:r>
      <w:proofErr w:type="spellStart"/>
      <w:r w:rsidR="001F2790" w:rsidRPr="00616BD9">
        <w:rPr>
          <w:szCs w:val="17"/>
          <w:lang w:val="es-ES"/>
        </w:rPr>
        <w:t>párr</w:t>
      </w:r>
      <w:r w:rsidR="0078000D" w:rsidRPr="00616BD9">
        <w:rPr>
          <w:szCs w:val="17"/>
          <w:lang w:val="es-ES"/>
        </w:rPr>
        <w:t>as</w:t>
      </w:r>
      <w:proofErr w:type="spellEnd"/>
      <w:r w:rsidR="001F2790" w:rsidRPr="00616BD9">
        <w:rPr>
          <w:szCs w:val="17"/>
          <w:lang w:val="es-ES"/>
        </w:rPr>
        <w:t>. 4 y 7 (reiterado</w:t>
      </w:r>
      <w:r w:rsidR="0078000D" w:rsidRPr="00616BD9">
        <w:rPr>
          <w:szCs w:val="17"/>
          <w:lang w:val="es-ES"/>
        </w:rPr>
        <w:t xml:space="preserve"> en </w:t>
      </w:r>
      <w:r w:rsidR="001F2790" w:rsidRPr="00616BD9">
        <w:rPr>
          <w:szCs w:val="17"/>
          <w:lang w:val="es-ES"/>
        </w:rPr>
        <w:t>53/208, 59/265).</w:t>
      </w:r>
      <w:r w:rsidR="0016254C" w:rsidRPr="00616BD9">
        <w:rPr>
          <w:lang w:val="es-ES"/>
        </w:rPr>
        <w:t xml:space="preserve"> </w:t>
      </w:r>
    </w:p>
  </w:footnote>
  <w:footnote w:id="16">
    <w:p w14:paraId="3FBFAA44" w14:textId="2C50F4E6" w:rsidR="000C2D5C" w:rsidRPr="00616BD9" w:rsidRDefault="000C2D5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185D89" w:rsidRPr="00616BD9">
        <w:rPr>
          <w:szCs w:val="17"/>
          <w:lang w:val="es-ES"/>
        </w:rPr>
        <w:t xml:space="preserve">Basado en cifras proporcionadas por los servicios de gestión de documentos en Viena. El costo de traducción de una página estándar en inglés (ESP, que consta de 330 palabras) a otro idioma </w:t>
      </w:r>
      <w:r w:rsidR="00B70786" w:rsidRPr="00616BD9">
        <w:rPr>
          <w:szCs w:val="17"/>
          <w:lang w:val="es-ES"/>
        </w:rPr>
        <w:t xml:space="preserve">se establece en </w:t>
      </w:r>
      <w:r w:rsidR="00185D89" w:rsidRPr="00616BD9">
        <w:rPr>
          <w:szCs w:val="17"/>
          <w:lang w:val="es-ES"/>
        </w:rPr>
        <w:t>260 USD. La tasa de repercusión en el presupuesto por programas puede variar según el lugar donde se presten los servicios de documentación.</w:t>
      </w:r>
    </w:p>
  </w:footnote>
  <w:footnote w:id="17">
    <w:p w14:paraId="03CA9493" w14:textId="0FC587FD" w:rsidR="004113EC" w:rsidRPr="00616BD9" w:rsidRDefault="004113EC" w:rsidP="00333AB5">
      <w:pPr>
        <w:pStyle w:val="FootnoteText"/>
        <w:widowControl/>
        <w:tabs>
          <w:tab w:val="clear" w:pos="418"/>
          <w:tab w:val="right" w:pos="1195"/>
          <w:tab w:val="left" w:pos="1267"/>
          <w:tab w:val="left" w:pos="1742"/>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700FC5" w:rsidRPr="00616BD9">
        <w:rPr>
          <w:szCs w:val="17"/>
          <w:lang w:val="es-ES"/>
        </w:rPr>
        <w:t xml:space="preserve">Esto se basa en el supuesto de que no sería necesario elaborar un programa provisional separado ni </w:t>
      </w:r>
      <w:r w:rsidR="005F42D9" w:rsidRPr="00616BD9">
        <w:rPr>
          <w:szCs w:val="17"/>
          <w:lang w:val="es-ES"/>
        </w:rPr>
        <w:t>un</w:t>
      </w:r>
      <w:r w:rsidR="00700FC5" w:rsidRPr="00616BD9">
        <w:rPr>
          <w:szCs w:val="17"/>
          <w:lang w:val="es-ES"/>
        </w:rPr>
        <w:t xml:space="preserve"> informe posterior al período de sesiones</w:t>
      </w:r>
      <w:r w:rsidRPr="00616BD9">
        <w:rPr>
          <w:szCs w:val="17"/>
          <w:lang w:val="es-ES"/>
        </w:rPr>
        <w:t>.</w:t>
      </w:r>
    </w:p>
  </w:footnote>
  <w:footnote w:id="18">
    <w:p w14:paraId="2A6B7CDB" w14:textId="0D04AC4E" w:rsidR="000C2D5C" w:rsidRPr="00616BD9" w:rsidRDefault="000C2D5C" w:rsidP="00333AB5">
      <w:pPr>
        <w:pStyle w:val="FootnoteText"/>
        <w:widowControl/>
        <w:tabs>
          <w:tab w:val="clear" w:pos="418"/>
          <w:tab w:val="left" w:pos="540"/>
          <w:tab w:val="left" w:pos="900"/>
          <w:tab w:val="left" w:pos="2218"/>
          <w:tab w:val="left" w:pos="2693"/>
        </w:tabs>
        <w:ind w:left="540" w:right="1259" w:firstLine="0"/>
        <w:jc w:val="both"/>
        <w:rPr>
          <w:rFonts w:eastAsia="Malgun Gothic"/>
          <w:szCs w:val="17"/>
          <w:lang w:val="es-ES" w:eastAsia="ko-KR"/>
        </w:rPr>
      </w:pPr>
      <w:r w:rsidRPr="00616BD9">
        <w:rPr>
          <w:rStyle w:val="FootnoteReference"/>
          <w:szCs w:val="17"/>
        </w:rPr>
        <w:footnoteRef/>
      </w:r>
      <w:r w:rsidRPr="00616BD9">
        <w:rPr>
          <w:szCs w:val="17"/>
          <w:lang w:val="es-ES"/>
        </w:rPr>
        <w:tab/>
      </w:r>
      <w:r w:rsidR="008D63AB" w:rsidRPr="00616BD9">
        <w:rPr>
          <w:szCs w:val="17"/>
          <w:lang w:val="es-ES"/>
        </w:rPr>
        <w:t>Basado en los costos salariales estándar revisados de la ONUV / UNODC (2020-2023) para Viena. Para el puesto financiado con cargo al presupuesto ordinario, se utilizó la cifra de gastos de personal "continuos" en 2021</w:t>
      </w:r>
      <w:r w:rsidRPr="00616BD9">
        <w:rPr>
          <w:szCs w:val="17"/>
          <w:lang w:val="es-ES"/>
        </w:rPr>
        <w:t>.</w:t>
      </w:r>
    </w:p>
  </w:footnote>
  <w:footnote w:id="19">
    <w:p w14:paraId="773B70DF" w14:textId="2F2011A3" w:rsidR="00325411" w:rsidRPr="00616BD9" w:rsidRDefault="00325411" w:rsidP="00333AB5">
      <w:pPr>
        <w:pStyle w:val="FootnoteText"/>
        <w:widowControl/>
        <w:tabs>
          <w:tab w:val="clear" w:pos="418"/>
          <w:tab w:val="right" w:pos="1195"/>
          <w:tab w:val="left" w:pos="1267"/>
          <w:tab w:val="left" w:pos="1742"/>
          <w:tab w:val="left" w:pos="2218"/>
          <w:tab w:val="left" w:pos="2693"/>
        </w:tabs>
        <w:ind w:left="540" w:right="1259" w:firstLine="0"/>
        <w:jc w:val="both"/>
        <w:rPr>
          <w:szCs w:val="17"/>
          <w:lang w:val="es-ES"/>
        </w:rPr>
      </w:pPr>
      <w:r w:rsidRPr="00616BD9">
        <w:rPr>
          <w:rStyle w:val="FootnoteReference"/>
          <w:szCs w:val="17"/>
        </w:rPr>
        <w:footnoteRef/>
      </w:r>
      <w:r w:rsidRPr="00616BD9">
        <w:rPr>
          <w:i/>
          <w:iCs/>
          <w:szCs w:val="17"/>
          <w:lang w:val="es-ES"/>
        </w:rPr>
        <w:tab/>
      </w:r>
      <w:r w:rsidR="00364019" w:rsidRPr="00616BD9">
        <w:rPr>
          <w:i/>
          <w:iCs/>
          <w:szCs w:val="17"/>
          <w:lang w:val="es-ES"/>
        </w:rPr>
        <w:t>Documentos Oficiales de la Asamblea General</w:t>
      </w:r>
      <w:r w:rsidRPr="00616BD9">
        <w:rPr>
          <w:szCs w:val="17"/>
          <w:lang w:val="es-ES"/>
        </w:rPr>
        <w:t xml:space="preserve">, </w:t>
      </w:r>
      <w:r w:rsidR="00DD68C5" w:rsidRPr="00616BD9">
        <w:rPr>
          <w:i/>
          <w:iCs/>
          <w:szCs w:val="17"/>
          <w:lang w:val="es-ES"/>
        </w:rPr>
        <w:t>Septuagésimo cuarto período de sesiones</w:t>
      </w:r>
      <w:r w:rsidRPr="00616BD9">
        <w:rPr>
          <w:i/>
          <w:iCs/>
          <w:szCs w:val="17"/>
          <w:lang w:val="es-ES"/>
        </w:rPr>
        <w:t xml:space="preserve">, </w:t>
      </w:r>
      <w:r w:rsidR="00DD68C5" w:rsidRPr="00616BD9">
        <w:rPr>
          <w:i/>
          <w:iCs/>
          <w:szCs w:val="17"/>
          <w:lang w:val="es-ES"/>
        </w:rPr>
        <w:t>Suplemento</w:t>
      </w:r>
      <w:r w:rsidRPr="00616BD9">
        <w:rPr>
          <w:i/>
          <w:iCs/>
          <w:szCs w:val="17"/>
          <w:lang w:val="es-ES"/>
        </w:rPr>
        <w:t xml:space="preserve"> No. 17</w:t>
      </w:r>
      <w:r w:rsidRPr="00616BD9">
        <w:rPr>
          <w:szCs w:val="17"/>
          <w:lang w:val="es-ES"/>
        </w:rPr>
        <w:t xml:space="preserve"> (</w:t>
      </w:r>
      <w:hyperlink r:id="rId13" w:history="1">
        <w:r w:rsidRPr="00616BD9">
          <w:rPr>
            <w:rStyle w:val="Hyperlink"/>
            <w:szCs w:val="17"/>
            <w:lang w:val="es-ES"/>
          </w:rPr>
          <w:t>A/74/17</w:t>
        </w:r>
      </w:hyperlink>
      <w:r w:rsidRPr="00616BD9">
        <w:rPr>
          <w:szCs w:val="17"/>
          <w:lang w:val="es-ES"/>
        </w:rPr>
        <w:t>), para. 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C2D5C" w14:paraId="27E03615" w14:textId="77777777" w:rsidTr="00252269">
      <w:trPr>
        <w:trHeight w:hRule="exact" w:val="864"/>
        <w:jc w:val="center"/>
      </w:trPr>
      <w:tc>
        <w:tcPr>
          <w:tcW w:w="4882" w:type="dxa"/>
          <w:shd w:val="clear" w:color="auto" w:fill="auto"/>
          <w:vAlign w:val="bottom"/>
        </w:tcPr>
        <w:p w14:paraId="50A94318" w14:textId="1616B7E1" w:rsidR="000C2D5C" w:rsidRPr="00252269" w:rsidRDefault="000C2D5C" w:rsidP="00252269">
          <w:pPr>
            <w:pStyle w:val="Header"/>
            <w:spacing w:after="80"/>
            <w:rPr>
              <w:b/>
            </w:rPr>
          </w:pPr>
        </w:p>
      </w:tc>
      <w:tc>
        <w:tcPr>
          <w:tcW w:w="4923" w:type="dxa"/>
          <w:shd w:val="clear" w:color="auto" w:fill="auto"/>
          <w:vAlign w:val="bottom"/>
        </w:tcPr>
        <w:p w14:paraId="087FBF72" w14:textId="77777777" w:rsidR="000C2D5C" w:rsidRDefault="000C2D5C" w:rsidP="00252269">
          <w:pPr>
            <w:pStyle w:val="Header"/>
          </w:pPr>
        </w:p>
      </w:tc>
    </w:tr>
  </w:tbl>
  <w:p w14:paraId="5F8789E9" w14:textId="7A1EF43D" w:rsidR="000C2D5C" w:rsidRPr="00252269" w:rsidRDefault="00616BD9" w:rsidP="00252269">
    <w:pPr>
      <w:pStyle w:val="Header"/>
    </w:pPr>
    <w:r>
      <w:pict w14:anchorId="5DC8C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4" o:spid="_x0000_s2050" type="#_x0000_t136" style="position:absolute;margin-left:0;margin-top:0;width:495.75pt;height:198.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C2D5C" w14:paraId="176B925D" w14:textId="77777777" w:rsidTr="00252269">
      <w:trPr>
        <w:trHeight w:hRule="exact" w:val="864"/>
        <w:jc w:val="center"/>
      </w:trPr>
      <w:tc>
        <w:tcPr>
          <w:tcW w:w="4882" w:type="dxa"/>
          <w:shd w:val="clear" w:color="auto" w:fill="auto"/>
          <w:vAlign w:val="bottom"/>
        </w:tcPr>
        <w:p w14:paraId="5D4ED2A1" w14:textId="77777777" w:rsidR="000C2D5C" w:rsidRDefault="000C2D5C" w:rsidP="00252269">
          <w:pPr>
            <w:pStyle w:val="Header"/>
          </w:pPr>
        </w:p>
      </w:tc>
      <w:tc>
        <w:tcPr>
          <w:tcW w:w="4923" w:type="dxa"/>
          <w:shd w:val="clear" w:color="auto" w:fill="auto"/>
          <w:vAlign w:val="bottom"/>
        </w:tcPr>
        <w:p w14:paraId="33F34A06" w14:textId="6D70E65E" w:rsidR="000C2D5C" w:rsidRPr="00252269" w:rsidRDefault="000C2D5C" w:rsidP="00252269">
          <w:pPr>
            <w:pStyle w:val="Header"/>
            <w:spacing w:after="80"/>
            <w:jc w:val="right"/>
            <w:rPr>
              <w:b/>
            </w:rPr>
          </w:pPr>
        </w:p>
      </w:tc>
    </w:tr>
  </w:tbl>
  <w:p w14:paraId="14DAA685" w14:textId="558D6866" w:rsidR="000C2D5C" w:rsidRPr="00252269" w:rsidRDefault="00616BD9" w:rsidP="000D2C79">
    <w:pPr>
      <w:pStyle w:val="Header"/>
      <w:tabs>
        <w:tab w:val="clear" w:pos="4320"/>
        <w:tab w:val="clear" w:pos="8640"/>
        <w:tab w:val="left" w:pos="7297"/>
      </w:tabs>
    </w:pPr>
    <w:r>
      <w:pict w14:anchorId="0C1B8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5" o:spid="_x0000_s2051" type="#_x0000_t136" style="position:absolute;margin-left:0;margin-top:0;width:495.75pt;height:198.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0C2D5C" w14:paraId="390AB721" w14:textId="77777777" w:rsidTr="00252269">
      <w:trPr>
        <w:trHeight w:hRule="exact" w:val="864"/>
      </w:trPr>
      <w:tc>
        <w:tcPr>
          <w:tcW w:w="1267" w:type="dxa"/>
          <w:tcBorders>
            <w:bottom w:val="single" w:sz="4" w:space="0" w:color="auto"/>
          </w:tcBorders>
          <w:shd w:val="clear" w:color="auto" w:fill="auto"/>
          <w:vAlign w:val="bottom"/>
        </w:tcPr>
        <w:p w14:paraId="1B46409F" w14:textId="77777777" w:rsidR="000C2D5C" w:rsidRDefault="000C2D5C" w:rsidP="00252269">
          <w:pPr>
            <w:pStyle w:val="Header"/>
            <w:spacing w:after="120"/>
          </w:pPr>
        </w:p>
      </w:tc>
      <w:tc>
        <w:tcPr>
          <w:tcW w:w="1872" w:type="dxa"/>
          <w:tcBorders>
            <w:bottom w:val="single" w:sz="4" w:space="0" w:color="auto"/>
          </w:tcBorders>
          <w:shd w:val="clear" w:color="auto" w:fill="auto"/>
          <w:vAlign w:val="bottom"/>
        </w:tcPr>
        <w:p w14:paraId="7129C703" w14:textId="77777777" w:rsidR="000C2D5C" w:rsidRPr="00252269" w:rsidRDefault="000C2D5C" w:rsidP="0025226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AC4A138" w14:textId="77777777" w:rsidR="000C2D5C" w:rsidRDefault="000C2D5C" w:rsidP="00252269">
          <w:pPr>
            <w:pStyle w:val="Header"/>
            <w:spacing w:after="120"/>
          </w:pPr>
        </w:p>
      </w:tc>
      <w:tc>
        <w:tcPr>
          <w:tcW w:w="6466" w:type="dxa"/>
          <w:gridSpan w:val="4"/>
          <w:tcBorders>
            <w:bottom w:val="single" w:sz="4" w:space="0" w:color="auto"/>
          </w:tcBorders>
          <w:shd w:val="clear" w:color="auto" w:fill="auto"/>
          <w:vAlign w:val="bottom"/>
        </w:tcPr>
        <w:p w14:paraId="1469C72D" w14:textId="340C8D79" w:rsidR="000C2D5C" w:rsidRPr="00252269" w:rsidRDefault="000C2D5C" w:rsidP="00252269">
          <w:pPr>
            <w:spacing w:after="80" w:line="240" w:lineRule="auto"/>
            <w:jc w:val="right"/>
            <w:rPr>
              <w:position w:val="-4"/>
            </w:rPr>
          </w:pPr>
          <w:r>
            <w:rPr>
              <w:position w:val="-4"/>
              <w:sz w:val="40"/>
            </w:rPr>
            <w:t>A</w:t>
          </w:r>
          <w:r>
            <w:rPr>
              <w:position w:val="-4"/>
            </w:rPr>
            <w:t>/CN.9/WG.II/WP.****</w:t>
          </w:r>
        </w:p>
      </w:tc>
    </w:tr>
    <w:tr w:rsidR="000C2D5C" w:rsidRPr="00674A5C" w14:paraId="749EDBB9" w14:textId="77777777" w:rsidTr="00252269">
      <w:trPr>
        <w:gridAfter w:val="1"/>
        <w:wAfter w:w="11" w:type="dxa"/>
        <w:trHeight w:hRule="exact" w:val="2880"/>
      </w:trPr>
      <w:tc>
        <w:tcPr>
          <w:tcW w:w="1267" w:type="dxa"/>
          <w:tcBorders>
            <w:top w:val="single" w:sz="4" w:space="0" w:color="auto"/>
            <w:bottom w:val="single" w:sz="12" w:space="0" w:color="auto"/>
          </w:tcBorders>
          <w:shd w:val="clear" w:color="auto" w:fill="auto"/>
        </w:tcPr>
        <w:p w14:paraId="6B204627" w14:textId="77777777" w:rsidR="000C2D5C" w:rsidRPr="00252269" w:rsidRDefault="000C2D5C" w:rsidP="00252269">
          <w:pPr>
            <w:pStyle w:val="Header"/>
            <w:spacing w:before="120"/>
            <w:jc w:val="center"/>
          </w:pPr>
          <w:r>
            <w:t xml:space="preserve"> </w:t>
          </w:r>
          <w:r>
            <w:rPr>
              <w:lang w:val="en-CA" w:eastAsia="en-CA"/>
            </w:rPr>
            <w:drawing>
              <wp:inline distT="0" distB="0" distL="0" distR="0" wp14:anchorId="36163C60" wp14:editId="0E170E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3025DA" w14:textId="77777777" w:rsidR="000C2D5C" w:rsidRPr="00252269" w:rsidRDefault="000C2D5C" w:rsidP="00252269">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6228F462" w14:textId="77777777" w:rsidR="000C2D5C" w:rsidRPr="00252269" w:rsidRDefault="000C2D5C" w:rsidP="00252269">
          <w:pPr>
            <w:pStyle w:val="Header"/>
            <w:spacing w:before="109"/>
          </w:pPr>
        </w:p>
      </w:tc>
      <w:tc>
        <w:tcPr>
          <w:tcW w:w="3100" w:type="dxa"/>
          <w:tcBorders>
            <w:top w:val="single" w:sz="4" w:space="0" w:color="auto"/>
            <w:bottom w:val="single" w:sz="12" w:space="0" w:color="auto"/>
          </w:tcBorders>
          <w:shd w:val="clear" w:color="auto" w:fill="auto"/>
        </w:tcPr>
        <w:p w14:paraId="15B3E88B" w14:textId="48C5B6A3" w:rsidR="000C2D5C" w:rsidRPr="00E65995" w:rsidRDefault="000C2D5C" w:rsidP="00252269">
          <w:pPr>
            <w:rPr>
              <w:lang w:val="es-ES_tradnl"/>
            </w:rPr>
          </w:pPr>
        </w:p>
        <w:p w14:paraId="63FC553E" w14:textId="625F170B" w:rsidR="00965622" w:rsidRPr="00E65995" w:rsidRDefault="00965622" w:rsidP="00252269">
          <w:pPr>
            <w:rPr>
              <w:lang w:val="es-ES_tradnl"/>
            </w:rPr>
          </w:pPr>
        </w:p>
        <w:p w14:paraId="7503F3EF" w14:textId="33B20A17" w:rsidR="00965622" w:rsidRPr="00E65995" w:rsidRDefault="00965622" w:rsidP="00252269">
          <w:pPr>
            <w:rPr>
              <w:lang w:val="es-ES_tradnl"/>
            </w:rPr>
          </w:pPr>
        </w:p>
        <w:p w14:paraId="5039EE58" w14:textId="59798593" w:rsidR="00965622" w:rsidRPr="00E65995" w:rsidRDefault="00965622" w:rsidP="00252269">
          <w:pPr>
            <w:rPr>
              <w:color w:val="FF0000"/>
              <w:lang w:val="es-ES_tradnl"/>
            </w:rPr>
          </w:pPr>
        </w:p>
        <w:p w14:paraId="26064FEA" w14:textId="77777777" w:rsidR="00965622" w:rsidRPr="00E65995" w:rsidRDefault="00965622" w:rsidP="00252269">
          <w:pPr>
            <w:rPr>
              <w:color w:val="FF0000"/>
              <w:lang w:val="es-ES_tradnl"/>
            </w:rPr>
          </w:pPr>
        </w:p>
        <w:p w14:paraId="2C891DA9" w14:textId="77777777" w:rsidR="000D7D65" w:rsidRPr="00E65995" w:rsidRDefault="000D7D65" w:rsidP="00252269">
          <w:pPr>
            <w:rPr>
              <w:color w:val="FF0000"/>
              <w:lang w:val="es-ES_tradnl"/>
            </w:rPr>
          </w:pPr>
        </w:p>
        <w:p w14:paraId="1D17696C" w14:textId="4158156D" w:rsidR="000271EA" w:rsidRDefault="000271EA" w:rsidP="00252269">
          <w:pPr>
            <w:rPr>
              <w:color w:val="FF0000"/>
              <w:lang w:val="es-ES"/>
            </w:rPr>
          </w:pPr>
          <w:r w:rsidRPr="000271EA">
            <w:rPr>
              <w:color w:val="FF0000"/>
              <w:lang w:val="es-ES"/>
            </w:rPr>
            <w:t>No es un document</w:t>
          </w:r>
          <w:r>
            <w:rPr>
              <w:color w:val="FF0000"/>
              <w:lang w:val="es-ES"/>
            </w:rPr>
            <w:t>o</w:t>
          </w:r>
          <w:r w:rsidRPr="000271EA">
            <w:rPr>
              <w:color w:val="FF0000"/>
              <w:lang w:val="es-ES"/>
            </w:rPr>
            <w:t xml:space="preserve"> o</w:t>
          </w:r>
          <w:r>
            <w:rPr>
              <w:color w:val="FF0000"/>
              <w:lang w:val="es-ES"/>
            </w:rPr>
            <w:t>ficial</w:t>
          </w:r>
        </w:p>
        <w:p w14:paraId="1C4A9766" w14:textId="0DB3AF48" w:rsidR="000271EA" w:rsidRPr="000271EA" w:rsidRDefault="000271EA" w:rsidP="00252269">
          <w:pPr>
            <w:rPr>
              <w:lang w:val="es-ES"/>
            </w:rPr>
          </w:pPr>
          <w:r>
            <w:rPr>
              <w:color w:val="FF0000"/>
              <w:lang w:val="es-ES"/>
            </w:rPr>
            <w:t>Solo para consultas</w:t>
          </w:r>
        </w:p>
      </w:tc>
    </w:tr>
  </w:tbl>
  <w:p w14:paraId="0D6046D7" w14:textId="0A4BB447" w:rsidR="000C2D5C" w:rsidRPr="00252269" w:rsidRDefault="00616BD9" w:rsidP="00252269">
    <w:pPr>
      <w:pStyle w:val="Header"/>
      <w:rPr>
        <w:sz w:val="2"/>
      </w:rPr>
    </w:pPr>
    <w:r>
      <w:pict w14:anchorId="715FF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3" o:spid="_x0000_s2049" type="#_x0000_t136" style="position:absolute;margin-left:0;margin-top:0;width:495.75pt;height:198.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7C5"/>
    <w:multiLevelType w:val="hybridMultilevel"/>
    <w:tmpl w:val="23ACEF80"/>
    <w:lvl w:ilvl="0" w:tplc="2BFAA43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6372965"/>
    <w:multiLevelType w:val="hybridMultilevel"/>
    <w:tmpl w:val="AAFE476A"/>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 w15:restartNumberingAfterBreak="0">
    <w:nsid w:val="363F5B17"/>
    <w:multiLevelType w:val="hybridMultilevel"/>
    <w:tmpl w:val="9C085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B6C41A3"/>
    <w:multiLevelType w:val="hybridMultilevel"/>
    <w:tmpl w:val="91202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D7C4E15"/>
    <w:multiLevelType w:val="singleLevel"/>
    <w:tmpl w:val="E00246A4"/>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642C4215"/>
    <w:multiLevelType w:val="hybridMultilevel"/>
    <w:tmpl w:val="69F0904C"/>
    <w:lvl w:ilvl="0" w:tplc="2164735A">
      <w:start w:val="1"/>
      <w:numFmt w:val="decimal"/>
      <w:lvlText w:val="%1."/>
      <w:lvlJc w:val="left"/>
      <w:pPr>
        <w:ind w:left="1004" w:hanging="360"/>
      </w:pPr>
      <w:rPr>
        <w:sz w:val="20"/>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77083072"/>
    <w:multiLevelType w:val="hybridMultilevel"/>
    <w:tmpl w:val="755A9188"/>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1" w15:restartNumberingAfterBreak="0">
    <w:nsid w:val="7B257D52"/>
    <w:multiLevelType w:val="multilevel"/>
    <w:tmpl w:val="AEAA35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B6B0BCF"/>
    <w:multiLevelType w:val="hybridMultilevel"/>
    <w:tmpl w:val="6876F004"/>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3" w15:restartNumberingAfterBreak="0">
    <w:nsid w:val="7BA956A6"/>
    <w:multiLevelType w:val="hybridMultilevel"/>
    <w:tmpl w:val="AA4A5310"/>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num w:numId="1">
    <w:abstractNumId w:val="1"/>
  </w:num>
  <w:num w:numId="2">
    <w:abstractNumId w:val="6"/>
  </w:num>
  <w:num w:numId="3">
    <w:abstractNumId w:val="9"/>
  </w:num>
  <w:num w:numId="4">
    <w:abstractNumId w:val="4"/>
  </w:num>
  <w:num w:numId="5">
    <w:abstractNumId w:val="11"/>
  </w:num>
  <w:num w:numId="6">
    <w:abstractNumId w:val="7"/>
    <w:lvlOverride w:ilvl="0">
      <w:lvl w:ilvl="0">
        <w:start w:val="1"/>
        <w:numFmt w:val="decimal"/>
        <w:lvlRestart w:val="0"/>
        <w:lvlText w:val="%1."/>
        <w:lvlJc w:val="left"/>
        <w:pPr>
          <w:ind w:left="270" w:firstLine="0"/>
        </w:pPr>
        <w:rPr>
          <w:spacing w:val="0"/>
          <w:w w:val="100"/>
        </w:rPr>
      </w:lvl>
    </w:lvlOverride>
  </w:num>
  <w:num w:numId="7">
    <w:abstractNumId w:val="7"/>
    <w:lvlOverride w:ilvl="0">
      <w:lvl w:ilvl="0">
        <w:start w:val="1"/>
        <w:numFmt w:val="decimal"/>
        <w:lvlRestart w:val="0"/>
        <w:lvlText w:val="%1."/>
        <w:lvlJc w:val="left"/>
        <w:pPr>
          <w:ind w:left="0" w:firstLine="0"/>
        </w:pPr>
        <w:rPr>
          <w:spacing w:val="0"/>
          <w:w w:val="100"/>
          <w:sz w:val="20"/>
          <w:szCs w:val="20"/>
        </w:rPr>
      </w:lvl>
    </w:lvlOverride>
  </w:num>
  <w:num w:numId="8">
    <w:abstractNumId w:val="0"/>
  </w:num>
  <w:num w:numId="9">
    <w:abstractNumId w:val="3"/>
  </w:num>
  <w:num w:numId="10">
    <w:abstractNumId w:val="8"/>
  </w:num>
  <w:num w:numId="11">
    <w:abstractNumId w:val="2"/>
  </w:num>
  <w:num w:numId="12">
    <w:abstractNumId w:val="12"/>
  </w:num>
  <w:num w:numId="13">
    <w:abstractNumId w:val="1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75"/>
  <w:hyphenationZone w:val="20"/>
  <w:doNotHyphenateCaps/>
  <w:evenAndOddHeaders/>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15*"/>
    <w:docVar w:name="CreationDt" w:val="07/05/2020 12:28:33"/>
    <w:docVar w:name="DocCategory" w:val="Doc"/>
    <w:docVar w:name="DocType" w:val="Final"/>
    <w:docVar w:name="DutyStation" w:val="Vienna"/>
    <w:docVar w:name="FooterJN" w:val="V.20-02415"/>
    <w:docVar w:name="jobn" w:val="V.20-02415 (E)"/>
    <w:docVar w:name="jobnDT" w:val="V.20-02415 (E)   070520"/>
    <w:docVar w:name="jobnDTDT" w:val="V.20-02415 (E)   070520   070520"/>
    <w:docVar w:name="JobNo" w:val="V.2002415E"/>
    <w:docVar w:name="JobNo2" w:val="2002415E"/>
    <w:docVar w:name="LocalDrive" w:val="0"/>
    <w:docVar w:name="OandT" w:val="JHK"/>
    <w:docVar w:name="sss1" w:val="A/CN.9/1011"/>
    <w:docVar w:name="sss2" w:val="-"/>
    <w:docVar w:name="Symbol1" w:val="A/CN.9/1011"/>
    <w:docVar w:name="Symbol2" w:val="-"/>
  </w:docVars>
  <w:rsids>
    <w:rsidRoot w:val="006D75F2"/>
    <w:rsid w:val="00000060"/>
    <w:rsid w:val="0000255E"/>
    <w:rsid w:val="00004394"/>
    <w:rsid w:val="00004428"/>
    <w:rsid w:val="00012805"/>
    <w:rsid w:val="0001325F"/>
    <w:rsid w:val="00015246"/>
    <w:rsid w:val="000171C3"/>
    <w:rsid w:val="00017FCF"/>
    <w:rsid w:val="000218FB"/>
    <w:rsid w:val="00024A19"/>
    <w:rsid w:val="00024D1E"/>
    <w:rsid w:val="000271EA"/>
    <w:rsid w:val="000405F3"/>
    <w:rsid w:val="000408AB"/>
    <w:rsid w:val="0004528C"/>
    <w:rsid w:val="00046054"/>
    <w:rsid w:val="000475AD"/>
    <w:rsid w:val="000509F3"/>
    <w:rsid w:val="00056EA5"/>
    <w:rsid w:val="00062455"/>
    <w:rsid w:val="000704E5"/>
    <w:rsid w:val="000836CD"/>
    <w:rsid w:val="00083F4E"/>
    <w:rsid w:val="000849E1"/>
    <w:rsid w:val="00084CE0"/>
    <w:rsid w:val="00086E7B"/>
    <w:rsid w:val="00092338"/>
    <w:rsid w:val="000A1382"/>
    <w:rsid w:val="000A2221"/>
    <w:rsid w:val="000A427A"/>
    <w:rsid w:val="000A62F8"/>
    <w:rsid w:val="000B3288"/>
    <w:rsid w:val="000B5AFB"/>
    <w:rsid w:val="000B5C4D"/>
    <w:rsid w:val="000C127F"/>
    <w:rsid w:val="000C26FD"/>
    <w:rsid w:val="000C2D5C"/>
    <w:rsid w:val="000C3D0A"/>
    <w:rsid w:val="000C4C9C"/>
    <w:rsid w:val="000D073E"/>
    <w:rsid w:val="000D2C79"/>
    <w:rsid w:val="000D7D65"/>
    <w:rsid w:val="000E004B"/>
    <w:rsid w:val="000E1AB7"/>
    <w:rsid w:val="000E2EBB"/>
    <w:rsid w:val="000E4D48"/>
    <w:rsid w:val="000E6756"/>
    <w:rsid w:val="000E7BAE"/>
    <w:rsid w:val="000F0EEE"/>
    <w:rsid w:val="000F3126"/>
    <w:rsid w:val="000F5266"/>
    <w:rsid w:val="00106537"/>
    <w:rsid w:val="00106AEB"/>
    <w:rsid w:val="00116F8A"/>
    <w:rsid w:val="0011766D"/>
    <w:rsid w:val="00121D87"/>
    <w:rsid w:val="00123280"/>
    <w:rsid w:val="00124AA4"/>
    <w:rsid w:val="00126B1C"/>
    <w:rsid w:val="00130BB0"/>
    <w:rsid w:val="00131791"/>
    <w:rsid w:val="00131DEA"/>
    <w:rsid w:val="0013661A"/>
    <w:rsid w:val="00140532"/>
    <w:rsid w:val="00145312"/>
    <w:rsid w:val="0014556D"/>
    <w:rsid w:val="00150878"/>
    <w:rsid w:val="00152625"/>
    <w:rsid w:val="0016254C"/>
    <w:rsid w:val="00166F3B"/>
    <w:rsid w:val="00175E1E"/>
    <w:rsid w:val="001825A6"/>
    <w:rsid w:val="001842DF"/>
    <w:rsid w:val="00184E7F"/>
    <w:rsid w:val="00185D89"/>
    <w:rsid w:val="00192F30"/>
    <w:rsid w:val="00196584"/>
    <w:rsid w:val="001A207A"/>
    <w:rsid w:val="001A2D7E"/>
    <w:rsid w:val="001A49B3"/>
    <w:rsid w:val="001A7A23"/>
    <w:rsid w:val="001C22A4"/>
    <w:rsid w:val="001C58E2"/>
    <w:rsid w:val="001C66B8"/>
    <w:rsid w:val="001C6709"/>
    <w:rsid w:val="001D79B0"/>
    <w:rsid w:val="001D79DF"/>
    <w:rsid w:val="001E05BB"/>
    <w:rsid w:val="001E683C"/>
    <w:rsid w:val="001E6C29"/>
    <w:rsid w:val="001E7101"/>
    <w:rsid w:val="001F2587"/>
    <w:rsid w:val="001F2790"/>
    <w:rsid w:val="002007C7"/>
    <w:rsid w:val="00200F9C"/>
    <w:rsid w:val="00201732"/>
    <w:rsid w:val="00214645"/>
    <w:rsid w:val="00221C1F"/>
    <w:rsid w:val="00225006"/>
    <w:rsid w:val="00226851"/>
    <w:rsid w:val="00231298"/>
    <w:rsid w:val="00237BF8"/>
    <w:rsid w:val="002430C5"/>
    <w:rsid w:val="002433E7"/>
    <w:rsid w:val="00243522"/>
    <w:rsid w:val="00244DD4"/>
    <w:rsid w:val="00245F28"/>
    <w:rsid w:val="0024644A"/>
    <w:rsid w:val="00246C42"/>
    <w:rsid w:val="00246FD6"/>
    <w:rsid w:val="00252269"/>
    <w:rsid w:val="00257516"/>
    <w:rsid w:val="00263A06"/>
    <w:rsid w:val="00267DA8"/>
    <w:rsid w:val="002706A2"/>
    <w:rsid w:val="00271FFA"/>
    <w:rsid w:val="00274A62"/>
    <w:rsid w:val="00284079"/>
    <w:rsid w:val="0028778C"/>
    <w:rsid w:val="00290916"/>
    <w:rsid w:val="00296FA9"/>
    <w:rsid w:val="002971A3"/>
    <w:rsid w:val="0029746B"/>
    <w:rsid w:val="002A14D8"/>
    <w:rsid w:val="002A52D7"/>
    <w:rsid w:val="002A5C23"/>
    <w:rsid w:val="002A7B9F"/>
    <w:rsid w:val="002B13CA"/>
    <w:rsid w:val="002B1B64"/>
    <w:rsid w:val="002B27FC"/>
    <w:rsid w:val="002B6E72"/>
    <w:rsid w:val="002C49B9"/>
    <w:rsid w:val="002C633D"/>
    <w:rsid w:val="002D0BEE"/>
    <w:rsid w:val="002D3613"/>
    <w:rsid w:val="002D5AB8"/>
    <w:rsid w:val="002D5B74"/>
    <w:rsid w:val="002D7604"/>
    <w:rsid w:val="002E09A8"/>
    <w:rsid w:val="002E319D"/>
    <w:rsid w:val="002E341A"/>
    <w:rsid w:val="002F08CB"/>
    <w:rsid w:val="002F0AA8"/>
    <w:rsid w:val="002F218A"/>
    <w:rsid w:val="002F3107"/>
    <w:rsid w:val="002F7D93"/>
    <w:rsid w:val="00300B6A"/>
    <w:rsid w:val="00306A0B"/>
    <w:rsid w:val="003079D9"/>
    <w:rsid w:val="00310E30"/>
    <w:rsid w:val="00312D6E"/>
    <w:rsid w:val="00313D0B"/>
    <w:rsid w:val="00314447"/>
    <w:rsid w:val="003241AC"/>
    <w:rsid w:val="00325411"/>
    <w:rsid w:val="00325F72"/>
    <w:rsid w:val="00331DC8"/>
    <w:rsid w:val="00333AB5"/>
    <w:rsid w:val="00340CAD"/>
    <w:rsid w:val="0034324E"/>
    <w:rsid w:val="00343BF4"/>
    <w:rsid w:val="00346E64"/>
    <w:rsid w:val="00347A23"/>
    <w:rsid w:val="00360F11"/>
    <w:rsid w:val="003629AA"/>
    <w:rsid w:val="00364019"/>
    <w:rsid w:val="00371A3B"/>
    <w:rsid w:val="00374226"/>
    <w:rsid w:val="00377120"/>
    <w:rsid w:val="00380398"/>
    <w:rsid w:val="00380A30"/>
    <w:rsid w:val="0038110A"/>
    <w:rsid w:val="00381BA7"/>
    <w:rsid w:val="00383625"/>
    <w:rsid w:val="00385560"/>
    <w:rsid w:val="00391CAB"/>
    <w:rsid w:val="003A0A16"/>
    <w:rsid w:val="003A3C53"/>
    <w:rsid w:val="003A6AA2"/>
    <w:rsid w:val="003B1840"/>
    <w:rsid w:val="003B4A3D"/>
    <w:rsid w:val="003B54EF"/>
    <w:rsid w:val="003B6DDB"/>
    <w:rsid w:val="003B7EDB"/>
    <w:rsid w:val="003C4F49"/>
    <w:rsid w:val="003D159A"/>
    <w:rsid w:val="003D2EAB"/>
    <w:rsid w:val="003D4C45"/>
    <w:rsid w:val="003D77BD"/>
    <w:rsid w:val="003D79C9"/>
    <w:rsid w:val="003E3B08"/>
    <w:rsid w:val="003E3BC5"/>
    <w:rsid w:val="003E53D8"/>
    <w:rsid w:val="003E723B"/>
    <w:rsid w:val="003F25BA"/>
    <w:rsid w:val="003F58EC"/>
    <w:rsid w:val="003F6F31"/>
    <w:rsid w:val="00406FCA"/>
    <w:rsid w:val="004113EC"/>
    <w:rsid w:val="00411A24"/>
    <w:rsid w:val="00416E78"/>
    <w:rsid w:val="00417294"/>
    <w:rsid w:val="00430767"/>
    <w:rsid w:val="004313D4"/>
    <w:rsid w:val="00436DDA"/>
    <w:rsid w:val="004409C2"/>
    <w:rsid w:val="00440F92"/>
    <w:rsid w:val="0044179B"/>
    <w:rsid w:val="00444805"/>
    <w:rsid w:val="00452A38"/>
    <w:rsid w:val="00453DB4"/>
    <w:rsid w:val="00454472"/>
    <w:rsid w:val="00455FB0"/>
    <w:rsid w:val="00460A31"/>
    <w:rsid w:val="00461DD5"/>
    <w:rsid w:val="00463F83"/>
    <w:rsid w:val="00471941"/>
    <w:rsid w:val="0047257A"/>
    <w:rsid w:val="00473F65"/>
    <w:rsid w:val="00474C1C"/>
    <w:rsid w:val="00476914"/>
    <w:rsid w:val="004856CD"/>
    <w:rsid w:val="004866C9"/>
    <w:rsid w:val="0049156E"/>
    <w:rsid w:val="00492ED8"/>
    <w:rsid w:val="00493BC2"/>
    <w:rsid w:val="0049526E"/>
    <w:rsid w:val="004A199E"/>
    <w:rsid w:val="004A238D"/>
    <w:rsid w:val="004A60B6"/>
    <w:rsid w:val="004A64D2"/>
    <w:rsid w:val="004A6554"/>
    <w:rsid w:val="004A703C"/>
    <w:rsid w:val="004B0B18"/>
    <w:rsid w:val="004B4C46"/>
    <w:rsid w:val="004B5A09"/>
    <w:rsid w:val="004C3B1F"/>
    <w:rsid w:val="004C7337"/>
    <w:rsid w:val="004D17DB"/>
    <w:rsid w:val="004D187F"/>
    <w:rsid w:val="004D3E48"/>
    <w:rsid w:val="004E2C0D"/>
    <w:rsid w:val="004E2D09"/>
    <w:rsid w:val="004E3408"/>
    <w:rsid w:val="004E5FE2"/>
    <w:rsid w:val="004E70C2"/>
    <w:rsid w:val="004F15D4"/>
    <w:rsid w:val="004F2F0D"/>
    <w:rsid w:val="004F4758"/>
    <w:rsid w:val="004F70CC"/>
    <w:rsid w:val="004F7C8F"/>
    <w:rsid w:val="00500D68"/>
    <w:rsid w:val="00503886"/>
    <w:rsid w:val="005067E7"/>
    <w:rsid w:val="00511384"/>
    <w:rsid w:val="005116C9"/>
    <w:rsid w:val="0051286B"/>
    <w:rsid w:val="005154F7"/>
    <w:rsid w:val="00520353"/>
    <w:rsid w:val="00522BA8"/>
    <w:rsid w:val="005239E2"/>
    <w:rsid w:val="00525648"/>
    <w:rsid w:val="00525C70"/>
    <w:rsid w:val="0052622A"/>
    <w:rsid w:val="00530BC3"/>
    <w:rsid w:val="00531BFC"/>
    <w:rsid w:val="00532313"/>
    <w:rsid w:val="00532A3B"/>
    <w:rsid w:val="00536FC7"/>
    <w:rsid w:val="0054091E"/>
    <w:rsid w:val="00541C3A"/>
    <w:rsid w:val="00541D03"/>
    <w:rsid w:val="0054652C"/>
    <w:rsid w:val="00546600"/>
    <w:rsid w:val="005502BE"/>
    <w:rsid w:val="005530C3"/>
    <w:rsid w:val="00556720"/>
    <w:rsid w:val="0056350E"/>
    <w:rsid w:val="00564E7E"/>
    <w:rsid w:val="005676F9"/>
    <w:rsid w:val="00567E74"/>
    <w:rsid w:val="00574314"/>
    <w:rsid w:val="0057687B"/>
    <w:rsid w:val="0058283C"/>
    <w:rsid w:val="0058554F"/>
    <w:rsid w:val="005914AB"/>
    <w:rsid w:val="00593ADD"/>
    <w:rsid w:val="00593D33"/>
    <w:rsid w:val="005A1CBD"/>
    <w:rsid w:val="005A2C8C"/>
    <w:rsid w:val="005B47FD"/>
    <w:rsid w:val="005B51AD"/>
    <w:rsid w:val="005B6EE1"/>
    <w:rsid w:val="005C46BE"/>
    <w:rsid w:val="005C49C8"/>
    <w:rsid w:val="005C741C"/>
    <w:rsid w:val="005D09C4"/>
    <w:rsid w:val="005D2071"/>
    <w:rsid w:val="005D2A9E"/>
    <w:rsid w:val="005D3F17"/>
    <w:rsid w:val="005D4B14"/>
    <w:rsid w:val="005E1677"/>
    <w:rsid w:val="005E55D5"/>
    <w:rsid w:val="005F1DE8"/>
    <w:rsid w:val="005F2F1C"/>
    <w:rsid w:val="005F42D9"/>
    <w:rsid w:val="005F4F13"/>
    <w:rsid w:val="005F7176"/>
    <w:rsid w:val="0060145F"/>
    <w:rsid w:val="006027DA"/>
    <w:rsid w:val="00602E7A"/>
    <w:rsid w:val="00603F2C"/>
    <w:rsid w:val="00605ECC"/>
    <w:rsid w:val="00612565"/>
    <w:rsid w:val="00612A8A"/>
    <w:rsid w:val="006137E4"/>
    <w:rsid w:val="00616BD9"/>
    <w:rsid w:val="006306E0"/>
    <w:rsid w:val="00632445"/>
    <w:rsid w:val="00632D5E"/>
    <w:rsid w:val="0063595F"/>
    <w:rsid w:val="00636929"/>
    <w:rsid w:val="00637829"/>
    <w:rsid w:val="0064252E"/>
    <w:rsid w:val="006426CC"/>
    <w:rsid w:val="006430FB"/>
    <w:rsid w:val="00646136"/>
    <w:rsid w:val="00650106"/>
    <w:rsid w:val="00651750"/>
    <w:rsid w:val="00655C0A"/>
    <w:rsid w:val="00656462"/>
    <w:rsid w:val="00661FC2"/>
    <w:rsid w:val="00663911"/>
    <w:rsid w:val="00664E5A"/>
    <w:rsid w:val="00665920"/>
    <w:rsid w:val="00667EC1"/>
    <w:rsid w:val="00670329"/>
    <w:rsid w:val="0067104F"/>
    <w:rsid w:val="00674235"/>
    <w:rsid w:val="00674A5C"/>
    <w:rsid w:val="0068093E"/>
    <w:rsid w:val="00683109"/>
    <w:rsid w:val="00686EBD"/>
    <w:rsid w:val="006A0B37"/>
    <w:rsid w:val="006A16BD"/>
    <w:rsid w:val="006A7E57"/>
    <w:rsid w:val="006B02E3"/>
    <w:rsid w:val="006B15AF"/>
    <w:rsid w:val="006B5CBD"/>
    <w:rsid w:val="006B60B1"/>
    <w:rsid w:val="006C029B"/>
    <w:rsid w:val="006C179C"/>
    <w:rsid w:val="006C792F"/>
    <w:rsid w:val="006D1345"/>
    <w:rsid w:val="006D3662"/>
    <w:rsid w:val="006D4694"/>
    <w:rsid w:val="006D6278"/>
    <w:rsid w:val="006D65D7"/>
    <w:rsid w:val="006D75F2"/>
    <w:rsid w:val="006E18DD"/>
    <w:rsid w:val="006E19F3"/>
    <w:rsid w:val="006E2FA3"/>
    <w:rsid w:val="006E621B"/>
    <w:rsid w:val="006F3318"/>
    <w:rsid w:val="006F67F9"/>
    <w:rsid w:val="006F722A"/>
    <w:rsid w:val="00700FC5"/>
    <w:rsid w:val="0070514C"/>
    <w:rsid w:val="00707CAD"/>
    <w:rsid w:val="00707E47"/>
    <w:rsid w:val="00712368"/>
    <w:rsid w:val="0071243E"/>
    <w:rsid w:val="00713313"/>
    <w:rsid w:val="007308F2"/>
    <w:rsid w:val="0073270D"/>
    <w:rsid w:val="007339EB"/>
    <w:rsid w:val="00746C9F"/>
    <w:rsid w:val="00747697"/>
    <w:rsid w:val="00747B24"/>
    <w:rsid w:val="00752137"/>
    <w:rsid w:val="007521BA"/>
    <w:rsid w:val="00754BDE"/>
    <w:rsid w:val="00756778"/>
    <w:rsid w:val="00764DD9"/>
    <w:rsid w:val="007723F2"/>
    <w:rsid w:val="00776960"/>
    <w:rsid w:val="00777887"/>
    <w:rsid w:val="0078000D"/>
    <w:rsid w:val="00781AD4"/>
    <w:rsid w:val="007821B2"/>
    <w:rsid w:val="00783AE5"/>
    <w:rsid w:val="007852A3"/>
    <w:rsid w:val="0079394E"/>
    <w:rsid w:val="007947CF"/>
    <w:rsid w:val="00795CEA"/>
    <w:rsid w:val="00795F36"/>
    <w:rsid w:val="00797DEB"/>
    <w:rsid w:val="007A0177"/>
    <w:rsid w:val="007A29E5"/>
    <w:rsid w:val="007A42AF"/>
    <w:rsid w:val="007A4C14"/>
    <w:rsid w:val="007A540B"/>
    <w:rsid w:val="007A55EF"/>
    <w:rsid w:val="007A59F0"/>
    <w:rsid w:val="007A620C"/>
    <w:rsid w:val="007A6711"/>
    <w:rsid w:val="007B1CE6"/>
    <w:rsid w:val="007B7419"/>
    <w:rsid w:val="007C432C"/>
    <w:rsid w:val="007D119A"/>
    <w:rsid w:val="007E423B"/>
    <w:rsid w:val="007E67D8"/>
    <w:rsid w:val="007F0A73"/>
    <w:rsid w:val="007F1EE6"/>
    <w:rsid w:val="007F4CFF"/>
    <w:rsid w:val="007F6BBC"/>
    <w:rsid w:val="008012F2"/>
    <w:rsid w:val="00801C96"/>
    <w:rsid w:val="00801D13"/>
    <w:rsid w:val="008030E2"/>
    <w:rsid w:val="00804C9E"/>
    <w:rsid w:val="00810095"/>
    <w:rsid w:val="00811400"/>
    <w:rsid w:val="0081247C"/>
    <w:rsid w:val="008146FA"/>
    <w:rsid w:val="0081506A"/>
    <w:rsid w:val="00831E0A"/>
    <w:rsid w:val="008348E9"/>
    <w:rsid w:val="00837D36"/>
    <w:rsid w:val="00846D29"/>
    <w:rsid w:val="008502D9"/>
    <w:rsid w:val="008517FA"/>
    <w:rsid w:val="00851D98"/>
    <w:rsid w:val="00855FFA"/>
    <w:rsid w:val="00857917"/>
    <w:rsid w:val="00861D99"/>
    <w:rsid w:val="00861F4F"/>
    <w:rsid w:val="00864E1A"/>
    <w:rsid w:val="008723C3"/>
    <w:rsid w:val="008760AD"/>
    <w:rsid w:val="00881D47"/>
    <w:rsid w:val="00885ADE"/>
    <w:rsid w:val="00890050"/>
    <w:rsid w:val="00890662"/>
    <w:rsid w:val="0089085F"/>
    <w:rsid w:val="00890F2A"/>
    <w:rsid w:val="00895B1A"/>
    <w:rsid w:val="008A156F"/>
    <w:rsid w:val="008A7AD6"/>
    <w:rsid w:val="008B2236"/>
    <w:rsid w:val="008B7E36"/>
    <w:rsid w:val="008C0911"/>
    <w:rsid w:val="008C51A1"/>
    <w:rsid w:val="008C7172"/>
    <w:rsid w:val="008D539F"/>
    <w:rsid w:val="008D63AB"/>
    <w:rsid w:val="008E2513"/>
    <w:rsid w:val="008E3FBD"/>
    <w:rsid w:val="008E4788"/>
    <w:rsid w:val="008F1C5D"/>
    <w:rsid w:val="0090186A"/>
    <w:rsid w:val="00901EC9"/>
    <w:rsid w:val="00902A56"/>
    <w:rsid w:val="00902D0E"/>
    <w:rsid w:val="00903FCB"/>
    <w:rsid w:val="009041A7"/>
    <w:rsid w:val="0091606B"/>
    <w:rsid w:val="0092561C"/>
    <w:rsid w:val="00927A04"/>
    <w:rsid w:val="00933BE0"/>
    <w:rsid w:val="009367E4"/>
    <w:rsid w:val="00943BE1"/>
    <w:rsid w:val="00947922"/>
    <w:rsid w:val="00947C23"/>
    <w:rsid w:val="009517EC"/>
    <w:rsid w:val="0095373C"/>
    <w:rsid w:val="009605D9"/>
    <w:rsid w:val="00961316"/>
    <w:rsid w:val="0096140F"/>
    <w:rsid w:val="00962D13"/>
    <w:rsid w:val="00963489"/>
    <w:rsid w:val="009650E5"/>
    <w:rsid w:val="00965622"/>
    <w:rsid w:val="00972EFC"/>
    <w:rsid w:val="00977851"/>
    <w:rsid w:val="00980467"/>
    <w:rsid w:val="0098504C"/>
    <w:rsid w:val="0098787D"/>
    <w:rsid w:val="00992F85"/>
    <w:rsid w:val="00994D27"/>
    <w:rsid w:val="0099637B"/>
    <w:rsid w:val="009A1448"/>
    <w:rsid w:val="009B3F78"/>
    <w:rsid w:val="009C0A74"/>
    <w:rsid w:val="009C11F9"/>
    <w:rsid w:val="009C70BE"/>
    <w:rsid w:val="009D4AE7"/>
    <w:rsid w:val="009D6774"/>
    <w:rsid w:val="009E0663"/>
    <w:rsid w:val="009E14E9"/>
    <w:rsid w:val="009E1969"/>
    <w:rsid w:val="009E3871"/>
    <w:rsid w:val="009E54BE"/>
    <w:rsid w:val="009E6CB2"/>
    <w:rsid w:val="009E711D"/>
    <w:rsid w:val="009F1B96"/>
    <w:rsid w:val="009F404D"/>
    <w:rsid w:val="009F4B4A"/>
    <w:rsid w:val="009F5786"/>
    <w:rsid w:val="009F6148"/>
    <w:rsid w:val="009F7640"/>
    <w:rsid w:val="009F7AD0"/>
    <w:rsid w:val="00A0437F"/>
    <w:rsid w:val="00A052B3"/>
    <w:rsid w:val="00A10DD6"/>
    <w:rsid w:val="00A16480"/>
    <w:rsid w:val="00A20AC0"/>
    <w:rsid w:val="00A266DC"/>
    <w:rsid w:val="00A308E7"/>
    <w:rsid w:val="00A30DCB"/>
    <w:rsid w:val="00A30ED6"/>
    <w:rsid w:val="00A31A09"/>
    <w:rsid w:val="00A32A01"/>
    <w:rsid w:val="00A3665D"/>
    <w:rsid w:val="00A412A3"/>
    <w:rsid w:val="00A41B0A"/>
    <w:rsid w:val="00A43076"/>
    <w:rsid w:val="00A50D77"/>
    <w:rsid w:val="00A566ED"/>
    <w:rsid w:val="00A57FBE"/>
    <w:rsid w:val="00A62F6B"/>
    <w:rsid w:val="00A64F68"/>
    <w:rsid w:val="00A65457"/>
    <w:rsid w:val="00A655F9"/>
    <w:rsid w:val="00A65B42"/>
    <w:rsid w:val="00A67B69"/>
    <w:rsid w:val="00A73452"/>
    <w:rsid w:val="00A75CF7"/>
    <w:rsid w:val="00A76EAA"/>
    <w:rsid w:val="00A81678"/>
    <w:rsid w:val="00A83E4B"/>
    <w:rsid w:val="00A922A4"/>
    <w:rsid w:val="00A93A73"/>
    <w:rsid w:val="00A93E78"/>
    <w:rsid w:val="00A9537E"/>
    <w:rsid w:val="00A95CC4"/>
    <w:rsid w:val="00A9697F"/>
    <w:rsid w:val="00A96E15"/>
    <w:rsid w:val="00AA2E74"/>
    <w:rsid w:val="00AA31F4"/>
    <w:rsid w:val="00AB2BAB"/>
    <w:rsid w:val="00AB42E0"/>
    <w:rsid w:val="00AB75D7"/>
    <w:rsid w:val="00AB7DA3"/>
    <w:rsid w:val="00AC0076"/>
    <w:rsid w:val="00AC617F"/>
    <w:rsid w:val="00AC61CA"/>
    <w:rsid w:val="00AD26D4"/>
    <w:rsid w:val="00AD41D1"/>
    <w:rsid w:val="00AD7AA0"/>
    <w:rsid w:val="00AE017A"/>
    <w:rsid w:val="00AE2311"/>
    <w:rsid w:val="00AE65B5"/>
    <w:rsid w:val="00AE72A3"/>
    <w:rsid w:val="00B02E60"/>
    <w:rsid w:val="00B03ADE"/>
    <w:rsid w:val="00B105FD"/>
    <w:rsid w:val="00B14879"/>
    <w:rsid w:val="00B2110D"/>
    <w:rsid w:val="00B21852"/>
    <w:rsid w:val="00B27E2C"/>
    <w:rsid w:val="00B30540"/>
    <w:rsid w:val="00B32134"/>
    <w:rsid w:val="00B34822"/>
    <w:rsid w:val="00B40842"/>
    <w:rsid w:val="00B408F2"/>
    <w:rsid w:val="00B4357B"/>
    <w:rsid w:val="00B4359D"/>
    <w:rsid w:val="00B47E12"/>
    <w:rsid w:val="00B5230D"/>
    <w:rsid w:val="00B524DF"/>
    <w:rsid w:val="00B54398"/>
    <w:rsid w:val="00B55A34"/>
    <w:rsid w:val="00B55F00"/>
    <w:rsid w:val="00B56A03"/>
    <w:rsid w:val="00B56BE9"/>
    <w:rsid w:val="00B608E0"/>
    <w:rsid w:val="00B6126B"/>
    <w:rsid w:val="00B61672"/>
    <w:rsid w:val="00B65798"/>
    <w:rsid w:val="00B67ED2"/>
    <w:rsid w:val="00B7059B"/>
    <w:rsid w:val="00B70786"/>
    <w:rsid w:val="00B707B6"/>
    <w:rsid w:val="00B737B1"/>
    <w:rsid w:val="00B81661"/>
    <w:rsid w:val="00B81D6D"/>
    <w:rsid w:val="00B90F09"/>
    <w:rsid w:val="00B92CC5"/>
    <w:rsid w:val="00B93E6C"/>
    <w:rsid w:val="00B95410"/>
    <w:rsid w:val="00B965A6"/>
    <w:rsid w:val="00B976B9"/>
    <w:rsid w:val="00BA2F69"/>
    <w:rsid w:val="00BA666B"/>
    <w:rsid w:val="00BB0133"/>
    <w:rsid w:val="00BB0871"/>
    <w:rsid w:val="00BB0C34"/>
    <w:rsid w:val="00BB35AD"/>
    <w:rsid w:val="00BB35E3"/>
    <w:rsid w:val="00BB3F72"/>
    <w:rsid w:val="00BB4F81"/>
    <w:rsid w:val="00BB5C57"/>
    <w:rsid w:val="00BB5C7D"/>
    <w:rsid w:val="00BC09BB"/>
    <w:rsid w:val="00BC1AC7"/>
    <w:rsid w:val="00BC233F"/>
    <w:rsid w:val="00BC2A9C"/>
    <w:rsid w:val="00BC39E7"/>
    <w:rsid w:val="00BD3FB8"/>
    <w:rsid w:val="00BE196B"/>
    <w:rsid w:val="00BE2B0E"/>
    <w:rsid w:val="00BE2D8D"/>
    <w:rsid w:val="00BE3768"/>
    <w:rsid w:val="00BF3B50"/>
    <w:rsid w:val="00BF5B27"/>
    <w:rsid w:val="00BF62C0"/>
    <w:rsid w:val="00BF6BE0"/>
    <w:rsid w:val="00C01367"/>
    <w:rsid w:val="00C035A2"/>
    <w:rsid w:val="00C2210F"/>
    <w:rsid w:val="00C33C6B"/>
    <w:rsid w:val="00C36ADC"/>
    <w:rsid w:val="00C408C9"/>
    <w:rsid w:val="00C4472B"/>
    <w:rsid w:val="00C44797"/>
    <w:rsid w:val="00C45205"/>
    <w:rsid w:val="00C511CB"/>
    <w:rsid w:val="00C51B5D"/>
    <w:rsid w:val="00C57738"/>
    <w:rsid w:val="00C6064F"/>
    <w:rsid w:val="00C635C5"/>
    <w:rsid w:val="00C66181"/>
    <w:rsid w:val="00C673F0"/>
    <w:rsid w:val="00C717D6"/>
    <w:rsid w:val="00C72890"/>
    <w:rsid w:val="00C76623"/>
    <w:rsid w:val="00C779E4"/>
    <w:rsid w:val="00C820CF"/>
    <w:rsid w:val="00C83709"/>
    <w:rsid w:val="00C9144C"/>
    <w:rsid w:val="00C93570"/>
    <w:rsid w:val="00C96618"/>
    <w:rsid w:val="00C97A56"/>
    <w:rsid w:val="00CA7B63"/>
    <w:rsid w:val="00CC18EC"/>
    <w:rsid w:val="00CC27E3"/>
    <w:rsid w:val="00CC3D17"/>
    <w:rsid w:val="00CC61EA"/>
    <w:rsid w:val="00CD4AC4"/>
    <w:rsid w:val="00CD78F5"/>
    <w:rsid w:val="00CD7AE7"/>
    <w:rsid w:val="00CE0811"/>
    <w:rsid w:val="00CE1A35"/>
    <w:rsid w:val="00CE1F37"/>
    <w:rsid w:val="00CE320F"/>
    <w:rsid w:val="00CF66D4"/>
    <w:rsid w:val="00CF7580"/>
    <w:rsid w:val="00D0140E"/>
    <w:rsid w:val="00D01FED"/>
    <w:rsid w:val="00D06BA3"/>
    <w:rsid w:val="00D0762D"/>
    <w:rsid w:val="00D076E0"/>
    <w:rsid w:val="00D1360D"/>
    <w:rsid w:val="00D13ADA"/>
    <w:rsid w:val="00D140E1"/>
    <w:rsid w:val="00D16D4C"/>
    <w:rsid w:val="00D2432A"/>
    <w:rsid w:val="00D26A24"/>
    <w:rsid w:val="00D3027E"/>
    <w:rsid w:val="00D31A16"/>
    <w:rsid w:val="00D35EBB"/>
    <w:rsid w:val="00D405C1"/>
    <w:rsid w:val="00D42722"/>
    <w:rsid w:val="00D45C24"/>
    <w:rsid w:val="00D47675"/>
    <w:rsid w:val="00D511A7"/>
    <w:rsid w:val="00D52532"/>
    <w:rsid w:val="00D526E8"/>
    <w:rsid w:val="00D5715F"/>
    <w:rsid w:val="00D61D9F"/>
    <w:rsid w:val="00D622A2"/>
    <w:rsid w:val="00D64ADB"/>
    <w:rsid w:val="00D7007D"/>
    <w:rsid w:val="00D7101C"/>
    <w:rsid w:val="00D72CA0"/>
    <w:rsid w:val="00D74C75"/>
    <w:rsid w:val="00D77C3C"/>
    <w:rsid w:val="00D86E16"/>
    <w:rsid w:val="00D94A42"/>
    <w:rsid w:val="00DB2678"/>
    <w:rsid w:val="00DC0E56"/>
    <w:rsid w:val="00DC491F"/>
    <w:rsid w:val="00DC65D8"/>
    <w:rsid w:val="00DC692F"/>
    <w:rsid w:val="00DC7B16"/>
    <w:rsid w:val="00DD0E55"/>
    <w:rsid w:val="00DD19A6"/>
    <w:rsid w:val="00DD2C58"/>
    <w:rsid w:val="00DD42F7"/>
    <w:rsid w:val="00DD5BCC"/>
    <w:rsid w:val="00DD68C5"/>
    <w:rsid w:val="00DE076C"/>
    <w:rsid w:val="00DE31CA"/>
    <w:rsid w:val="00DE378A"/>
    <w:rsid w:val="00DE392A"/>
    <w:rsid w:val="00DE53C8"/>
    <w:rsid w:val="00DF1FA0"/>
    <w:rsid w:val="00DF522A"/>
    <w:rsid w:val="00DF6474"/>
    <w:rsid w:val="00E020EF"/>
    <w:rsid w:val="00E05777"/>
    <w:rsid w:val="00E14C51"/>
    <w:rsid w:val="00E324C9"/>
    <w:rsid w:val="00E33B3F"/>
    <w:rsid w:val="00E36428"/>
    <w:rsid w:val="00E421DD"/>
    <w:rsid w:val="00E4365E"/>
    <w:rsid w:val="00E438E8"/>
    <w:rsid w:val="00E463C0"/>
    <w:rsid w:val="00E46C7F"/>
    <w:rsid w:val="00E50B0E"/>
    <w:rsid w:val="00E53954"/>
    <w:rsid w:val="00E53BC2"/>
    <w:rsid w:val="00E53D32"/>
    <w:rsid w:val="00E560BE"/>
    <w:rsid w:val="00E56DB8"/>
    <w:rsid w:val="00E636A1"/>
    <w:rsid w:val="00E64DDA"/>
    <w:rsid w:val="00E65995"/>
    <w:rsid w:val="00E6762D"/>
    <w:rsid w:val="00E720F1"/>
    <w:rsid w:val="00E74E90"/>
    <w:rsid w:val="00E80A85"/>
    <w:rsid w:val="00E862FD"/>
    <w:rsid w:val="00E863C1"/>
    <w:rsid w:val="00E86C7F"/>
    <w:rsid w:val="00E870C2"/>
    <w:rsid w:val="00E92AC5"/>
    <w:rsid w:val="00E96FCF"/>
    <w:rsid w:val="00E97DDB"/>
    <w:rsid w:val="00EA0717"/>
    <w:rsid w:val="00EA4DDD"/>
    <w:rsid w:val="00EB3243"/>
    <w:rsid w:val="00EB5993"/>
    <w:rsid w:val="00EC09A6"/>
    <w:rsid w:val="00EC3ECC"/>
    <w:rsid w:val="00EC7072"/>
    <w:rsid w:val="00ED0016"/>
    <w:rsid w:val="00ED1094"/>
    <w:rsid w:val="00ED42F5"/>
    <w:rsid w:val="00ED5AA7"/>
    <w:rsid w:val="00ED603E"/>
    <w:rsid w:val="00EE1E72"/>
    <w:rsid w:val="00EE570F"/>
    <w:rsid w:val="00EE58CC"/>
    <w:rsid w:val="00F06771"/>
    <w:rsid w:val="00F1608A"/>
    <w:rsid w:val="00F25151"/>
    <w:rsid w:val="00F27BF6"/>
    <w:rsid w:val="00F30184"/>
    <w:rsid w:val="00F315AB"/>
    <w:rsid w:val="00F375A1"/>
    <w:rsid w:val="00F40458"/>
    <w:rsid w:val="00F404B5"/>
    <w:rsid w:val="00F449CF"/>
    <w:rsid w:val="00F44C93"/>
    <w:rsid w:val="00F51386"/>
    <w:rsid w:val="00F5593E"/>
    <w:rsid w:val="00F56BA2"/>
    <w:rsid w:val="00F63C61"/>
    <w:rsid w:val="00F64866"/>
    <w:rsid w:val="00F6553D"/>
    <w:rsid w:val="00F6608F"/>
    <w:rsid w:val="00F6631B"/>
    <w:rsid w:val="00F665FD"/>
    <w:rsid w:val="00F66E5B"/>
    <w:rsid w:val="00F70F8F"/>
    <w:rsid w:val="00F72266"/>
    <w:rsid w:val="00F7292C"/>
    <w:rsid w:val="00F72B00"/>
    <w:rsid w:val="00F7600D"/>
    <w:rsid w:val="00F77454"/>
    <w:rsid w:val="00F8047E"/>
    <w:rsid w:val="00F83AAF"/>
    <w:rsid w:val="00F85F73"/>
    <w:rsid w:val="00F8600E"/>
    <w:rsid w:val="00F873CE"/>
    <w:rsid w:val="00F874E3"/>
    <w:rsid w:val="00F8779C"/>
    <w:rsid w:val="00F9329C"/>
    <w:rsid w:val="00F94BC6"/>
    <w:rsid w:val="00F96AC4"/>
    <w:rsid w:val="00F96CF0"/>
    <w:rsid w:val="00FA06F8"/>
    <w:rsid w:val="00FA7098"/>
    <w:rsid w:val="00FB0B35"/>
    <w:rsid w:val="00FB1A12"/>
    <w:rsid w:val="00FB5275"/>
    <w:rsid w:val="00FC20EF"/>
    <w:rsid w:val="00FC2973"/>
    <w:rsid w:val="00FC3B48"/>
    <w:rsid w:val="00FC49F5"/>
    <w:rsid w:val="00FC7D39"/>
    <w:rsid w:val="00FD088D"/>
    <w:rsid w:val="00FD2468"/>
    <w:rsid w:val="00FF27FD"/>
    <w:rsid w:val="00FF7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D295D9"/>
  <w15:chartTrackingRefBased/>
  <w15:docId w15:val="{4941A45F-FBC5-4952-9CAC-8BE7D2E9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13"/>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3A0A1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3A0A16"/>
    <w:pPr>
      <w:numPr>
        <w:ilvl w:val="7"/>
        <w:numId w:val="5"/>
      </w:numPr>
      <w:outlineLvl w:val="7"/>
    </w:pPr>
    <w:rPr>
      <w:rFonts w:ascii="Cambria" w:eastAsia="Times New Roman" w:hAnsi="Cambria"/>
    </w:rPr>
  </w:style>
  <w:style w:type="paragraph" w:styleId="Heading9">
    <w:name w:val="heading 9"/>
    <w:basedOn w:val="Normal"/>
    <w:next w:val="Normal"/>
    <w:link w:val="Heading9Char"/>
    <w:uiPriority w:val="9"/>
    <w:unhideWhenUsed/>
    <w:qFormat/>
    <w:rsid w:val="003A0A16"/>
    <w:pPr>
      <w:numPr>
        <w:ilvl w:val="8"/>
        <w:numId w:val="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4F7C8F"/>
    <w:pPr>
      <w:spacing w:line="300" w:lineRule="exact"/>
      <w:ind w:left="0" w:right="0" w:firstLine="0"/>
    </w:pPr>
    <w:rPr>
      <w:spacing w:val="-2"/>
      <w:sz w:val="28"/>
    </w:rPr>
  </w:style>
  <w:style w:type="paragraph" w:customStyle="1" w:styleId="HM">
    <w:name w:val="_ H __M"/>
    <w:basedOn w:val="HCh"/>
    <w:next w:val="Normal"/>
    <w:rsid w:val="004F7C8F"/>
    <w:pPr>
      <w:spacing w:line="360" w:lineRule="exact"/>
    </w:pPr>
    <w:rPr>
      <w:spacing w:val="-3"/>
      <w:w w:val="99"/>
      <w:sz w:val="34"/>
    </w:rPr>
  </w:style>
  <w:style w:type="paragraph" w:customStyle="1" w:styleId="H23">
    <w:name w:val="_ H_2/3"/>
    <w:basedOn w:val="H1"/>
    <w:next w:val="DualTxt"/>
    <w:rsid w:val="004F7C8F"/>
    <w:pPr>
      <w:spacing w:line="240" w:lineRule="exact"/>
      <w:outlineLvl w:val="1"/>
    </w:pPr>
    <w:rPr>
      <w:spacing w:val="2"/>
      <w:sz w:val="20"/>
    </w:rPr>
  </w:style>
  <w:style w:type="paragraph" w:customStyle="1" w:styleId="H4">
    <w:name w:val="_ H_4"/>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F7C8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7C8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7C8F"/>
    <w:pPr>
      <w:spacing w:line="540" w:lineRule="exact"/>
    </w:pPr>
    <w:rPr>
      <w:spacing w:val="-8"/>
      <w:w w:val="96"/>
      <w:sz w:val="57"/>
    </w:rPr>
  </w:style>
  <w:style w:type="paragraph" w:customStyle="1" w:styleId="SS">
    <w:name w:val="__S_S"/>
    <w:basedOn w:val="HCh"/>
    <w:next w:val="Normal"/>
    <w:rsid w:val="004F7C8F"/>
    <w:pPr>
      <w:ind w:left="1267" w:right="1267"/>
    </w:pPr>
  </w:style>
  <w:style w:type="paragraph" w:customStyle="1" w:styleId="SingleTxt">
    <w:name w:val="__Single Txt"/>
    <w:basedOn w:val="Normal"/>
    <w:link w:val="SingleTxtChar"/>
    <w:qFormat/>
    <w:rsid w:val="004F7C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F7C8F"/>
    <w:pPr>
      <w:keepNext w:val="0"/>
      <w:keepLines w:val="0"/>
    </w:pPr>
  </w:style>
  <w:style w:type="paragraph" w:customStyle="1" w:styleId="AgendaTitleH2">
    <w:name w:val="Agenda_Title_H2"/>
    <w:basedOn w:val="TitleH1"/>
    <w:next w:val="Normal"/>
    <w:qFormat/>
    <w:rsid w:val="004F7C8F"/>
    <w:pPr>
      <w:keepNext/>
      <w:keepLines/>
      <w:spacing w:line="240" w:lineRule="exact"/>
      <w:ind w:left="0" w:firstLine="0"/>
      <w:outlineLvl w:val="1"/>
    </w:pPr>
    <w:rPr>
      <w:sz w:val="20"/>
    </w:rPr>
  </w:style>
  <w:style w:type="paragraph" w:styleId="BalloonText">
    <w:name w:val="Balloon Text"/>
    <w:basedOn w:val="Normal"/>
    <w:link w:val="BalloonTextChar"/>
    <w:semiHidden/>
    <w:rsid w:val="004F7C8F"/>
    <w:rPr>
      <w:rFonts w:ascii="Tahoma" w:hAnsi="Tahoma" w:cs="Tahoma"/>
      <w:sz w:val="16"/>
      <w:szCs w:val="16"/>
    </w:rPr>
  </w:style>
  <w:style w:type="character" w:customStyle="1" w:styleId="BalloonTextChar">
    <w:name w:val="Balloon Text Char"/>
    <w:basedOn w:val="DefaultParagraphFont"/>
    <w:link w:val="BalloonText"/>
    <w:semiHidden/>
    <w:rsid w:val="004F7C8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7C8F"/>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4F7C8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F7C8F"/>
    <w:rPr>
      <w:sz w:val="6"/>
    </w:rPr>
  </w:style>
  <w:style w:type="paragraph" w:customStyle="1" w:styleId="Distribution">
    <w:name w:val="Distribution"/>
    <w:next w:val="Normal"/>
    <w:rsid w:val="004F7C8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7C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F7C8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4F7C8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7C8F"/>
  </w:style>
  <w:style w:type="character" w:customStyle="1" w:styleId="EndnoteTextChar">
    <w:name w:val="Endnote Text Char"/>
    <w:basedOn w:val="DefaultParagraphFont"/>
    <w:link w:val="EndnoteText"/>
    <w:semiHidden/>
    <w:rsid w:val="004F7C8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7C8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7C8F"/>
    <w:rPr>
      <w:rFonts w:ascii="Times New Roman" w:eastAsiaTheme="minorHAnsi" w:hAnsi="Times New Roman" w:cs="Times New Roman"/>
      <w:b/>
      <w:noProof/>
      <w:sz w:val="17"/>
      <w:szCs w:val="20"/>
      <w:lang w:val="en-US" w:eastAsia="en-US"/>
    </w:rPr>
  </w:style>
  <w:style w:type="character" w:styleId="FootnoteReference">
    <w:name w:val="footnote reference"/>
    <w:aliases w:val="BVI fnr,Footnote,Ref,Ref. de nota al pie,de nota al pie,ftref,Знак сноски 1"/>
    <w:uiPriority w:val="99"/>
    <w:rsid w:val="004F7C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F7C8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7C8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F7C8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7C8F"/>
    <w:pPr>
      <w:tabs>
        <w:tab w:val="right" w:pos="9965"/>
      </w:tabs>
      <w:spacing w:line="210" w:lineRule="exact"/>
    </w:pPr>
    <w:rPr>
      <w:spacing w:val="5"/>
      <w:w w:val="104"/>
      <w:sz w:val="17"/>
    </w:rPr>
  </w:style>
  <w:style w:type="paragraph" w:customStyle="1" w:styleId="SmallX">
    <w:name w:val="SmallX"/>
    <w:basedOn w:val="Small"/>
    <w:next w:val="Normal"/>
    <w:rsid w:val="004F7C8F"/>
    <w:pPr>
      <w:spacing w:line="180" w:lineRule="exact"/>
      <w:jc w:val="right"/>
    </w:pPr>
    <w:rPr>
      <w:spacing w:val="6"/>
      <w:w w:val="106"/>
      <w:sz w:val="14"/>
    </w:rPr>
  </w:style>
  <w:style w:type="paragraph" w:customStyle="1" w:styleId="TitleHCH">
    <w:name w:val="Title_H_CH"/>
    <w:basedOn w:val="Normal"/>
    <w:next w:val="SingleTxt"/>
    <w:qFormat/>
    <w:rsid w:val="004F7C8F"/>
  </w:style>
  <w:style w:type="paragraph" w:customStyle="1" w:styleId="TitleH2">
    <w:name w:val="Title_H2"/>
    <w:basedOn w:val="H23"/>
    <w:qFormat/>
    <w:rsid w:val="004F7C8F"/>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4F7C8F"/>
    <w:pPr>
      <w:spacing w:line="390" w:lineRule="exact"/>
    </w:pPr>
    <w:rPr>
      <w:spacing w:val="-4"/>
      <w:w w:val="98"/>
      <w:sz w:val="40"/>
    </w:rPr>
  </w:style>
  <w:style w:type="character" w:styleId="Hyperlink">
    <w:name w:val="Hyperlink"/>
    <w:basedOn w:val="DefaultParagraphFont"/>
    <w:uiPriority w:val="99"/>
    <w:rsid w:val="004F7C8F"/>
    <w:rPr>
      <w:color w:val="0000FF" w:themeColor="hyperlink"/>
      <w:u w:val="none"/>
    </w:rPr>
  </w:style>
  <w:style w:type="paragraph" w:styleId="PlainText">
    <w:name w:val="Plain Text"/>
    <w:basedOn w:val="Normal"/>
    <w:link w:val="PlainTextChar"/>
    <w:rsid w:val="004F7C8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7C8F"/>
    <w:rPr>
      <w:rFonts w:ascii="Courier New" w:eastAsia="Times New Roman" w:hAnsi="Courier New" w:cs="Times New Roman"/>
      <w:sz w:val="20"/>
      <w:szCs w:val="20"/>
      <w:lang w:val="en-US" w:eastAsia="en-GB"/>
    </w:rPr>
  </w:style>
  <w:style w:type="paragraph" w:customStyle="1" w:styleId="ReleaseDate0">
    <w:name w:val="Release Date"/>
    <w:next w:val="Footer"/>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7C8F"/>
    <w:pPr>
      <w:ind w:left="0" w:firstLine="0"/>
    </w:pPr>
    <w:rPr>
      <w:spacing w:val="4"/>
    </w:rPr>
  </w:style>
  <w:style w:type="table" w:styleId="TableGrid">
    <w:name w:val="Table Grid"/>
    <w:basedOn w:val="TableNormal"/>
    <w:uiPriority w:val="59"/>
    <w:rsid w:val="004F7C8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52269"/>
    <w:pPr>
      <w:spacing w:line="240" w:lineRule="auto"/>
    </w:pPr>
  </w:style>
  <w:style w:type="character" w:customStyle="1" w:styleId="CommentTextChar">
    <w:name w:val="Comment Text Char"/>
    <w:basedOn w:val="DefaultParagraphFont"/>
    <w:link w:val="CommentText"/>
    <w:uiPriority w:val="99"/>
    <w:semiHidden/>
    <w:rsid w:val="002522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52269"/>
    <w:rPr>
      <w:b/>
      <w:bCs/>
    </w:rPr>
  </w:style>
  <w:style w:type="character" w:customStyle="1" w:styleId="CommentSubjectChar">
    <w:name w:val="Comment Subject Char"/>
    <w:basedOn w:val="CommentTextChar"/>
    <w:link w:val="CommentSubject"/>
    <w:uiPriority w:val="99"/>
    <w:semiHidden/>
    <w:rsid w:val="0025226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440F92"/>
    <w:pPr>
      <w:ind w:left="720"/>
      <w:contextualSpacing/>
    </w:pPr>
  </w:style>
  <w:style w:type="character" w:customStyle="1" w:styleId="UnresolvedMention1">
    <w:name w:val="Unresolved Mention1"/>
    <w:basedOn w:val="DefaultParagraphFont"/>
    <w:uiPriority w:val="99"/>
    <w:semiHidden/>
    <w:unhideWhenUsed/>
    <w:rsid w:val="00A3665D"/>
    <w:rPr>
      <w:color w:val="605E5C"/>
      <w:shd w:val="clear" w:color="auto" w:fill="E1DFDD"/>
    </w:rPr>
  </w:style>
  <w:style w:type="paragraph" w:styleId="Revision">
    <w:name w:val="Revision"/>
    <w:hidden/>
    <w:uiPriority w:val="99"/>
    <w:semiHidden/>
    <w:rsid w:val="00A3665D"/>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None">
    <w:name w:val="None"/>
    <w:rsid w:val="00A3665D"/>
  </w:style>
  <w:style w:type="paragraph" w:customStyle="1" w:styleId="Default">
    <w:name w:val="Default"/>
    <w:rsid w:val="00A3665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SingleTxtChar">
    <w:name w:val="__Single Txt Char"/>
    <w:basedOn w:val="HeaderChar"/>
    <w:link w:val="SingleTxt"/>
    <w:qFormat/>
    <w:rsid w:val="00A3665D"/>
    <w:rPr>
      <w:rFonts w:ascii="Times New Roman" w:eastAsiaTheme="minorHAnsi" w:hAnsi="Times New Roman" w:cs="Times New Roman"/>
      <w:noProof/>
      <w:spacing w:val="4"/>
      <w:w w:val="103"/>
      <w:kern w:val="14"/>
      <w:sz w:val="20"/>
      <w:szCs w:val="20"/>
      <w:lang w:val="en-US" w:eastAsia="en-US"/>
    </w:rPr>
  </w:style>
  <w:style w:type="paragraph" w:styleId="TOC1">
    <w:name w:val="toc 1"/>
    <w:basedOn w:val="Normal"/>
    <w:next w:val="Normal"/>
    <w:autoRedefine/>
    <w:uiPriority w:val="39"/>
    <w:unhideWhenUsed/>
    <w:rsid w:val="00A3665D"/>
    <w:pPr>
      <w:spacing w:after="100"/>
    </w:pPr>
  </w:style>
  <w:style w:type="paragraph" w:styleId="TOC2">
    <w:name w:val="toc 2"/>
    <w:basedOn w:val="Normal"/>
    <w:next w:val="Normal"/>
    <w:autoRedefine/>
    <w:uiPriority w:val="39"/>
    <w:unhideWhenUsed/>
    <w:rsid w:val="00A3665D"/>
    <w:pPr>
      <w:spacing w:after="100"/>
      <w:ind w:left="200"/>
    </w:pPr>
  </w:style>
  <w:style w:type="character" w:styleId="UnresolvedMention">
    <w:name w:val="Unresolved Mention"/>
    <w:basedOn w:val="DefaultParagraphFont"/>
    <w:uiPriority w:val="99"/>
    <w:semiHidden/>
    <w:unhideWhenUsed/>
    <w:rsid w:val="008B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416">
      <w:bodyDiv w:val="1"/>
      <w:marLeft w:val="0"/>
      <w:marRight w:val="0"/>
      <w:marTop w:val="0"/>
      <w:marBottom w:val="0"/>
      <w:divBdr>
        <w:top w:val="none" w:sz="0" w:space="0" w:color="auto"/>
        <w:left w:val="none" w:sz="0" w:space="0" w:color="auto"/>
        <w:bottom w:val="none" w:sz="0" w:space="0" w:color="auto"/>
        <w:right w:val="none" w:sz="0" w:space="0" w:color="auto"/>
      </w:divBdr>
    </w:div>
    <w:div w:id="341468227">
      <w:bodyDiv w:val="1"/>
      <w:marLeft w:val="0"/>
      <w:marRight w:val="0"/>
      <w:marTop w:val="0"/>
      <w:marBottom w:val="0"/>
      <w:divBdr>
        <w:top w:val="none" w:sz="0" w:space="0" w:color="auto"/>
        <w:left w:val="none" w:sz="0" w:space="0" w:color="auto"/>
        <w:bottom w:val="none" w:sz="0" w:space="0" w:color="auto"/>
        <w:right w:val="none" w:sz="0" w:space="0" w:color="auto"/>
      </w:divBdr>
    </w:div>
    <w:div w:id="537661864">
      <w:bodyDiv w:val="1"/>
      <w:marLeft w:val="0"/>
      <w:marRight w:val="0"/>
      <w:marTop w:val="0"/>
      <w:marBottom w:val="0"/>
      <w:divBdr>
        <w:top w:val="none" w:sz="0" w:space="0" w:color="auto"/>
        <w:left w:val="none" w:sz="0" w:space="0" w:color="auto"/>
        <w:bottom w:val="none" w:sz="0" w:space="0" w:color="auto"/>
        <w:right w:val="none" w:sz="0" w:space="0" w:color="auto"/>
      </w:divBdr>
    </w:div>
    <w:div w:id="855315594">
      <w:bodyDiv w:val="1"/>
      <w:marLeft w:val="0"/>
      <w:marRight w:val="0"/>
      <w:marTop w:val="0"/>
      <w:marBottom w:val="0"/>
      <w:divBdr>
        <w:top w:val="none" w:sz="0" w:space="0" w:color="auto"/>
        <w:left w:val="none" w:sz="0" w:space="0" w:color="auto"/>
        <w:bottom w:val="none" w:sz="0" w:space="0" w:color="auto"/>
        <w:right w:val="none" w:sz="0" w:space="0" w:color="auto"/>
      </w:divBdr>
    </w:div>
    <w:div w:id="1031343174">
      <w:bodyDiv w:val="1"/>
      <w:marLeft w:val="0"/>
      <w:marRight w:val="0"/>
      <w:marTop w:val="0"/>
      <w:marBottom w:val="0"/>
      <w:divBdr>
        <w:top w:val="none" w:sz="0" w:space="0" w:color="auto"/>
        <w:left w:val="none" w:sz="0" w:space="0" w:color="auto"/>
        <w:bottom w:val="none" w:sz="0" w:space="0" w:color="auto"/>
        <w:right w:val="none" w:sz="0" w:space="0" w:color="auto"/>
      </w:divBdr>
    </w:div>
    <w:div w:id="1190409206">
      <w:bodyDiv w:val="1"/>
      <w:marLeft w:val="0"/>
      <w:marRight w:val="0"/>
      <w:marTop w:val="0"/>
      <w:marBottom w:val="0"/>
      <w:divBdr>
        <w:top w:val="none" w:sz="0" w:space="0" w:color="auto"/>
        <w:left w:val="none" w:sz="0" w:space="0" w:color="auto"/>
        <w:bottom w:val="none" w:sz="0" w:space="0" w:color="auto"/>
        <w:right w:val="none" w:sz="0" w:space="0" w:color="auto"/>
      </w:divBdr>
    </w:div>
    <w:div w:id="1343242647">
      <w:bodyDiv w:val="1"/>
      <w:marLeft w:val="0"/>
      <w:marRight w:val="0"/>
      <w:marTop w:val="0"/>
      <w:marBottom w:val="0"/>
      <w:divBdr>
        <w:top w:val="none" w:sz="0" w:space="0" w:color="auto"/>
        <w:left w:val="none" w:sz="0" w:space="0" w:color="auto"/>
        <w:bottom w:val="none" w:sz="0" w:space="0" w:color="auto"/>
        <w:right w:val="none" w:sz="0" w:space="0" w:color="auto"/>
      </w:divBdr>
    </w:div>
    <w:div w:id="1550461435">
      <w:bodyDiv w:val="1"/>
      <w:marLeft w:val="0"/>
      <w:marRight w:val="0"/>
      <w:marTop w:val="0"/>
      <w:marBottom w:val="0"/>
      <w:divBdr>
        <w:top w:val="none" w:sz="0" w:space="0" w:color="auto"/>
        <w:left w:val="none" w:sz="0" w:space="0" w:color="auto"/>
        <w:bottom w:val="none" w:sz="0" w:space="0" w:color="auto"/>
        <w:right w:val="none" w:sz="0" w:space="0" w:color="auto"/>
      </w:divBdr>
    </w:div>
    <w:div w:id="1807621065">
      <w:bodyDiv w:val="1"/>
      <w:marLeft w:val="0"/>
      <w:marRight w:val="0"/>
      <w:marTop w:val="0"/>
      <w:marBottom w:val="0"/>
      <w:divBdr>
        <w:top w:val="none" w:sz="0" w:space="0" w:color="auto"/>
        <w:left w:val="none" w:sz="0" w:space="0" w:color="auto"/>
        <w:bottom w:val="none" w:sz="0" w:space="0" w:color="auto"/>
        <w:right w:val="none" w:sz="0" w:space="0" w:color="auto"/>
      </w:divBdr>
    </w:div>
    <w:div w:id="1906797628">
      <w:bodyDiv w:val="1"/>
      <w:marLeft w:val="0"/>
      <w:marRight w:val="0"/>
      <w:marTop w:val="0"/>
      <w:marBottom w:val="0"/>
      <w:divBdr>
        <w:top w:val="none" w:sz="0" w:space="0" w:color="auto"/>
        <w:left w:val="none" w:sz="0" w:space="0" w:color="auto"/>
        <w:bottom w:val="none" w:sz="0" w:space="0" w:color="auto"/>
        <w:right w:val="none" w:sz="0" w:space="0" w:color="auto"/>
      </w:divBdr>
    </w:div>
    <w:div w:id="20675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es/A/CN.9/WG.III/WP.158" TargetMode="External"/><Relationship Id="rId3" Type="http://schemas.openxmlformats.org/officeDocument/2006/relationships/customXml" Target="../customXml/item3.xml"/><Relationship Id="rId21" Type="http://schemas.openxmlformats.org/officeDocument/2006/relationships/hyperlink" Target="https://undocs.org/en/A/CN.9/1044"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es/A/CN.9/1004" TargetMode="External"/><Relationship Id="rId2" Type="http://schemas.openxmlformats.org/officeDocument/2006/relationships/customXml" Target="../customXml/item2.xml"/><Relationship Id="rId16" Type="http://schemas.openxmlformats.org/officeDocument/2006/relationships/hyperlink" Target="https://undocs.org/es/A/CN.9/970" TargetMode="External"/><Relationship Id="rId20" Type="http://schemas.openxmlformats.org/officeDocument/2006/relationships/hyperlink" Target="https://undocs.org/es/A/CN.9/1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es/A/CN.9/9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CN.9/1004" TargetMode="External"/><Relationship Id="rId13" Type="http://schemas.openxmlformats.org/officeDocument/2006/relationships/hyperlink" Target="http://undocs.org/A/74/17" TargetMode="External"/><Relationship Id="rId3" Type="http://schemas.openxmlformats.org/officeDocument/2006/relationships/hyperlink" Target="http://undocs.org/es/A/CN.9/930/Rev.1" TargetMode="External"/><Relationship Id="rId7" Type="http://schemas.openxmlformats.org/officeDocument/2006/relationships/hyperlink" Target="https://undocs.org/es/A/CN.9/970" TargetMode="External"/><Relationship Id="rId12" Type="http://schemas.openxmlformats.org/officeDocument/2006/relationships/hyperlink" Target="https://undocs.org/es/A/56/17" TargetMode="External"/><Relationship Id="rId2" Type="http://schemas.openxmlformats.org/officeDocument/2006/relationships/hyperlink" Target="http://undocs.org/es/A/RES/61/31" TargetMode="External"/><Relationship Id="rId1" Type="http://schemas.openxmlformats.org/officeDocument/2006/relationships/hyperlink" Target="http://undocs.org/A/56/17" TargetMode="External"/><Relationship Id="rId6" Type="http://schemas.openxmlformats.org/officeDocument/2006/relationships/hyperlink" Target="http://undocs.org/es/A/CN.9/964" TargetMode="External"/><Relationship Id="rId11" Type="http://schemas.openxmlformats.org/officeDocument/2006/relationships/hyperlink" Target="http://undocs.org/es/A/74/17" TargetMode="External"/><Relationship Id="rId5" Type="http://schemas.openxmlformats.org/officeDocument/2006/relationships/hyperlink" Target="https://undocs.org/es/A/CN.9/935" TargetMode="External"/><Relationship Id="rId10" Type="http://schemas.openxmlformats.org/officeDocument/2006/relationships/hyperlink" Target="https://undocs.org/es/A/CN.9/1011" TargetMode="External"/><Relationship Id="rId4" Type="http://schemas.openxmlformats.org/officeDocument/2006/relationships/hyperlink" Target="https://undocs.org/es/A/CN.9/930/Add.1/Rev.1" TargetMode="External"/><Relationship Id="rId9" Type="http://schemas.openxmlformats.org/officeDocument/2006/relationships/hyperlink" Target="https://undocs.org/es/A/CN.9/1004/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David Nikolaus Probst</DisplayName>
        <AccountId>59</AccountId>
        <AccountType/>
      </UserInfo>
      <UserInfo>
        <DisplayName>Jae Sung Lee</DisplayName>
        <AccountId>16</AccountId>
        <AccountType/>
      </UserInfo>
      <UserInfo>
        <DisplayName>Corinne Montineri</DisplayName>
        <AccountId>28</AccountId>
        <AccountType/>
      </UserInfo>
      <UserInfo>
        <DisplayName>Judith Knieper</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2" ma:contentTypeDescription="Create a new document." ma:contentTypeScope="" ma:versionID="4c3b8046d4788176cef6f261329d7f77">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f05ece1bd1c8bb48e3bb92c45654972c"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6E8C-33F2-414D-A1DD-584C26BB118B}">
  <ds:schemaRefs>
    <ds:schemaRef ds:uri="http://schemas.microsoft.com/office/2006/metadata/properties"/>
    <ds:schemaRef ds:uri="http://schemas.microsoft.com/office/infopath/2007/PartnerControls"/>
    <ds:schemaRef ds:uri="4798ff29-8bf1-47a9-abe4-3ab95d3a1097"/>
  </ds:schemaRefs>
</ds:datastoreItem>
</file>

<file path=customXml/itemProps2.xml><?xml version="1.0" encoding="utf-8"?>
<ds:datastoreItem xmlns:ds="http://schemas.openxmlformats.org/officeDocument/2006/customXml" ds:itemID="{3CB1733D-8FFB-42FC-9466-318FF3D4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99F80-6671-4A6A-9F62-7930697A2BAB}">
  <ds:schemaRefs>
    <ds:schemaRef ds:uri="http://schemas.microsoft.com/sharepoint/v3/contenttype/forms"/>
  </ds:schemaRefs>
</ds:datastoreItem>
</file>

<file path=customXml/itemProps4.xml><?xml version="1.0" encoding="utf-8"?>
<ds:datastoreItem xmlns:ds="http://schemas.openxmlformats.org/officeDocument/2006/customXml" ds:itemID="{E8A507CF-A7A3-4EF7-B1C1-5654D4AD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HART-KILIC</dc:creator>
  <cp:keywords>UNCITRAL</cp:keywords>
  <dc:description/>
  <cp:lastModifiedBy>David Nikolaus Probst</cp:lastModifiedBy>
  <cp:revision>11</cp:revision>
  <cp:lastPrinted>2021-01-27T16:03:00Z</cp:lastPrinted>
  <dcterms:created xsi:type="dcterms:W3CDTF">2021-02-01T10:25:00Z</dcterms:created>
  <dcterms:modified xsi:type="dcterms:W3CDTF">2021-02-01T10:49:00Z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2002415</vt:lpwstr>
  </property>
  <property fmtid="{D5CDD505-2E9C-101B-9397-08002B2CF9AE}" pid="3" name="ODSRefJobNo">
    <vt:lpwstr>2002415E</vt:lpwstr>
  </property>
  <property fmtid="{D5CDD505-2E9C-101B-9397-08002B2CF9AE}" pid="4" name="Symbol1">
    <vt:lpwstr>A/CN.9/1011</vt:lpwstr>
  </property>
  <property fmtid="{D5CDD505-2E9C-101B-9397-08002B2CF9AE}" pid="5" name="Symbol2">
    <vt:lpwstr/>
  </property>
  <property fmtid="{D5CDD505-2E9C-101B-9397-08002B2CF9AE}" pid="6" name="Translator">
    <vt:lpwstr/>
  </property>
  <property fmtid="{D5CDD505-2E9C-101B-9397-08002B2CF9AE}" pid="7" name="Operator">
    <vt:lpwstr>JHK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May 2020</vt:lpwstr>
  </property>
  <property fmtid="{D5CDD505-2E9C-101B-9397-08002B2CF9AE}" pid="12" name="Original">
    <vt:lpwstr>English</vt:lpwstr>
  </property>
  <property fmtid="{D5CDD505-2E9C-101B-9397-08002B2CF9AE}" pid="13" name="Release Date">
    <vt:lpwstr>070520</vt:lpwstr>
  </property>
  <property fmtid="{D5CDD505-2E9C-101B-9397-08002B2CF9AE}" pid="14" name="ContentTypeId">
    <vt:lpwstr>0x0101001DFBC434140BFB4F8C0920F7C08F8836</vt:lpwstr>
  </property>
</Properties>
</file>