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E1366" w14:textId="77777777" w:rsidR="00252269" w:rsidRPr="000C7324" w:rsidRDefault="00252269" w:rsidP="0095373C">
      <w:pPr>
        <w:keepNext/>
        <w:keepLines/>
        <w:spacing w:line="240" w:lineRule="auto"/>
        <w:rPr>
          <w:sz w:val="2"/>
        </w:rPr>
        <w:sectPr w:rsidR="00252269" w:rsidRPr="000C7324" w:rsidSect="00383625">
          <w:headerReference w:type="even" r:id="rId11"/>
          <w:headerReference w:type="default" r:id="rId12"/>
          <w:footerReference w:type="even" r:id="rId13"/>
          <w:footerReference w:type="default" r:id="rId14"/>
          <w:headerReference w:type="first" r:id="rId15"/>
          <w:endnotePr>
            <w:numFmt w:val="decimal"/>
          </w:endnotePr>
          <w:pgSz w:w="11909" w:h="16834"/>
          <w:pgMar w:top="1440" w:right="1032" w:bottom="1757" w:left="1032" w:header="432" w:footer="504" w:gutter="0"/>
          <w:cols w:space="720"/>
          <w:titlePg/>
          <w:docGrid w:linePitch="360"/>
        </w:sectPr>
      </w:pPr>
    </w:p>
    <w:tbl>
      <w:tblPr>
        <w:tblW w:w="9841" w:type="dxa"/>
        <w:tblLayout w:type="fixed"/>
        <w:tblLook w:val="0000" w:firstRow="0" w:lastRow="0" w:firstColumn="0" w:lastColumn="0" w:noHBand="0" w:noVBand="0"/>
      </w:tblPr>
      <w:tblGrid>
        <w:gridCol w:w="4893"/>
        <w:gridCol w:w="288"/>
        <w:gridCol w:w="4660"/>
      </w:tblGrid>
      <w:tr w:rsidR="00252269" w:rsidRPr="000C7324" w14:paraId="59CD269B" w14:textId="77777777" w:rsidTr="00252269">
        <w:tc>
          <w:tcPr>
            <w:tcW w:w="4893" w:type="dxa"/>
            <w:shd w:val="clear" w:color="auto" w:fill="auto"/>
          </w:tcPr>
          <w:p w14:paraId="1E058B3B" w14:textId="6A942EC9" w:rsidR="00252269" w:rsidRPr="000C7324" w:rsidRDefault="00252269" w:rsidP="00072327">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rPr>
                <w:lang w:val="fr-FR"/>
              </w:rPr>
            </w:pPr>
            <w:r w:rsidRPr="000C7324">
              <w:rPr>
                <w:lang w:val="fr-FR"/>
              </w:rPr>
              <w:t xml:space="preserve">Commission </w:t>
            </w:r>
            <w:r w:rsidR="00072327" w:rsidRPr="000C7324">
              <w:rPr>
                <w:lang w:val="fr-FR"/>
              </w:rPr>
              <w:t xml:space="preserve">des Nations </w:t>
            </w:r>
            <w:r w:rsidR="0080311A" w:rsidRPr="000C7324">
              <w:rPr>
                <w:lang w:val="fr-FR"/>
              </w:rPr>
              <w:t>U</w:t>
            </w:r>
            <w:r w:rsidR="00072327" w:rsidRPr="000C7324">
              <w:rPr>
                <w:lang w:val="fr-FR"/>
              </w:rPr>
              <w:t>nies pour le droit commercial international</w:t>
            </w:r>
          </w:p>
          <w:p w14:paraId="22B82953" w14:textId="3E031273" w:rsidR="003E53D8" w:rsidRPr="000C7324" w:rsidRDefault="003E53D8" w:rsidP="0095373C">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rPr>
                <w:lang w:val="fr-FR"/>
              </w:rPr>
            </w:pPr>
            <w:bookmarkStart w:id="0" w:name="_Toc37248987"/>
            <w:bookmarkStart w:id="1" w:name="_Toc39607751"/>
            <w:r w:rsidRPr="000C7324">
              <w:rPr>
                <w:lang w:val="fr-FR"/>
              </w:rPr>
              <w:t>Group</w:t>
            </w:r>
            <w:r w:rsidR="00072327" w:rsidRPr="000C7324">
              <w:rPr>
                <w:lang w:val="fr-FR"/>
              </w:rPr>
              <w:t>e de travail</w:t>
            </w:r>
            <w:r w:rsidRPr="000C7324">
              <w:rPr>
                <w:lang w:val="fr-FR"/>
              </w:rPr>
              <w:t xml:space="preserve"> III (</w:t>
            </w:r>
            <w:r w:rsidR="00072327" w:rsidRPr="000C7324">
              <w:rPr>
                <w:lang w:val="fr-FR"/>
              </w:rPr>
              <w:t>Réforme du Règlement des différends entre investisseurs et États</w:t>
            </w:r>
            <w:r w:rsidRPr="000C7324">
              <w:rPr>
                <w:lang w:val="fr-FR"/>
              </w:rPr>
              <w:t xml:space="preserve">) </w:t>
            </w:r>
          </w:p>
          <w:p w14:paraId="609F961F" w14:textId="2A0ABCBB" w:rsidR="003E53D8" w:rsidRPr="000C7324" w:rsidRDefault="00072327" w:rsidP="0095373C">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rPr>
                <w:lang w:val="fr-FR"/>
              </w:rPr>
            </w:pPr>
            <w:r w:rsidRPr="000C7324">
              <w:rPr>
                <w:lang w:val="fr-FR"/>
              </w:rPr>
              <w:t>Quarantième</w:t>
            </w:r>
            <w:r w:rsidR="003E53D8" w:rsidRPr="000C7324">
              <w:rPr>
                <w:lang w:val="fr-FR"/>
              </w:rPr>
              <w:t xml:space="preserve"> session (</w:t>
            </w:r>
            <w:r w:rsidRPr="000C7324">
              <w:rPr>
                <w:lang w:val="fr-FR"/>
              </w:rPr>
              <w:t>reprise</w:t>
            </w:r>
            <w:r w:rsidR="003E53D8" w:rsidRPr="000C7324">
              <w:rPr>
                <w:lang w:val="fr-FR"/>
              </w:rPr>
              <w:t>)</w:t>
            </w:r>
          </w:p>
          <w:p w14:paraId="55BB1646" w14:textId="49D41F72" w:rsidR="00252269" w:rsidRPr="000C7324" w:rsidRDefault="003E53D8" w:rsidP="0095373C">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rPr>
                <w:b w:val="0"/>
                <w:bCs/>
                <w:lang w:val="fr-FR"/>
              </w:rPr>
            </w:pPr>
            <w:bookmarkStart w:id="2" w:name="_Toc37248988"/>
            <w:bookmarkStart w:id="3" w:name="_Toc39607752"/>
            <w:bookmarkEnd w:id="0"/>
            <w:bookmarkEnd w:id="1"/>
            <w:r w:rsidRPr="000C7324">
              <w:rPr>
                <w:b w:val="0"/>
                <w:bCs/>
                <w:lang w:val="fr-FR"/>
              </w:rPr>
              <w:t>Vienn</w:t>
            </w:r>
            <w:r w:rsidR="00072327" w:rsidRPr="000C7324">
              <w:rPr>
                <w:b w:val="0"/>
                <w:bCs/>
                <w:lang w:val="fr-FR"/>
              </w:rPr>
              <w:t>e</w:t>
            </w:r>
            <w:r w:rsidRPr="000C7324">
              <w:rPr>
                <w:b w:val="0"/>
                <w:bCs/>
                <w:lang w:val="fr-FR"/>
              </w:rPr>
              <w:t xml:space="preserve">, </w:t>
            </w:r>
            <w:r w:rsidR="00072327" w:rsidRPr="000C7324">
              <w:rPr>
                <w:b w:val="0"/>
                <w:bCs/>
                <w:lang w:val="fr-FR"/>
              </w:rPr>
              <w:t>En ligne</w:t>
            </w:r>
            <w:r w:rsidRPr="000C7324">
              <w:rPr>
                <w:b w:val="0"/>
                <w:bCs/>
                <w:lang w:val="fr-FR"/>
              </w:rPr>
              <w:t>, [4-5] Ma</w:t>
            </w:r>
            <w:r w:rsidR="00072327" w:rsidRPr="000C7324">
              <w:rPr>
                <w:b w:val="0"/>
                <w:bCs/>
                <w:lang w:val="fr-FR"/>
              </w:rPr>
              <w:t>i</w:t>
            </w:r>
            <w:r w:rsidRPr="000C7324">
              <w:rPr>
                <w:b w:val="0"/>
                <w:bCs/>
                <w:lang w:val="fr-FR"/>
              </w:rPr>
              <w:t xml:space="preserve"> 2021</w:t>
            </w:r>
            <w:bookmarkEnd w:id="2"/>
            <w:bookmarkEnd w:id="3"/>
            <w:r w:rsidR="00072327" w:rsidRPr="000C7324">
              <w:rPr>
                <w:b w:val="0"/>
                <w:bCs/>
                <w:lang w:val="fr-FR"/>
              </w:rPr>
              <w:t xml:space="preserve"> (À confirmer</w:t>
            </w:r>
            <w:r w:rsidR="00965622" w:rsidRPr="000C7324">
              <w:rPr>
                <w:b w:val="0"/>
                <w:bCs/>
                <w:lang w:val="fr-FR"/>
              </w:rPr>
              <w:t>)</w:t>
            </w:r>
          </w:p>
        </w:tc>
        <w:tc>
          <w:tcPr>
            <w:tcW w:w="288" w:type="dxa"/>
            <w:shd w:val="clear" w:color="auto" w:fill="auto"/>
          </w:tcPr>
          <w:p w14:paraId="05524BFB" w14:textId="77777777" w:rsidR="00252269" w:rsidRPr="000C7324" w:rsidRDefault="00252269" w:rsidP="0095373C">
            <w:pPr>
              <w:pStyle w:val="H1"/>
              <w:ind w:left="0" w:firstLine="0"/>
              <w:rPr>
                <w:lang w:val="fr-FR"/>
              </w:rPr>
            </w:pPr>
          </w:p>
        </w:tc>
        <w:tc>
          <w:tcPr>
            <w:tcW w:w="4660" w:type="dxa"/>
            <w:shd w:val="clear" w:color="auto" w:fill="auto"/>
          </w:tcPr>
          <w:p w14:paraId="413999C6" w14:textId="77777777" w:rsidR="00252269" w:rsidRPr="000C7324" w:rsidRDefault="00252269" w:rsidP="0095373C">
            <w:pPr>
              <w:pStyle w:val="H1"/>
              <w:ind w:left="0" w:firstLine="0"/>
              <w:rPr>
                <w:lang w:val="fr-FR"/>
              </w:rPr>
            </w:pPr>
          </w:p>
        </w:tc>
      </w:tr>
      <w:tr w:rsidR="00252269" w:rsidRPr="000C7324" w14:paraId="40F158D5" w14:textId="77777777" w:rsidTr="00252269">
        <w:tc>
          <w:tcPr>
            <w:tcW w:w="4893" w:type="dxa"/>
            <w:shd w:val="clear" w:color="auto" w:fill="auto"/>
          </w:tcPr>
          <w:p w14:paraId="2E4EF4CE" w14:textId="77777777" w:rsidR="00252269" w:rsidRPr="000C7324" w:rsidRDefault="00252269" w:rsidP="000D2C79">
            <w:pPr>
              <w:pStyle w:val="H1"/>
              <w:ind w:left="0" w:firstLine="0"/>
              <w:rPr>
                <w:lang w:val="fr-FR"/>
              </w:rPr>
            </w:pPr>
          </w:p>
        </w:tc>
        <w:tc>
          <w:tcPr>
            <w:tcW w:w="288" w:type="dxa"/>
            <w:shd w:val="clear" w:color="auto" w:fill="auto"/>
          </w:tcPr>
          <w:p w14:paraId="26125D47" w14:textId="77777777" w:rsidR="00252269" w:rsidRPr="000C7324" w:rsidRDefault="00252269" w:rsidP="000D2C79">
            <w:pPr>
              <w:pStyle w:val="H1"/>
              <w:ind w:left="0" w:firstLine="0"/>
              <w:rPr>
                <w:lang w:val="fr-FR"/>
              </w:rPr>
            </w:pPr>
          </w:p>
        </w:tc>
        <w:tc>
          <w:tcPr>
            <w:tcW w:w="4660" w:type="dxa"/>
            <w:shd w:val="clear" w:color="auto" w:fill="auto"/>
          </w:tcPr>
          <w:p w14:paraId="2991297D" w14:textId="77777777" w:rsidR="00252269" w:rsidRPr="000C7324" w:rsidRDefault="00252269" w:rsidP="0095373C">
            <w:pPr>
              <w:pStyle w:val="H1"/>
              <w:ind w:left="0" w:firstLine="0"/>
              <w:rPr>
                <w:lang w:val="fr-FR"/>
              </w:rPr>
            </w:pPr>
          </w:p>
        </w:tc>
      </w:tr>
    </w:tbl>
    <w:p w14:paraId="05E9B49B" w14:textId="0430E44D" w:rsidR="002430C5" w:rsidRPr="000C7324" w:rsidRDefault="002430C5" w:rsidP="008E2513">
      <w:pPr>
        <w:pStyle w:val="SingleTxt"/>
        <w:keepNext/>
        <w:keepLines/>
        <w:spacing w:after="0" w:line="120" w:lineRule="atLeast"/>
        <w:rPr>
          <w:sz w:val="10"/>
          <w:lang w:val="fr-FR"/>
        </w:rPr>
      </w:pPr>
    </w:p>
    <w:p w14:paraId="41A4D664" w14:textId="48573BF5" w:rsidR="002430C5" w:rsidRPr="000C7324" w:rsidRDefault="002430C5" w:rsidP="000D2C79">
      <w:pPr>
        <w:pStyle w:val="HCh"/>
        <w:ind w:left="1267" w:right="1260" w:hanging="1267"/>
        <w:rPr>
          <w:lang w:val="fr-FR"/>
        </w:rPr>
      </w:pPr>
      <w:bookmarkStart w:id="4" w:name="_Toc37248989"/>
      <w:bookmarkStart w:id="5" w:name="_Toc39607753"/>
      <w:r w:rsidRPr="000C7324">
        <w:rPr>
          <w:lang w:val="fr-FR"/>
        </w:rPr>
        <w:tab/>
      </w:r>
      <w:r w:rsidRPr="000C7324">
        <w:rPr>
          <w:lang w:val="fr-FR"/>
        </w:rPr>
        <w:tab/>
      </w:r>
      <w:r w:rsidR="00072327" w:rsidRPr="000C7324">
        <w:rPr>
          <w:lang w:val="fr-FR"/>
        </w:rPr>
        <w:t xml:space="preserve">Plan de travail et de </w:t>
      </w:r>
      <w:r w:rsidR="0080311A" w:rsidRPr="000C7324">
        <w:rPr>
          <w:lang w:val="fr-FR"/>
        </w:rPr>
        <w:t>ressources</w:t>
      </w:r>
      <w:r w:rsidR="00072327" w:rsidRPr="000C7324">
        <w:rPr>
          <w:lang w:val="fr-FR"/>
        </w:rPr>
        <w:t xml:space="preserve"> pour </w:t>
      </w:r>
      <w:r w:rsidR="00C275E0" w:rsidRPr="000C7324">
        <w:rPr>
          <w:lang w:val="fr-FR"/>
        </w:rPr>
        <w:t>la mise en œuvre de</w:t>
      </w:r>
      <w:r w:rsidR="00072327" w:rsidRPr="000C7324">
        <w:rPr>
          <w:lang w:val="fr-FR"/>
        </w:rPr>
        <w:t xml:space="preserve"> la réforme du </w:t>
      </w:r>
      <w:bookmarkEnd w:id="4"/>
      <w:bookmarkEnd w:id="5"/>
      <w:r w:rsidR="0080311A" w:rsidRPr="000C7324">
        <w:rPr>
          <w:lang w:val="fr-FR"/>
        </w:rPr>
        <w:t xml:space="preserve">règlement des différends entre investisseurs et États </w:t>
      </w:r>
    </w:p>
    <w:p w14:paraId="0155D12E" w14:textId="544670CE" w:rsidR="001825A6" w:rsidRPr="000C7324" w:rsidRDefault="001825A6" w:rsidP="008E2513">
      <w:pPr>
        <w:pStyle w:val="SingleTxt"/>
        <w:keepNext/>
        <w:keepLines/>
        <w:spacing w:after="0" w:line="120" w:lineRule="atLeast"/>
        <w:rPr>
          <w:sz w:val="10"/>
          <w:lang w:val="fr-FR"/>
        </w:rPr>
      </w:pPr>
    </w:p>
    <w:p w14:paraId="2D62774A" w14:textId="358718C4" w:rsidR="001825A6" w:rsidRPr="000C7324" w:rsidRDefault="001825A6" w:rsidP="008E2513">
      <w:pPr>
        <w:pStyle w:val="SingleTxt"/>
        <w:keepNext/>
        <w:keepLines/>
        <w:spacing w:after="0" w:line="120" w:lineRule="atLeast"/>
        <w:rPr>
          <w:sz w:val="10"/>
          <w:lang w:val="fr-FR"/>
        </w:rPr>
      </w:pPr>
    </w:p>
    <w:p w14:paraId="1ACDEA9A" w14:textId="3A3C1E8C" w:rsidR="001825A6" w:rsidRPr="000C7324" w:rsidRDefault="001825A6" w:rsidP="000D2C79">
      <w:pPr>
        <w:pStyle w:val="H1"/>
        <w:ind w:left="1267" w:right="1260" w:hanging="1267"/>
        <w:rPr>
          <w:lang w:val="fr-FR"/>
        </w:rPr>
      </w:pPr>
      <w:r w:rsidRPr="000C7324">
        <w:rPr>
          <w:lang w:val="fr-FR"/>
        </w:rPr>
        <w:tab/>
      </w:r>
      <w:r w:rsidRPr="000C7324">
        <w:rPr>
          <w:lang w:val="fr-FR"/>
        </w:rPr>
        <w:tab/>
        <w:t xml:space="preserve">Note </w:t>
      </w:r>
      <w:r w:rsidR="0080311A" w:rsidRPr="000C7324">
        <w:rPr>
          <w:lang w:val="fr-FR"/>
        </w:rPr>
        <w:t>du</w:t>
      </w:r>
      <w:r w:rsidRPr="000C7324">
        <w:rPr>
          <w:lang w:val="fr-FR"/>
        </w:rPr>
        <w:t xml:space="preserve"> Secr</w:t>
      </w:r>
      <w:r w:rsidR="0080311A" w:rsidRPr="000C7324">
        <w:rPr>
          <w:lang w:val="fr-FR"/>
        </w:rPr>
        <w:t>é</w:t>
      </w:r>
      <w:r w:rsidRPr="000C7324">
        <w:rPr>
          <w:lang w:val="fr-FR"/>
        </w:rPr>
        <w:t>tariat</w:t>
      </w:r>
    </w:p>
    <w:p w14:paraId="59A38252" w14:textId="77777777" w:rsidR="002430C5" w:rsidRPr="000C7324" w:rsidRDefault="002430C5" w:rsidP="008E2513">
      <w:pPr>
        <w:pStyle w:val="SingleTxt"/>
        <w:keepNext/>
        <w:keepLines/>
        <w:spacing w:after="0" w:line="120" w:lineRule="atLeast"/>
        <w:rPr>
          <w:b/>
          <w:sz w:val="10"/>
          <w:lang w:val="fr-FR"/>
        </w:rPr>
      </w:pPr>
    </w:p>
    <w:p w14:paraId="48491354" w14:textId="77777777" w:rsidR="002430C5" w:rsidRPr="000C7324" w:rsidRDefault="002430C5" w:rsidP="008E2513">
      <w:pPr>
        <w:pStyle w:val="SingleTxt"/>
        <w:keepNext/>
        <w:keepLines/>
        <w:spacing w:after="0" w:line="120" w:lineRule="atLeast"/>
        <w:rPr>
          <w:b/>
          <w:sz w:val="10"/>
          <w:lang w:val="fr-FR"/>
        </w:rPr>
      </w:pPr>
    </w:p>
    <w:p w14:paraId="1B53E9D9" w14:textId="6915CB1A" w:rsidR="002430C5" w:rsidRPr="000C7324" w:rsidRDefault="002430C5" w:rsidP="000D2C79">
      <w:pPr>
        <w:pStyle w:val="HCh"/>
        <w:spacing w:line="120" w:lineRule="atLeast"/>
        <w:rPr>
          <w:b w:val="0"/>
          <w:lang w:val="fr-FR"/>
        </w:rPr>
      </w:pPr>
    </w:p>
    <w:p w14:paraId="198F62A5" w14:textId="46E869A5" w:rsidR="00E95A8D" w:rsidRPr="000C7324" w:rsidRDefault="00E95A8D" w:rsidP="00E95A8D">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i/>
          <w:iCs/>
          <w:sz w:val="22"/>
          <w:szCs w:val="22"/>
          <w:lang w:val="fr-FR"/>
        </w:rPr>
      </w:pPr>
      <w:r w:rsidRPr="000C7324">
        <w:rPr>
          <w:i/>
          <w:iCs/>
          <w:sz w:val="22"/>
          <w:szCs w:val="22"/>
          <w:lang w:val="fr-FR"/>
        </w:rPr>
        <w:t xml:space="preserve">Conformément à l'accord intervenu à la trente-neuvième session, la présente note (en anglais, français et espagnol - pas de traduction officielle) contient un premier projet de plan de travail et de ressources afin de permettre à toutes les délégations du Groupe de travail de faire des observations avant le </w:t>
      </w:r>
      <w:r w:rsidRPr="000C7324">
        <w:rPr>
          <w:i/>
          <w:iCs/>
          <w:sz w:val="22"/>
          <w:szCs w:val="22"/>
          <w:u w:val="single"/>
          <w:lang w:val="fr-FR"/>
        </w:rPr>
        <w:t>1er mars 2021</w:t>
      </w:r>
      <w:r w:rsidRPr="000C7324">
        <w:rPr>
          <w:i/>
          <w:iCs/>
          <w:sz w:val="22"/>
          <w:szCs w:val="22"/>
          <w:lang w:val="fr-FR"/>
        </w:rPr>
        <w:t>. Pour faciliter cette phase de communication de commentaires écrits, le président et le rapporteur ont l'intention d’organiser un certain nombre de séances explicatives informelles sur ce projet initial. Le président et le rapporteur examineront les commentaires reçus des délégations et prépareront un projet révisé du plan d'ici la mi-mars.</w:t>
      </w:r>
    </w:p>
    <w:p w14:paraId="16F54777" w14:textId="2CC8241E" w:rsidR="00E95A8D" w:rsidRPr="000C7324" w:rsidRDefault="00E95A8D" w:rsidP="00E95A8D">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i/>
          <w:iCs/>
          <w:sz w:val="22"/>
          <w:szCs w:val="22"/>
          <w:lang w:val="fr-FR"/>
        </w:rPr>
      </w:pPr>
      <w:r w:rsidRPr="000C7324">
        <w:rPr>
          <w:i/>
          <w:iCs/>
          <w:sz w:val="22"/>
          <w:szCs w:val="22"/>
          <w:lang w:val="fr-FR"/>
        </w:rPr>
        <w:t>Le plan révisé sera soumis pour examen et approbation par le Groupe de travail à la reprise de sa quarantième session en mai. Le plan serait ensuite révisé pour tenir compte des délibérations et des décisions du Groupe de travail, puis soumis à la Commission pour examen.</w:t>
      </w:r>
    </w:p>
    <w:p w14:paraId="1599B3F5" w14:textId="77777777" w:rsidR="00E95A8D" w:rsidRPr="000C7324" w:rsidRDefault="00E95A8D" w:rsidP="008E2513">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i/>
          <w:iCs/>
          <w:sz w:val="22"/>
          <w:szCs w:val="22"/>
          <w:lang w:val="fr-FR"/>
        </w:rPr>
      </w:pPr>
    </w:p>
    <w:p w14:paraId="34D8864C" w14:textId="77777777" w:rsidR="000D7D65" w:rsidRPr="000C7324" w:rsidRDefault="000D7D65" w:rsidP="008E2513">
      <w:pPr>
        <w:pStyle w:val="SingleTxt"/>
        <w:keepNext/>
        <w:keepLines/>
        <w:rPr>
          <w:lang w:val="fr-FR"/>
        </w:rPr>
      </w:pPr>
    </w:p>
    <w:p w14:paraId="1649BB8F" w14:textId="25AD0B08" w:rsidR="00A3665D" w:rsidRPr="000C7324" w:rsidRDefault="00A3665D" w:rsidP="008E2513">
      <w:pPr>
        <w:keepNext/>
        <w:keepLines/>
        <w:suppressAutoHyphens w:val="0"/>
        <w:spacing w:after="200" w:line="276" w:lineRule="auto"/>
        <w:rPr>
          <w:lang w:val="fr-FR"/>
        </w:rPr>
      </w:pPr>
      <w:r w:rsidRPr="000C7324">
        <w:rPr>
          <w:lang w:val="fr-FR"/>
        </w:rPr>
        <w:br w:type="page"/>
      </w:r>
    </w:p>
    <w:p w14:paraId="388AB61F" w14:textId="1CF0DC9C" w:rsidR="00A3665D" w:rsidRPr="000C7324" w:rsidRDefault="00A3665D" w:rsidP="000D2C79">
      <w:pPr>
        <w:pStyle w:val="HCh"/>
        <w:ind w:left="1267" w:right="1260" w:hanging="1267"/>
      </w:pPr>
      <w:r w:rsidRPr="000C7324">
        <w:rPr>
          <w:lang w:val="fr-FR"/>
        </w:rPr>
        <w:lastRenderedPageBreak/>
        <w:tab/>
      </w:r>
      <w:bookmarkStart w:id="6" w:name="_Toc39607755"/>
      <w:r w:rsidRPr="000C7324">
        <w:t>I.</w:t>
      </w:r>
      <w:r w:rsidRPr="000C7324">
        <w:tab/>
        <w:t>Introduction</w:t>
      </w:r>
      <w:bookmarkEnd w:id="6"/>
    </w:p>
    <w:p w14:paraId="5F4C00F8" w14:textId="01CE220F" w:rsidR="00A3665D" w:rsidRPr="000C7324" w:rsidRDefault="00A3665D" w:rsidP="008E2513">
      <w:pPr>
        <w:pStyle w:val="SingleTxt"/>
        <w:keepNext/>
        <w:keepLines/>
        <w:spacing w:after="0" w:line="120" w:lineRule="atLeast"/>
        <w:rPr>
          <w:sz w:val="10"/>
        </w:rPr>
      </w:pPr>
    </w:p>
    <w:p w14:paraId="5BFD4581" w14:textId="1E605E94" w:rsidR="00A3665D" w:rsidRPr="000C7324" w:rsidRDefault="00A3665D" w:rsidP="008E2513">
      <w:pPr>
        <w:pStyle w:val="SingleTxt"/>
        <w:keepNext/>
        <w:keepLines/>
        <w:spacing w:after="0" w:line="120" w:lineRule="atLeast"/>
        <w:rPr>
          <w:sz w:val="10"/>
        </w:rPr>
      </w:pPr>
    </w:p>
    <w:p w14:paraId="1E830966" w14:textId="195E53C3" w:rsidR="00577CAC" w:rsidRPr="000C7324" w:rsidRDefault="00577CAC" w:rsidP="008E2513">
      <w:pPr>
        <w:keepNext/>
        <w:keepLines/>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fr-FR"/>
        </w:rPr>
      </w:pPr>
      <w:r w:rsidRPr="000C7324">
        <w:rPr>
          <w:lang w:val="fr-FR"/>
        </w:rPr>
        <w:t xml:space="preserve">Le Groupe de travail souhaitera peut-être se rappeler qu'à sa trente-septième session en avril 2019, il avait examiné un certain nombre de propositions </w:t>
      </w:r>
      <w:r w:rsidR="00681AFF" w:rsidRPr="000C7324">
        <w:rPr>
          <w:lang w:val="fr-FR"/>
        </w:rPr>
        <w:t xml:space="preserve">pour établir un </w:t>
      </w:r>
      <w:r w:rsidRPr="000C7324">
        <w:rPr>
          <w:lang w:val="fr-FR"/>
        </w:rPr>
        <w:t>plan de travail et était convenu d'examiner, d'élaborer et de développer simultanément plusieurs solutions de réforme potentielles. Le Groupe de travail était en outre convenu qu'un calendrier de projet devrait être établi pour faire avancer les solutions proposées en parallèle, dans toute la mesure de ses capacités et à la lumière des outils disponibles (A/CN.9/970, par. 81). En conséquence, un calendrier de projet a été approuvé par le Groupe de travail à sa trente-huitième session en octobre 2009 (A/CN.9/1004 *, par. 25 et 27). Au cours des délibérations, le Groupe de travail a examiné différents moyens d’exécuter le calendrier du projet, comme indiqué dans le document A/CN.9/WG.III/WP.158. Il a été convenu que le Groupe de travail envisagerait d’utiliser des moyens et des outils pour améliorer l’utilisation efficace de son temps de conférence, le cas échéant et conformément à la pratique de la CNUDCI, compte tenu en particulier de la complexité du projet et de la nécessité de développer plusieurs options de réforme</w:t>
      </w:r>
      <w:r w:rsidR="00F07B0C" w:rsidRPr="000C7324">
        <w:rPr>
          <w:lang w:val="fr-FR"/>
        </w:rPr>
        <w:t>.</w:t>
      </w:r>
    </w:p>
    <w:p w14:paraId="5C39D819" w14:textId="0677E030" w:rsidR="00577CAC" w:rsidRPr="000C7324" w:rsidRDefault="00577CAC" w:rsidP="00577CAC">
      <w:pPr>
        <w:keepNext/>
        <w:keepLines/>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fr-FR"/>
        </w:rPr>
      </w:pPr>
      <w:r w:rsidRPr="000C7324">
        <w:rPr>
          <w:lang w:val="fr-FR"/>
        </w:rPr>
        <w:t>Le Groupe de travail est également convenu que ces outils pourraient inclure des réunions informelles en marge des sessions de la Commission et du Groupe de travail, des groupes de rédaction, des colloques, des réunions conjointes avec d'autres organisations internationales, des réunions intersessions et de nouvelles interactions avec le Forum académique et le</w:t>
      </w:r>
      <w:r w:rsidR="005973A3" w:rsidRPr="000C7324">
        <w:rPr>
          <w:lang w:val="fr-FR"/>
        </w:rPr>
        <w:t xml:space="preserve"> Groupe des</w:t>
      </w:r>
      <w:r w:rsidRPr="000C7324">
        <w:rPr>
          <w:lang w:val="fr-FR"/>
        </w:rPr>
        <w:t xml:space="preserve"> praticiens (A/CN.9/970, par. 58).</w:t>
      </w:r>
    </w:p>
    <w:p w14:paraId="21ED6014" w14:textId="6AE2922A" w:rsidR="005973A3" w:rsidRPr="000C7324" w:rsidRDefault="00577CAC" w:rsidP="005973A3">
      <w:pPr>
        <w:keepNext/>
        <w:keepLines/>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fr-FR"/>
        </w:rPr>
      </w:pPr>
      <w:r w:rsidRPr="000C7324">
        <w:rPr>
          <w:lang w:val="fr-FR"/>
        </w:rPr>
        <w:t>Le Groupe de travail devait examiner, à sa trente-neuvième session au premier semestre 2020, entre autres, comment planifier ses travaux futurs et s'il fallait demander à la Commission du temps supplémentaire pour les sessions compte tenu de sa charge de travail. Cependant, cette session n'a pas pu avoir lieu comme prévu en raison de la pandémie COVID-19. Au lieu de cela, un certain nombre de consultations officieuses ont eu lieu avant la cinquante-troisième session de la Commission sur la manière de mettre en œuvre les travaux du Groupe de travail</w:t>
      </w:r>
      <w:r w:rsidR="005973A3" w:rsidRPr="000C7324">
        <w:rPr>
          <w:lang w:val="fr-FR"/>
        </w:rPr>
        <w:t>.</w:t>
      </w:r>
    </w:p>
    <w:p w14:paraId="6428199B" w14:textId="2B71565E" w:rsidR="005973A3" w:rsidRPr="000C7324" w:rsidRDefault="005973A3" w:rsidP="005973A3">
      <w:pPr>
        <w:keepNext/>
        <w:keepLines/>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fr-FR"/>
        </w:rPr>
      </w:pPr>
      <w:r w:rsidRPr="000C7324">
        <w:rPr>
          <w:lang w:val="fr-FR"/>
        </w:rPr>
        <w:t>À sa cinquante-troisième session, la Commission a examiné les ressources nécessaires à la mise en œuvre du programme de travail concernant la réforme du règlement des différends entre investisseurs et États (ci-après dénommé le</w:t>
      </w:r>
      <w:proofErr w:type="gramStart"/>
      <w:r w:rsidRPr="000C7324">
        <w:rPr>
          <w:lang w:val="fr-FR"/>
        </w:rPr>
        <w:t xml:space="preserve"> «projet</w:t>
      </w:r>
      <w:proofErr w:type="gramEnd"/>
      <w:r w:rsidRPr="000C7324">
        <w:rPr>
          <w:lang w:val="fr-FR"/>
        </w:rPr>
        <w:t xml:space="preserve"> RDIE») sur la base d'une note de le Secrétariat (A/CN.9/1011).</w:t>
      </w:r>
      <w:r w:rsidRPr="000C7324">
        <w:rPr>
          <w:vertAlign w:val="superscript"/>
          <w:lang w:val="fr-FR"/>
        </w:rPr>
        <w:t xml:space="preserve"> </w:t>
      </w:r>
      <w:r w:rsidRPr="000C7324">
        <w:rPr>
          <w:vertAlign w:val="superscript"/>
        </w:rPr>
        <w:footnoteReference w:id="1"/>
      </w:r>
      <w:r w:rsidRPr="000C7324">
        <w:rPr>
          <w:lang w:val="fr-FR"/>
        </w:rPr>
        <w:t xml:space="preserve"> En raison du peu de temps disponible à cette session et des divergences de vues, la Commission n'a pas été en mesure de parvenir à un consensus sur une proposition de voie à suivre et a décidé que le sujet serait examiné à sa session de 2021. Entre-temps, la Commission a encouragé le Groupe de travail à continuer de progresser dans l’exécution de son mandat.</w:t>
      </w:r>
      <w:r w:rsidRPr="000C7324">
        <w:rPr>
          <w:vertAlign w:val="superscript"/>
          <w:lang w:val="fr-FR"/>
        </w:rPr>
        <w:t xml:space="preserve"> </w:t>
      </w:r>
      <w:r w:rsidRPr="000C7324">
        <w:rPr>
          <w:vertAlign w:val="superscript"/>
        </w:rPr>
        <w:footnoteReference w:id="2"/>
      </w:r>
    </w:p>
    <w:p w14:paraId="50B21FC0" w14:textId="71E13D74" w:rsidR="005973A3" w:rsidRPr="000C7324" w:rsidRDefault="005973A3" w:rsidP="00395407">
      <w:pPr>
        <w:keepNext/>
        <w:keepLines/>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fr-FR"/>
        </w:rPr>
      </w:pPr>
      <w:r w:rsidRPr="000C7324">
        <w:rPr>
          <w:lang w:val="fr-FR"/>
        </w:rPr>
        <w:t>Le Groupe de travail, à sa trente-neuvième session en octobre 2020, a approuvé le processus d'élaboration d'un plan de travail et de ressources pour appuyer ses travaux (ensemble, le «</w:t>
      </w:r>
      <w:r w:rsidR="00736BBD" w:rsidRPr="000C7324">
        <w:rPr>
          <w:lang w:val="fr-FR"/>
        </w:rPr>
        <w:t>p</w:t>
      </w:r>
      <w:r w:rsidRPr="000C7324">
        <w:rPr>
          <w:lang w:val="fr-FR"/>
        </w:rPr>
        <w:t xml:space="preserve">lan») (A / CN.9 / 1044, par. 113). Les délégations souhaitant participer à l'élaboration d'un projet initial de plan de travail se sont identifiées en novembre 2020. Avec le soutien du Secrétariat, le président et le rapporteur ont travaillé avec toutes ces délégations de novembre 2020 à janvier 2021 pour préparer un projet initial. Le Secrétariat a également collaboré étroitement avec le Département de l'Assemblée générale et de la gestion des conférences </w:t>
      </w:r>
      <w:r w:rsidR="00F60016" w:rsidRPr="000C7324">
        <w:rPr>
          <w:spacing w:val="2"/>
          <w:w w:val="101"/>
          <w:lang w:val="fr-FR"/>
        </w:rPr>
        <w:t xml:space="preserve">(DGACM) </w:t>
      </w:r>
      <w:r w:rsidRPr="000C7324">
        <w:rPr>
          <w:lang w:val="fr-FR"/>
        </w:rPr>
        <w:t xml:space="preserve">pendant la même période. </w:t>
      </w:r>
    </w:p>
    <w:p w14:paraId="1B8519D1" w14:textId="19EE7D53" w:rsidR="00DF1FA0" w:rsidRPr="000C7324" w:rsidRDefault="00DF1FA0" w:rsidP="008E2513">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fr-FR"/>
        </w:rPr>
      </w:pPr>
    </w:p>
    <w:p w14:paraId="5D57F797" w14:textId="19C0519A" w:rsidR="009C11F9" w:rsidRPr="000C7324" w:rsidRDefault="009C11F9" w:rsidP="008E2513">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fr-FR"/>
        </w:rPr>
        <w:sectPr w:rsidR="009C11F9" w:rsidRPr="000C7324" w:rsidSect="00383625">
          <w:endnotePr>
            <w:numFmt w:val="decimal"/>
          </w:endnotePr>
          <w:type w:val="continuous"/>
          <w:pgSz w:w="11909" w:h="16834"/>
          <w:pgMar w:top="1440" w:right="1032" w:bottom="1151" w:left="1032" w:header="432" w:footer="504" w:gutter="0"/>
          <w:cols w:space="720"/>
          <w:noEndnote/>
          <w:docGrid w:linePitch="360"/>
        </w:sectPr>
      </w:pPr>
    </w:p>
    <w:p w14:paraId="4F40DED3" w14:textId="14DF34E7" w:rsidR="006F67F9" w:rsidRPr="000C7324" w:rsidRDefault="006F67F9" w:rsidP="000D2C79">
      <w:pPr>
        <w:pStyle w:val="HCh"/>
        <w:ind w:left="1267" w:right="1260" w:hanging="1267"/>
        <w:rPr>
          <w:lang w:val="fr-FR"/>
        </w:rPr>
      </w:pPr>
      <w:r w:rsidRPr="000C7324">
        <w:rPr>
          <w:lang w:val="fr-FR"/>
        </w:rPr>
        <w:lastRenderedPageBreak/>
        <w:tab/>
        <w:t>II.</w:t>
      </w:r>
      <w:r w:rsidRPr="000C7324">
        <w:rPr>
          <w:lang w:val="fr-FR"/>
        </w:rPr>
        <w:tab/>
      </w:r>
      <w:r w:rsidR="00C275E0" w:rsidRPr="000C7324">
        <w:rPr>
          <w:lang w:val="fr-FR"/>
        </w:rPr>
        <w:t>Plan de travail</w:t>
      </w:r>
      <w:r w:rsidR="00CC19BA" w:rsidRPr="000C7324">
        <w:rPr>
          <w:lang w:val="fr-FR"/>
        </w:rPr>
        <w:t xml:space="preserve"> </w:t>
      </w:r>
      <w:r w:rsidRPr="000C7324">
        <w:rPr>
          <w:lang w:val="fr-FR"/>
        </w:rPr>
        <w:t xml:space="preserve"> </w:t>
      </w:r>
    </w:p>
    <w:p w14:paraId="51FD3EC2" w14:textId="77777777" w:rsidR="00CC19BA" w:rsidRPr="000C7324" w:rsidRDefault="00CC19BA" w:rsidP="00CC19BA">
      <w:pPr>
        <w:pStyle w:val="SingleTxt"/>
        <w:rPr>
          <w:lang w:val="fr-FR"/>
        </w:rPr>
      </w:pPr>
    </w:p>
    <w:p w14:paraId="76467D69" w14:textId="040FA72E" w:rsidR="006F67F9" w:rsidRPr="000C7324" w:rsidRDefault="006F67F9" w:rsidP="008E2513">
      <w:pPr>
        <w:pStyle w:val="SingleTxt"/>
        <w:keepNext/>
        <w:keepLines/>
        <w:spacing w:after="0" w:line="120" w:lineRule="atLeast"/>
        <w:ind w:left="0"/>
        <w:rPr>
          <w:sz w:val="10"/>
          <w:lang w:val="fr-FR"/>
        </w:rPr>
      </w:pPr>
    </w:p>
    <w:p w14:paraId="5DEDDF40" w14:textId="784E8C67" w:rsidR="00150878" w:rsidRPr="000C7324" w:rsidRDefault="00667EC1" w:rsidP="008E2513">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b/>
          <w:bCs/>
          <w:sz w:val="22"/>
          <w:szCs w:val="22"/>
          <w:lang w:val="fr-FR"/>
        </w:rPr>
      </w:pPr>
      <w:r w:rsidRPr="000C7324">
        <w:rPr>
          <w:b/>
          <w:bCs/>
          <w:sz w:val="22"/>
          <w:szCs w:val="22"/>
          <w:lang w:val="fr-FR"/>
        </w:rPr>
        <w:t xml:space="preserve">1. </w:t>
      </w:r>
      <w:r w:rsidR="00C275E0" w:rsidRPr="000C7324">
        <w:rPr>
          <w:b/>
          <w:bCs/>
          <w:sz w:val="22"/>
          <w:szCs w:val="22"/>
          <w:lang w:val="fr-FR"/>
        </w:rPr>
        <w:t xml:space="preserve">Présentation du </w:t>
      </w:r>
      <w:r w:rsidR="00AC2C08" w:rsidRPr="000C7324">
        <w:rPr>
          <w:b/>
          <w:bCs/>
          <w:sz w:val="22"/>
          <w:szCs w:val="22"/>
          <w:lang w:val="fr-FR"/>
        </w:rPr>
        <w:t>p</w:t>
      </w:r>
      <w:r w:rsidR="00C275E0" w:rsidRPr="000C7324">
        <w:rPr>
          <w:b/>
          <w:bCs/>
          <w:sz w:val="22"/>
          <w:szCs w:val="22"/>
          <w:lang w:val="fr-FR"/>
        </w:rPr>
        <w:t>lan de travail</w:t>
      </w:r>
      <w:r w:rsidR="00CC19BA" w:rsidRPr="000C7324">
        <w:rPr>
          <w:b/>
          <w:bCs/>
          <w:sz w:val="22"/>
          <w:szCs w:val="22"/>
          <w:lang w:val="fr-FR"/>
        </w:rPr>
        <w:t xml:space="preserve"> </w:t>
      </w:r>
    </w:p>
    <w:tbl>
      <w:tblPr>
        <w:tblW w:w="5000" w:type="pct"/>
        <w:tblLook w:val="04A0" w:firstRow="1" w:lastRow="0" w:firstColumn="1" w:lastColumn="0" w:noHBand="0" w:noVBand="1"/>
      </w:tblPr>
      <w:tblGrid>
        <w:gridCol w:w="536"/>
        <w:gridCol w:w="1990"/>
        <w:gridCol w:w="1029"/>
        <w:gridCol w:w="1074"/>
        <w:gridCol w:w="1443"/>
        <w:gridCol w:w="2296"/>
        <w:gridCol w:w="1074"/>
        <w:gridCol w:w="1079"/>
        <w:gridCol w:w="1559"/>
        <w:gridCol w:w="1582"/>
        <w:gridCol w:w="581"/>
      </w:tblGrid>
      <w:tr w:rsidR="00CC19BA" w:rsidRPr="000C7324" w14:paraId="70FAD249" w14:textId="77777777" w:rsidTr="00CC19BA">
        <w:trPr>
          <w:trHeight w:val="1860"/>
        </w:trPr>
        <w:tc>
          <w:tcPr>
            <w:tcW w:w="190" w:type="pct"/>
            <w:tcBorders>
              <w:top w:val="nil"/>
              <w:left w:val="nil"/>
              <w:bottom w:val="nil"/>
              <w:right w:val="nil"/>
            </w:tcBorders>
            <w:shd w:val="clear" w:color="auto" w:fill="auto"/>
            <w:noWrap/>
            <w:vAlign w:val="bottom"/>
            <w:hideMark/>
          </w:tcPr>
          <w:p w14:paraId="7A587344" w14:textId="77777777" w:rsidR="00CC19BA" w:rsidRPr="000C7324" w:rsidRDefault="00CC19BA" w:rsidP="00CC19BA">
            <w:pPr>
              <w:suppressAutoHyphens w:val="0"/>
              <w:spacing w:line="240" w:lineRule="auto"/>
              <w:rPr>
                <w:rFonts w:eastAsia="Times New Roman"/>
                <w:spacing w:val="0"/>
                <w:w w:val="100"/>
                <w:kern w:val="0"/>
                <w:sz w:val="16"/>
                <w:szCs w:val="16"/>
                <w:lang w:val="fr-FR"/>
              </w:rPr>
            </w:pPr>
          </w:p>
        </w:tc>
        <w:tc>
          <w:tcPr>
            <w:tcW w:w="660" w:type="pct"/>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2E4AE8C5" w14:textId="77777777" w:rsidR="00CC19BA" w:rsidRPr="000C7324" w:rsidRDefault="00CC19BA" w:rsidP="00CC19BA">
            <w:pPr>
              <w:suppressAutoHyphens w:val="0"/>
              <w:spacing w:line="240" w:lineRule="auto"/>
              <w:jc w:val="center"/>
              <w:rPr>
                <w:rFonts w:eastAsia="Times New Roman"/>
                <w:spacing w:val="0"/>
                <w:w w:val="100"/>
                <w:kern w:val="0"/>
                <w:sz w:val="16"/>
                <w:szCs w:val="16"/>
                <w:lang w:val="fr-FR"/>
              </w:rPr>
            </w:pPr>
            <w:r w:rsidRPr="000C7324">
              <w:rPr>
                <w:rFonts w:eastAsia="Times New Roman"/>
                <w:spacing w:val="0"/>
                <w:w w:val="100"/>
                <w:kern w:val="0"/>
                <w:sz w:val="16"/>
                <w:szCs w:val="16"/>
                <w:lang w:val="fr-FR"/>
              </w:rPr>
              <w:t> </w:t>
            </w:r>
          </w:p>
        </w:tc>
        <w:tc>
          <w:tcPr>
            <w:tcW w:w="394" w:type="pct"/>
            <w:tcBorders>
              <w:top w:val="single" w:sz="8" w:space="0" w:color="auto"/>
              <w:left w:val="nil"/>
              <w:bottom w:val="single" w:sz="8" w:space="0" w:color="auto"/>
              <w:right w:val="single" w:sz="4" w:space="0" w:color="auto"/>
            </w:tcBorders>
            <w:shd w:val="clear" w:color="000000" w:fill="F2F2F2"/>
            <w:vAlign w:val="center"/>
            <w:hideMark/>
          </w:tcPr>
          <w:p w14:paraId="0AD0AB28"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fr-FR"/>
              </w:rPr>
            </w:pPr>
            <w:r w:rsidRPr="000C7324">
              <w:rPr>
                <w:rFonts w:eastAsia="Times New Roman"/>
                <w:b/>
                <w:bCs/>
                <w:spacing w:val="0"/>
                <w:w w:val="100"/>
                <w:kern w:val="0"/>
                <w:sz w:val="16"/>
                <w:szCs w:val="16"/>
                <w:lang w:val="fr-FR"/>
              </w:rPr>
              <w:t>Prévention et atténuation des litiges</w:t>
            </w:r>
          </w:p>
        </w:tc>
        <w:tc>
          <w:tcPr>
            <w:tcW w:w="394" w:type="pct"/>
            <w:tcBorders>
              <w:top w:val="single" w:sz="8" w:space="0" w:color="auto"/>
              <w:left w:val="nil"/>
              <w:bottom w:val="single" w:sz="8" w:space="0" w:color="auto"/>
              <w:right w:val="single" w:sz="4" w:space="0" w:color="auto"/>
            </w:tcBorders>
            <w:shd w:val="clear" w:color="000000" w:fill="F2F2F2"/>
            <w:vAlign w:val="center"/>
            <w:hideMark/>
          </w:tcPr>
          <w:p w14:paraId="0242CBFE"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fr-FR"/>
              </w:rPr>
            </w:pPr>
            <w:r w:rsidRPr="000C7324">
              <w:rPr>
                <w:rFonts w:eastAsia="Times New Roman"/>
                <w:b/>
                <w:bCs/>
                <w:spacing w:val="0"/>
                <w:w w:val="100"/>
                <w:kern w:val="0"/>
                <w:sz w:val="16"/>
                <w:szCs w:val="16"/>
                <w:lang w:val="fr-FR"/>
              </w:rPr>
              <w:t>Sélection et nomination des arbitres</w:t>
            </w:r>
          </w:p>
        </w:tc>
        <w:tc>
          <w:tcPr>
            <w:tcW w:w="490" w:type="pct"/>
            <w:tcBorders>
              <w:top w:val="single" w:sz="8" w:space="0" w:color="auto"/>
              <w:left w:val="nil"/>
              <w:bottom w:val="single" w:sz="8" w:space="0" w:color="auto"/>
              <w:right w:val="single" w:sz="4" w:space="0" w:color="auto"/>
            </w:tcBorders>
            <w:shd w:val="clear" w:color="000000" w:fill="F2F2F2"/>
            <w:noWrap/>
            <w:vAlign w:val="center"/>
            <w:hideMark/>
          </w:tcPr>
          <w:p w14:paraId="57987410"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 xml:space="preserve">Code de </w:t>
            </w:r>
            <w:proofErr w:type="spellStart"/>
            <w:r w:rsidRPr="000C7324">
              <w:rPr>
                <w:rFonts w:eastAsia="Times New Roman"/>
                <w:b/>
                <w:bCs/>
                <w:spacing w:val="0"/>
                <w:w w:val="100"/>
                <w:kern w:val="0"/>
                <w:sz w:val="16"/>
                <w:szCs w:val="16"/>
                <w:lang w:val="en-US"/>
              </w:rPr>
              <w:t>Conduite</w:t>
            </w:r>
            <w:proofErr w:type="spellEnd"/>
          </w:p>
        </w:tc>
        <w:tc>
          <w:tcPr>
            <w:tcW w:w="823" w:type="pct"/>
            <w:tcBorders>
              <w:top w:val="single" w:sz="8" w:space="0" w:color="auto"/>
              <w:left w:val="nil"/>
              <w:bottom w:val="single" w:sz="8" w:space="0" w:color="auto"/>
              <w:right w:val="single" w:sz="4" w:space="0" w:color="auto"/>
            </w:tcBorders>
            <w:shd w:val="clear" w:color="000000" w:fill="F2F2F2"/>
            <w:vAlign w:val="center"/>
            <w:hideMark/>
          </w:tcPr>
          <w:p w14:paraId="0EA96AC6" w14:textId="116E61CB" w:rsidR="00CC19BA" w:rsidRPr="000C7324" w:rsidRDefault="00CC19BA" w:rsidP="00CC19BA">
            <w:pPr>
              <w:suppressAutoHyphens w:val="0"/>
              <w:spacing w:line="240" w:lineRule="auto"/>
              <w:jc w:val="center"/>
              <w:rPr>
                <w:rFonts w:eastAsia="Times New Roman"/>
                <w:b/>
                <w:bCs/>
                <w:spacing w:val="0"/>
                <w:w w:val="100"/>
                <w:kern w:val="0"/>
                <w:sz w:val="16"/>
                <w:szCs w:val="16"/>
                <w:lang w:val="fr-FR"/>
              </w:rPr>
            </w:pPr>
            <w:r w:rsidRPr="000C7324">
              <w:rPr>
                <w:rFonts w:eastAsia="Times New Roman"/>
                <w:b/>
                <w:bCs/>
                <w:spacing w:val="0"/>
                <w:w w:val="100"/>
                <w:kern w:val="0"/>
                <w:sz w:val="16"/>
                <w:szCs w:val="16"/>
                <w:lang w:val="fr-FR"/>
              </w:rPr>
              <w:t>Réforme des règles procédurales du RDIE (Demandes abusives, Procédures multiples, Pertes par ricochets, Demandes reconventionnelles, Garantie pour frais, Financement par les tiers, Interprétation des traités)</w:t>
            </w:r>
          </w:p>
        </w:tc>
        <w:tc>
          <w:tcPr>
            <w:tcW w:w="394" w:type="pct"/>
            <w:tcBorders>
              <w:top w:val="single" w:sz="8" w:space="0" w:color="auto"/>
              <w:left w:val="nil"/>
              <w:bottom w:val="single" w:sz="8" w:space="0" w:color="auto"/>
              <w:right w:val="single" w:sz="4" w:space="0" w:color="auto"/>
            </w:tcBorders>
            <w:shd w:val="clear" w:color="000000" w:fill="F2F2F2"/>
            <w:vAlign w:val="center"/>
            <w:hideMark/>
          </w:tcPr>
          <w:p w14:paraId="1471FA0F"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 xml:space="preserve">Centre </w:t>
            </w:r>
            <w:proofErr w:type="spellStart"/>
            <w:r w:rsidRPr="000C7324">
              <w:rPr>
                <w:rFonts w:eastAsia="Times New Roman"/>
                <w:b/>
                <w:bCs/>
                <w:spacing w:val="0"/>
                <w:w w:val="100"/>
                <w:kern w:val="0"/>
                <w:sz w:val="16"/>
                <w:szCs w:val="16"/>
                <w:lang w:val="en-US"/>
              </w:rPr>
              <w:t>consultatif</w:t>
            </w:r>
            <w:proofErr w:type="spellEnd"/>
            <w:r w:rsidRPr="000C7324">
              <w:rPr>
                <w:rFonts w:eastAsia="Times New Roman"/>
                <w:b/>
                <w:bCs/>
                <w:spacing w:val="0"/>
                <w:w w:val="100"/>
                <w:kern w:val="0"/>
                <w:sz w:val="16"/>
                <w:szCs w:val="16"/>
                <w:lang w:val="en-US"/>
              </w:rPr>
              <w:t xml:space="preserve"> multilateral</w:t>
            </w:r>
          </w:p>
        </w:tc>
        <w:tc>
          <w:tcPr>
            <w:tcW w:w="394" w:type="pct"/>
            <w:tcBorders>
              <w:top w:val="single" w:sz="8" w:space="0" w:color="auto"/>
              <w:left w:val="nil"/>
              <w:bottom w:val="single" w:sz="8" w:space="0" w:color="auto"/>
              <w:right w:val="single" w:sz="4" w:space="0" w:color="auto"/>
            </w:tcBorders>
            <w:shd w:val="clear" w:color="000000" w:fill="F2F2F2"/>
            <w:vAlign w:val="center"/>
            <w:hideMark/>
          </w:tcPr>
          <w:p w14:paraId="7392D9E7"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proofErr w:type="spellStart"/>
            <w:r w:rsidRPr="000C7324">
              <w:rPr>
                <w:rFonts w:eastAsia="Times New Roman"/>
                <w:b/>
                <w:bCs/>
                <w:spacing w:val="0"/>
                <w:w w:val="100"/>
                <w:kern w:val="0"/>
                <w:sz w:val="16"/>
                <w:szCs w:val="16"/>
                <w:lang w:val="en-US"/>
              </w:rPr>
              <w:t>Méchanisme</w:t>
            </w:r>
            <w:proofErr w:type="spellEnd"/>
            <w:r w:rsidRPr="000C7324">
              <w:rPr>
                <w:rFonts w:eastAsia="Times New Roman"/>
                <w:b/>
                <w:bCs/>
                <w:spacing w:val="0"/>
                <w:w w:val="100"/>
                <w:kern w:val="0"/>
                <w:sz w:val="16"/>
                <w:szCs w:val="16"/>
                <w:lang w:val="en-US"/>
              </w:rPr>
              <w:t xml:space="preserve"> </w:t>
            </w:r>
            <w:proofErr w:type="spellStart"/>
            <w:r w:rsidRPr="000C7324">
              <w:rPr>
                <w:rFonts w:eastAsia="Times New Roman"/>
                <w:b/>
                <w:bCs/>
                <w:spacing w:val="0"/>
                <w:w w:val="100"/>
                <w:kern w:val="0"/>
                <w:sz w:val="16"/>
                <w:szCs w:val="16"/>
                <w:lang w:val="en-US"/>
              </w:rPr>
              <w:t>d'appel</w:t>
            </w:r>
            <w:proofErr w:type="spellEnd"/>
          </w:p>
        </w:tc>
        <w:tc>
          <w:tcPr>
            <w:tcW w:w="548" w:type="pct"/>
            <w:tcBorders>
              <w:top w:val="single" w:sz="8" w:space="0" w:color="auto"/>
              <w:left w:val="nil"/>
              <w:bottom w:val="single" w:sz="8" w:space="0" w:color="auto"/>
              <w:right w:val="single" w:sz="4" w:space="0" w:color="auto"/>
            </w:tcBorders>
            <w:shd w:val="clear" w:color="000000" w:fill="F2F2F2"/>
            <w:vAlign w:val="center"/>
            <w:hideMark/>
          </w:tcPr>
          <w:p w14:paraId="63BE658E"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fr-FR"/>
              </w:rPr>
            </w:pPr>
            <w:r w:rsidRPr="000C7324">
              <w:rPr>
                <w:rFonts w:eastAsia="Times New Roman"/>
                <w:b/>
                <w:bCs/>
                <w:spacing w:val="0"/>
                <w:w w:val="100"/>
                <w:kern w:val="0"/>
                <w:sz w:val="16"/>
                <w:szCs w:val="16"/>
                <w:lang w:val="fr-FR"/>
              </w:rPr>
              <w:t>Cour multilatérale et permanente d'investissement</w:t>
            </w:r>
          </w:p>
        </w:tc>
        <w:tc>
          <w:tcPr>
            <w:tcW w:w="590" w:type="pct"/>
            <w:tcBorders>
              <w:top w:val="single" w:sz="8" w:space="0" w:color="auto"/>
              <w:left w:val="nil"/>
              <w:bottom w:val="single" w:sz="8" w:space="0" w:color="auto"/>
              <w:right w:val="single" w:sz="8" w:space="0" w:color="auto"/>
            </w:tcBorders>
            <w:shd w:val="clear" w:color="000000" w:fill="F2F2F2"/>
            <w:vAlign w:val="center"/>
            <w:hideMark/>
          </w:tcPr>
          <w:p w14:paraId="1A4AF57E"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fr-FR"/>
              </w:rPr>
            </w:pPr>
            <w:r w:rsidRPr="000C7324">
              <w:rPr>
                <w:rFonts w:eastAsia="Times New Roman"/>
                <w:b/>
                <w:bCs/>
                <w:spacing w:val="0"/>
                <w:w w:val="100"/>
                <w:kern w:val="0"/>
                <w:sz w:val="16"/>
                <w:szCs w:val="16"/>
                <w:lang w:val="fr-FR"/>
              </w:rPr>
              <w:t xml:space="preserve">Instrument multilatéral de mise on </w:t>
            </w:r>
            <w:proofErr w:type="spellStart"/>
            <w:r w:rsidRPr="000C7324">
              <w:rPr>
                <w:rFonts w:eastAsia="Times New Roman"/>
                <w:b/>
                <w:bCs/>
                <w:spacing w:val="0"/>
                <w:w w:val="100"/>
                <w:kern w:val="0"/>
                <w:sz w:val="16"/>
                <w:szCs w:val="16"/>
                <w:lang w:val="fr-FR"/>
              </w:rPr>
              <w:t>oeuvre</w:t>
            </w:r>
            <w:proofErr w:type="spellEnd"/>
            <w:r w:rsidRPr="000C7324">
              <w:rPr>
                <w:rFonts w:eastAsia="Times New Roman"/>
                <w:b/>
                <w:bCs/>
                <w:spacing w:val="0"/>
                <w:w w:val="100"/>
                <w:kern w:val="0"/>
                <w:sz w:val="16"/>
                <w:szCs w:val="16"/>
                <w:lang w:val="fr-FR"/>
              </w:rPr>
              <w:t xml:space="preserve"> des réformes</w:t>
            </w:r>
          </w:p>
        </w:tc>
        <w:tc>
          <w:tcPr>
            <w:tcW w:w="123" w:type="pct"/>
            <w:tcBorders>
              <w:top w:val="nil"/>
              <w:left w:val="nil"/>
              <w:bottom w:val="nil"/>
              <w:right w:val="nil"/>
            </w:tcBorders>
            <w:shd w:val="clear" w:color="auto" w:fill="auto"/>
            <w:noWrap/>
            <w:vAlign w:val="center"/>
            <w:hideMark/>
          </w:tcPr>
          <w:p w14:paraId="48B8B4BF"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fr-FR"/>
              </w:rPr>
            </w:pPr>
          </w:p>
        </w:tc>
      </w:tr>
      <w:tr w:rsidR="00CC19BA" w:rsidRPr="000C7324" w14:paraId="0A76B764" w14:textId="77777777" w:rsidTr="00CC19BA">
        <w:trPr>
          <w:trHeight w:val="540"/>
        </w:trPr>
        <w:tc>
          <w:tcPr>
            <w:tcW w:w="190"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1621E9F"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2021</w:t>
            </w:r>
          </w:p>
        </w:tc>
        <w:tc>
          <w:tcPr>
            <w:tcW w:w="660" w:type="pct"/>
            <w:tcBorders>
              <w:top w:val="nil"/>
              <w:left w:val="nil"/>
              <w:bottom w:val="single" w:sz="4" w:space="0" w:color="auto"/>
              <w:right w:val="single" w:sz="8" w:space="0" w:color="auto"/>
            </w:tcBorders>
            <w:shd w:val="clear" w:color="000000" w:fill="DDEBF7"/>
            <w:noWrap/>
            <w:vAlign w:val="center"/>
            <w:hideMark/>
          </w:tcPr>
          <w:p w14:paraId="0C3DAD61" w14:textId="6EC8AF8C"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 xml:space="preserve">Groupe de travail #40 </w:t>
            </w:r>
          </w:p>
        </w:tc>
        <w:tc>
          <w:tcPr>
            <w:tcW w:w="394" w:type="pct"/>
            <w:tcBorders>
              <w:top w:val="nil"/>
              <w:left w:val="nil"/>
              <w:bottom w:val="single" w:sz="4" w:space="0" w:color="auto"/>
              <w:right w:val="single" w:sz="4" w:space="0" w:color="auto"/>
            </w:tcBorders>
            <w:shd w:val="clear" w:color="000000" w:fill="DDEBF7"/>
            <w:vAlign w:val="center"/>
            <w:hideMark/>
          </w:tcPr>
          <w:p w14:paraId="35312021"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nil"/>
              <w:left w:val="nil"/>
              <w:bottom w:val="single" w:sz="4" w:space="0" w:color="auto"/>
              <w:right w:val="single" w:sz="4" w:space="0" w:color="auto"/>
            </w:tcBorders>
            <w:shd w:val="clear" w:color="000000" w:fill="DDEBF7"/>
            <w:vAlign w:val="center"/>
            <w:hideMark/>
          </w:tcPr>
          <w:p w14:paraId="38AA6D2D"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490" w:type="pct"/>
            <w:tcBorders>
              <w:top w:val="nil"/>
              <w:left w:val="nil"/>
              <w:bottom w:val="single" w:sz="4" w:space="0" w:color="auto"/>
              <w:right w:val="single" w:sz="4" w:space="0" w:color="auto"/>
            </w:tcBorders>
            <w:shd w:val="clear" w:color="000000" w:fill="DDEBF7"/>
            <w:vAlign w:val="center"/>
            <w:hideMark/>
          </w:tcPr>
          <w:p w14:paraId="7D2B335B"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Première lecture (1 jour)</w:t>
            </w:r>
          </w:p>
        </w:tc>
        <w:tc>
          <w:tcPr>
            <w:tcW w:w="823" w:type="pct"/>
            <w:tcBorders>
              <w:top w:val="nil"/>
              <w:left w:val="nil"/>
              <w:bottom w:val="single" w:sz="4" w:space="0" w:color="auto"/>
              <w:right w:val="single" w:sz="4" w:space="0" w:color="auto"/>
            </w:tcBorders>
            <w:shd w:val="clear" w:color="000000" w:fill="DDEBF7"/>
            <w:vAlign w:val="center"/>
            <w:hideMark/>
          </w:tcPr>
          <w:p w14:paraId="7D5E2C5B"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nil"/>
              <w:left w:val="nil"/>
              <w:bottom w:val="single" w:sz="4" w:space="0" w:color="auto"/>
              <w:right w:val="single" w:sz="4" w:space="0" w:color="auto"/>
            </w:tcBorders>
            <w:shd w:val="clear" w:color="000000" w:fill="DDEBF7"/>
            <w:vAlign w:val="center"/>
            <w:hideMark/>
          </w:tcPr>
          <w:p w14:paraId="20D89A78"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nil"/>
              <w:left w:val="nil"/>
              <w:bottom w:val="single" w:sz="4" w:space="0" w:color="auto"/>
              <w:right w:val="single" w:sz="4" w:space="0" w:color="auto"/>
            </w:tcBorders>
            <w:shd w:val="clear" w:color="000000" w:fill="DDEBF7"/>
            <w:vAlign w:val="center"/>
            <w:hideMark/>
          </w:tcPr>
          <w:p w14:paraId="30AAA75D"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xml:space="preserve">Instructions (2 </w:t>
            </w:r>
            <w:proofErr w:type="spellStart"/>
            <w:r w:rsidRPr="000C7324">
              <w:rPr>
                <w:rFonts w:eastAsia="Times New Roman"/>
                <w:spacing w:val="0"/>
                <w:w w:val="100"/>
                <w:kern w:val="0"/>
                <w:sz w:val="16"/>
                <w:szCs w:val="16"/>
                <w:lang w:val="en-US"/>
              </w:rPr>
              <w:t>jours</w:t>
            </w:r>
            <w:proofErr w:type="spellEnd"/>
            <w:r w:rsidRPr="000C7324">
              <w:rPr>
                <w:rFonts w:eastAsia="Times New Roman"/>
                <w:spacing w:val="0"/>
                <w:w w:val="100"/>
                <w:kern w:val="0"/>
                <w:sz w:val="16"/>
                <w:szCs w:val="16"/>
                <w:lang w:val="en-US"/>
              </w:rPr>
              <w:t>)</w:t>
            </w:r>
          </w:p>
        </w:tc>
        <w:tc>
          <w:tcPr>
            <w:tcW w:w="548" w:type="pct"/>
            <w:tcBorders>
              <w:top w:val="nil"/>
              <w:left w:val="nil"/>
              <w:bottom w:val="single" w:sz="4" w:space="0" w:color="auto"/>
              <w:right w:val="single" w:sz="4" w:space="0" w:color="auto"/>
            </w:tcBorders>
            <w:shd w:val="clear" w:color="000000" w:fill="DDEBF7"/>
            <w:noWrap/>
            <w:vAlign w:val="center"/>
            <w:hideMark/>
          </w:tcPr>
          <w:p w14:paraId="1DE3765A"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xml:space="preserve">Instructions (2 </w:t>
            </w:r>
            <w:proofErr w:type="spellStart"/>
            <w:r w:rsidRPr="000C7324">
              <w:rPr>
                <w:rFonts w:eastAsia="Times New Roman"/>
                <w:spacing w:val="0"/>
                <w:w w:val="100"/>
                <w:kern w:val="0"/>
                <w:sz w:val="16"/>
                <w:szCs w:val="16"/>
                <w:lang w:val="en-US"/>
              </w:rPr>
              <w:t>jours</w:t>
            </w:r>
            <w:proofErr w:type="spellEnd"/>
            <w:r w:rsidRPr="000C7324">
              <w:rPr>
                <w:rFonts w:eastAsia="Times New Roman"/>
                <w:spacing w:val="0"/>
                <w:w w:val="100"/>
                <w:kern w:val="0"/>
                <w:sz w:val="16"/>
                <w:szCs w:val="16"/>
                <w:lang w:val="en-US"/>
              </w:rPr>
              <w:t>)</w:t>
            </w:r>
          </w:p>
        </w:tc>
        <w:tc>
          <w:tcPr>
            <w:tcW w:w="590" w:type="pct"/>
            <w:tcBorders>
              <w:top w:val="nil"/>
              <w:left w:val="nil"/>
              <w:bottom w:val="single" w:sz="4" w:space="0" w:color="auto"/>
              <w:right w:val="single" w:sz="8" w:space="0" w:color="auto"/>
            </w:tcBorders>
            <w:shd w:val="clear" w:color="000000" w:fill="DDEBF7"/>
            <w:vAlign w:val="center"/>
            <w:hideMark/>
          </w:tcPr>
          <w:p w14:paraId="3A400CD3"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123" w:type="pct"/>
            <w:tcBorders>
              <w:top w:val="nil"/>
              <w:left w:val="nil"/>
              <w:bottom w:val="nil"/>
              <w:right w:val="nil"/>
            </w:tcBorders>
            <w:shd w:val="clear" w:color="auto" w:fill="auto"/>
            <w:vAlign w:val="center"/>
            <w:hideMark/>
          </w:tcPr>
          <w:p w14:paraId="4638C1FC"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p>
        </w:tc>
      </w:tr>
      <w:tr w:rsidR="00CC19BA" w:rsidRPr="000C7324" w14:paraId="7611FCD5" w14:textId="77777777" w:rsidTr="00CC19BA">
        <w:trPr>
          <w:trHeight w:val="878"/>
        </w:trPr>
        <w:tc>
          <w:tcPr>
            <w:tcW w:w="190" w:type="pct"/>
            <w:vMerge/>
            <w:tcBorders>
              <w:top w:val="single" w:sz="8" w:space="0" w:color="auto"/>
              <w:left w:val="single" w:sz="8" w:space="0" w:color="auto"/>
              <w:bottom w:val="single" w:sz="8" w:space="0" w:color="000000"/>
              <w:right w:val="single" w:sz="8" w:space="0" w:color="auto"/>
            </w:tcBorders>
            <w:vAlign w:val="center"/>
            <w:hideMark/>
          </w:tcPr>
          <w:p w14:paraId="07663ED0" w14:textId="77777777" w:rsidR="00CC19BA" w:rsidRPr="000C7324" w:rsidRDefault="00CC19BA" w:rsidP="00CC19BA">
            <w:pPr>
              <w:suppressAutoHyphens w:val="0"/>
              <w:spacing w:line="240" w:lineRule="auto"/>
              <w:rPr>
                <w:rFonts w:eastAsia="Times New Roman"/>
                <w:b/>
                <w:bCs/>
                <w:spacing w:val="0"/>
                <w:w w:val="100"/>
                <w:kern w:val="0"/>
                <w:sz w:val="16"/>
                <w:szCs w:val="16"/>
                <w:lang w:val="en-US"/>
              </w:rPr>
            </w:pPr>
          </w:p>
        </w:tc>
        <w:tc>
          <w:tcPr>
            <w:tcW w:w="660" w:type="pct"/>
            <w:vMerge w:val="restart"/>
            <w:tcBorders>
              <w:top w:val="nil"/>
              <w:left w:val="single" w:sz="8" w:space="0" w:color="auto"/>
              <w:bottom w:val="single" w:sz="4" w:space="0" w:color="000000"/>
              <w:right w:val="single" w:sz="8" w:space="0" w:color="auto"/>
            </w:tcBorders>
            <w:shd w:val="clear" w:color="auto" w:fill="auto"/>
            <w:noWrap/>
            <w:vAlign w:val="center"/>
            <w:hideMark/>
          </w:tcPr>
          <w:p w14:paraId="78846FFA"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Inter-Session #40</w:t>
            </w:r>
          </w:p>
        </w:tc>
        <w:tc>
          <w:tcPr>
            <w:tcW w:w="394" w:type="pct"/>
            <w:tcBorders>
              <w:top w:val="nil"/>
              <w:left w:val="nil"/>
              <w:bottom w:val="single" w:sz="4" w:space="0" w:color="auto"/>
              <w:right w:val="single" w:sz="4" w:space="0" w:color="auto"/>
            </w:tcBorders>
            <w:shd w:val="clear" w:color="auto" w:fill="auto"/>
            <w:vAlign w:val="center"/>
            <w:hideMark/>
          </w:tcPr>
          <w:p w14:paraId="0BC8AF6D"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nil"/>
              <w:left w:val="nil"/>
              <w:bottom w:val="single" w:sz="4" w:space="0" w:color="auto"/>
              <w:right w:val="single" w:sz="4" w:space="0" w:color="auto"/>
            </w:tcBorders>
            <w:shd w:val="clear" w:color="auto" w:fill="auto"/>
            <w:vAlign w:val="center"/>
            <w:hideMark/>
          </w:tcPr>
          <w:p w14:paraId="2CFEA7C4"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490" w:type="pct"/>
            <w:tcBorders>
              <w:top w:val="nil"/>
              <w:left w:val="nil"/>
              <w:bottom w:val="single" w:sz="4" w:space="0" w:color="auto"/>
              <w:right w:val="single" w:sz="4" w:space="0" w:color="auto"/>
            </w:tcBorders>
            <w:shd w:val="clear" w:color="auto" w:fill="auto"/>
            <w:vAlign w:val="center"/>
            <w:hideMark/>
          </w:tcPr>
          <w:p w14:paraId="4076C266" w14:textId="33C4B7B8" w:rsidR="00CC19BA" w:rsidRPr="000C7324" w:rsidRDefault="00CC19BA" w:rsidP="00CC19BA">
            <w:pPr>
              <w:suppressAutoHyphens w:val="0"/>
              <w:spacing w:line="240" w:lineRule="auto"/>
              <w:jc w:val="center"/>
              <w:rPr>
                <w:rFonts w:eastAsia="Times New Roman"/>
                <w:spacing w:val="0"/>
                <w:w w:val="100"/>
                <w:kern w:val="0"/>
                <w:sz w:val="16"/>
                <w:szCs w:val="16"/>
                <w:lang w:val="fr-FR"/>
              </w:rPr>
            </w:pPr>
            <w:r w:rsidRPr="000C7324">
              <w:rPr>
                <w:rFonts w:eastAsia="Times New Roman"/>
                <w:spacing w:val="0"/>
                <w:w w:val="100"/>
                <w:kern w:val="0"/>
                <w:sz w:val="16"/>
                <w:szCs w:val="16"/>
                <w:lang w:val="fr-FR"/>
              </w:rPr>
              <w:t>Autres réunions avec le CIRDI (2 jours) / Groupe de rédaction (2 jours)</w:t>
            </w:r>
          </w:p>
        </w:tc>
        <w:tc>
          <w:tcPr>
            <w:tcW w:w="823" w:type="pct"/>
            <w:tcBorders>
              <w:top w:val="nil"/>
              <w:left w:val="nil"/>
              <w:bottom w:val="single" w:sz="4" w:space="0" w:color="auto"/>
              <w:right w:val="single" w:sz="4" w:space="0" w:color="auto"/>
            </w:tcBorders>
            <w:shd w:val="clear" w:color="auto" w:fill="auto"/>
            <w:vAlign w:val="center"/>
            <w:hideMark/>
          </w:tcPr>
          <w:p w14:paraId="270CA5BD"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proofErr w:type="spellStart"/>
            <w:r w:rsidRPr="000C7324">
              <w:rPr>
                <w:rFonts w:eastAsia="Times New Roman"/>
                <w:spacing w:val="0"/>
                <w:w w:val="100"/>
                <w:kern w:val="0"/>
                <w:sz w:val="16"/>
                <w:szCs w:val="16"/>
                <w:lang w:val="en-US"/>
              </w:rPr>
              <w:t>Autres</w:t>
            </w:r>
            <w:proofErr w:type="spellEnd"/>
            <w:r w:rsidRPr="000C7324">
              <w:rPr>
                <w:rFonts w:eastAsia="Times New Roman"/>
                <w:spacing w:val="0"/>
                <w:w w:val="100"/>
                <w:kern w:val="0"/>
                <w:sz w:val="16"/>
                <w:szCs w:val="16"/>
                <w:lang w:val="en-US"/>
              </w:rPr>
              <w:t xml:space="preserve"> </w:t>
            </w:r>
            <w:proofErr w:type="spellStart"/>
            <w:r w:rsidRPr="000C7324">
              <w:rPr>
                <w:rFonts w:eastAsia="Times New Roman"/>
                <w:spacing w:val="0"/>
                <w:w w:val="100"/>
                <w:kern w:val="0"/>
                <w:sz w:val="16"/>
                <w:szCs w:val="16"/>
                <w:lang w:val="en-US"/>
              </w:rPr>
              <w:t>réunions</w:t>
            </w:r>
            <w:proofErr w:type="spellEnd"/>
            <w:r w:rsidRPr="000C7324">
              <w:rPr>
                <w:rFonts w:eastAsia="Times New Roman"/>
                <w:spacing w:val="0"/>
                <w:w w:val="100"/>
                <w:kern w:val="0"/>
                <w:sz w:val="16"/>
                <w:szCs w:val="16"/>
                <w:lang w:val="en-US"/>
              </w:rPr>
              <w:t xml:space="preserve"> - OCDE (2 </w:t>
            </w:r>
            <w:proofErr w:type="spellStart"/>
            <w:r w:rsidRPr="000C7324">
              <w:rPr>
                <w:rFonts w:eastAsia="Times New Roman"/>
                <w:spacing w:val="0"/>
                <w:w w:val="100"/>
                <w:kern w:val="0"/>
                <w:sz w:val="16"/>
                <w:szCs w:val="16"/>
                <w:lang w:val="en-US"/>
              </w:rPr>
              <w:t>jours</w:t>
            </w:r>
            <w:proofErr w:type="spellEnd"/>
            <w:r w:rsidRPr="000C7324">
              <w:rPr>
                <w:rFonts w:eastAsia="Times New Roman"/>
                <w:spacing w:val="0"/>
                <w:w w:val="100"/>
                <w:kern w:val="0"/>
                <w:sz w:val="16"/>
                <w:szCs w:val="16"/>
                <w:lang w:val="en-US"/>
              </w:rPr>
              <w:t>)</w:t>
            </w:r>
          </w:p>
        </w:tc>
        <w:tc>
          <w:tcPr>
            <w:tcW w:w="394" w:type="pct"/>
            <w:tcBorders>
              <w:top w:val="nil"/>
              <w:left w:val="nil"/>
              <w:bottom w:val="single" w:sz="4" w:space="0" w:color="auto"/>
              <w:right w:val="single" w:sz="4" w:space="0" w:color="auto"/>
            </w:tcBorders>
            <w:shd w:val="clear" w:color="auto" w:fill="auto"/>
            <w:vAlign w:val="center"/>
            <w:hideMark/>
          </w:tcPr>
          <w:p w14:paraId="2B3EFF9B" w14:textId="6383C9B3" w:rsidR="00CC19BA" w:rsidRPr="000C7324" w:rsidRDefault="00CC19BA" w:rsidP="00CC19BA">
            <w:pPr>
              <w:suppressAutoHyphens w:val="0"/>
              <w:spacing w:line="240" w:lineRule="auto"/>
              <w:jc w:val="center"/>
              <w:rPr>
                <w:rFonts w:eastAsia="Times New Roman"/>
                <w:spacing w:val="0"/>
                <w:w w:val="100"/>
                <w:kern w:val="0"/>
                <w:sz w:val="16"/>
                <w:szCs w:val="16"/>
                <w:lang w:val="en-US"/>
              </w:rPr>
            </w:pPr>
            <w:proofErr w:type="spellStart"/>
            <w:r w:rsidRPr="000C7324">
              <w:rPr>
                <w:rFonts w:eastAsia="Times New Roman"/>
                <w:spacing w:val="0"/>
                <w:w w:val="100"/>
                <w:kern w:val="0"/>
                <w:sz w:val="16"/>
                <w:szCs w:val="16"/>
                <w:lang w:val="en-US"/>
              </w:rPr>
              <w:t>Autres</w:t>
            </w:r>
            <w:proofErr w:type="spellEnd"/>
            <w:r w:rsidRPr="000C7324">
              <w:rPr>
                <w:rFonts w:eastAsia="Times New Roman"/>
                <w:spacing w:val="0"/>
                <w:w w:val="100"/>
                <w:kern w:val="0"/>
                <w:sz w:val="16"/>
                <w:szCs w:val="16"/>
                <w:lang w:val="en-US"/>
              </w:rPr>
              <w:t xml:space="preserve"> </w:t>
            </w:r>
            <w:proofErr w:type="spellStart"/>
            <w:r w:rsidRPr="000C7324">
              <w:rPr>
                <w:rFonts w:eastAsia="Times New Roman"/>
                <w:spacing w:val="0"/>
                <w:w w:val="100"/>
                <w:kern w:val="0"/>
                <w:sz w:val="16"/>
                <w:szCs w:val="16"/>
                <w:lang w:val="en-US"/>
              </w:rPr>
              <w:t>réunions</w:t>
            </w:r>
            <w:proofErr w:type="spellEnd"/>
            <w:r w:rsidRPr="000C7324">
              <w:rPr>
                <w:rFonts w:eastAsia="Times New Roman"/>
                <w:spacing w:val="0"/>
                <w:w w:val="100"/>
                <w:kern w:val="0"/>
                <w:sz w:val="16"/>
                <w:szCs w:val="16"/>
                <w:lang w:val="en-US"/>
              </w:rPr>
              <w:t xml:space="preserve"> (5 </w:t>
            </w:r>
            <w:proofErr w:type="spellStart"/>
            <w:r w:rsidRPr="000C7324">
              <w:rPr>
                <w:rFonts w:eastAsia="Times New Roman"/>
                <w:spacing w:val="0"/>
                <w:w w:val="100"/>
                <w:kern w:val="0"/>
                <w:sz w:val="16"/>
                <w:szCs w:val="16"/>
                <w:lang w:val="en-US"/>
              </w:rPr>
              <w:t>jours</w:t>
            </w:r>
            <w:proofErr w:type="spellEnd"/>
            <w:r w:rsidRPr="000C7324">
              <w:rPr>
                <w:rFonts w:eastAsia="Times New Roman"/>
                <w:spacing w:val="0"/>
                <w:w w:val="100"/>
                <w:kern w:val="0"/>
                <w:sz w:val="16"/>
                <w:szCs w:val="16"/>
                <w:lang w:val="en-US"/>
              </w:rPr>
              <w:t>)</w:t>
            </w:r>
          </w:p>
        </w:tc>
        <w:tc>
          <w:tcPr>
            <w:tcW w:w="394" w:type="pct"/>
            <w:tcBorders>
              <w:top w:val="nil"/>
              <w:left w:val="nil"/>
              <w:bottom w:val="single" w:sz="4" w:space="0" w:color="auto"/>
              <w:right w:val="single" w:sz="4" w:space="0" w:color="auto"/>
            </w:tcBorders>
            <w:shd w:val="clear" w:color="auto" w:fill="auto"/>
            <w:vAlign w:val="center"/>
            <w:hideMark/>
          </w:tcPr>
          <w:p w14:paraId="2AE09CC6"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548" w:type="pct"/>
            <w:tcBorders>
              <w:top w:val="nil"/>
              <w:left w:val="nil"/>
              <w:bottom w:val="single" w:sz="4" w:space="0" w:color="auto"/>
              <w:right w:val="single" w:sz="4" w:space="0" w:color="auto"/>
            </w:tcBorders>
            <w:shd w:val="clear" w:color="auto" w:fill="auto"/>
            <w:vAlign w:val="center"/>
            <w:hideMark/>
          </w:tcPr>
          <w:p w14:paraId="05EB2C01" w14:textId="4441DDB0" w:rsidR="00CC19BA" w:rsidRPr="000C7324" w:rsidRDefault="00CC19BA" w:rsidP="00CC19BA">
            <w:pPr>
              <w:suppressAutoHyphens w:val="0"/>
              <w:spacing w:line="240" w:lineRule="auto"/>
              <w:jc w:val="center"/>
              <w:rPr>
                <w:rFonts w:eastAsia="Times New Roman"/>
                <w:spacing w:val="0"/>
                <w:w w:val="100"/>
                <w:kern w:val="0"/>
                <w:sz w:val="16"/>
                <w:szCs w:val="16"/>
                <w:lang w:val="en-US"/>
              </w:rPr>
            </w:pPr>
            <w:proofErr w:type="spellStart"/>
            <w:r w:rsidRPr="000C7324">
              <w:rPr>
                <w:rFonts w:eastAsia="Times New Roman"/>
                <w:spacing w:val="0"/>
                <w:w w:val="100"/>
                <w:kern w:val="0"/>
                <w:sz w:val="16"/>
                <w:szCs w:val="16"/>
                <w:lang w:val="en-US"/>
              </w:rPr>
              <w:t>Autres</w:t>
            </w:r>
            <w:proofErr w:type="spellEnd"/>
            <w:r w:rsidRPr="000C7324">
              <w:rPr>
                <w:rFonts w:eastAsia="Times New Roman"/>
                <w:spacing w:val="0"/>
                <w:w w:val="100"/>
                <w:kern w:val="0"/>
                <w:sz w:val="16"/>
                <w:szCs w:val="16"/>
                <w:lang w:val="en-US"/>
              </w:rPr>
              <w:t xml:space="preserve"> </w:t>
            </w:r>
            <w:proofErr w:type="spellStart"/>
            <w:r w:rsidRPr="000C7324">
              <w:rPr>
                <w:rFonts w:eastAsia="Times New Roman"/>
                <w:spacing w:val="0"/>
                <w:w w:val="100"/>
                <w:kern w:val="0"/>
                <w:sz w:val="16"/>
                <w:szCs w:val="16"/>
                <w:lang w:val="en-US"/>
              </w:rPr>
              <w:t>réunions</w:t>
            </w:r>
            <w:proofErr w:type="spellEnd"/>
            <w:r w:rsidRPr="000C7324">
              <w:rPr>
                <w:rFonts w:eastAsia="Times New Roman"/>
                <w:spacing w:val="0"/>
                <w:w w:val="100"/>
                <w:kern w:val="0"/>
                <w:sz w:val="16"/>
                <w:szCs w:val="16"/>
                <w:lang w:val="en-US"/>
              </w:rPr>
              <w:t xml:space="preserve"> (2 </w:t>
            </w:r>
            <w:proofErr w:type="spellStart"/>
            <w:r w:rsidRPr="000C7324">
              <w:rPr>
                <w:rFonts w:eastAsia="Times New Roman"/>
                <w:spacing w:val="0"/>
                <w:w w:val="100"/>
                <w:kern w:val="0"/>
                <w:sz w:val="16"/>
                <w:szCs w:val="16"/>
                <w:lang w:val="en-US"/>
              </w:rPr>
              <w:t>jours</w:t>
            </w:r>
            <w:proofErr w:type="spellEnd"/>
            <w:r w:rsidRPr="000C7324">
              <w:rPr>
                <w:rFonts w:eastAsia="Times New Roman"/>
                <w:spacing w:val="0"/>
                <w:w w:val="100"/>
                <w:kern w:val="0"/>
                <w:sz w:val="16"/>
                <w:szCs w:val="16"/>
                <w:lang w:val="en-US"/>
              </w:rPr>
              <w:t>)</w:t>
            </w:r>
          </w:p>
        </w:tc>
        <w:tc>
          <w:tcPr>
            <w:tcW w:w="590" w:type="pct"/>
            <w:tcBorders>
              <w:top w:val="nil"/>
              <w:left w:val="nil"/>
              <w:bottom w:val="single" w:sz="4" w:space="0" w:color="auto"/>
              <w:right w:val="single" w:sz="8" w:space="0" w:color="auto"/>
            </w:tcBorders>
            <w:shd w:val="clear" w:color="auto" w:fill="auto"/>
            <w:vAlign w:val="center"/>
            <w:hideMark/>
          </w:tcPr>
          <w:p w14:paraId="2A03CE33"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123" w:type="pct"/>
            <w:tcBorders>
              <w:top w:val="nil"/>
              <w:left w:val="nil"/>
              <w:bottom w:val="nil"/>
              <w:right w:val="nil"/>
            </w:tcBorders>
            <w:shd w:val="clear" w:color="auto" w:fill="auto"/>
            <w:noWrap/>
            <w:vAlign w:val="center"/>
            <w:hideMark/>
          </w:tcPr>
          <w:p w14:paraId="6F0A37F7"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p>
        </w:tc>
      </w:tr>
      <w:tr w:rsidR="00CC19BA" w:rsidRPr="000C7324" w14:paraId="776C5274" w14:textId="77777777" w:rsidTr="00CC19BA">
        <w:trPr>
          <w:trHeight w:val="540"/>
        </w:trPr>
        <w:tc>
          <w:tcPr>
            <w:tcW w:w="190" w:type="pct"/>
            <w:vMerge/>
            <w:tcBorders>
              <w:top w:val="single" w:sz="8" w:space="0" w:color="auto"/>
              <w:left w:val="single" w:sz="8" w:space="0" w:color="auto"/>
              <w:bottom w:val="single" w:sz="8" w:space="0" w:color="000000"/>
              <w:right w:val="single" w:sz="8" w:space="0" w:color="auto"/>
            </w:tcBorders>
            <w:vAlign w:val="center"/>
            <w:hideMark/>
          </w:tcPr>
          <w:p w14:paraId="2B1D6C32" w14:textId="77777777" w:rsidR="00CC19BA" w:rsidRPr="000C7324" w:rsidRDefault="00CC19BA" w:rsidP="00CC19BA">
            <w:pPr>
              <w:suppressAutoHyphens w:val="0"/>
              <w:spacing w:line="240" w:lineRule="auto"/>
              <w:rPr>
                <w:rFonts w:eastAsia="Times New Roman"/>
                <w:b/>
                <w:bCs/>
                <w:spacing w:val="0"/>
                <w:w w:val="100"/>
                <w:kern w:val="0"/>
                <w:sz w:val="16"/>
                <w:szCs w:val="16"/>
                <w:lang w:val="en-US"/>
              </w:rPr>
            </w:pPr>
          </w:p>
        </w:tc>
        <w:tc>
          <w:tcPr>
            <w:tcW w:w="660" w:type="pct"/>
            <w:vMerge/>
            <w:tcBorders>
              <w:top w:val="nil"/>
              <w:left w:val="single" w:sz="8" w:space="0" w:color="auto"/>
              <w:bottom w:val="single" w:sz="4" w:space="0" w:color="000000"/>
              <w:right w:val="single" w:sz="8" w:space="0" w:color="auto"/>
            </w:tcBorders>
            <w:vAlign w:val="center"/>
            <w:hideMark/>
          </w:tcPr>
          <w:p w14:paraId="22CC7489" w14:textId="77777777" w:rsidR="00CC19BA" w:rsidRPr="000C7324" w:rsidRDefault="00CC19BA" w:rsidP="00CC19BA">
            <w:pPr>
              <w:suppressAutoHyphens w:val="0"/>
              <w:spacing w:line="240" w:lineRule="auto"/>
              <w:rPr>
                <w:rFonts w:eastAsia="Times New Roman"/>
                <w:b/>
                <w:bCs/>
                <w:spacing w:val="0"/>
                <w:w w:val="100"/>
                <w:kern w:val="0"/>
                <w:sz w:val="16"/>
                <w:szCs w:val="16"/>
                <w:lang w:val="en-US"/>
              </w:rPr>
            </w:pPr>
          </w:p>
        </w:tc>
        <w:tc>
          <w:tcPr>
            <w:tcW w:w="4026" w:type="pct"/>
            <w:gridSpan w:val="8"/>
            <w:tcBorders>
              <w:top w:val="single" w:sz="4" w:space="0" w:color="auto"/>
              <w:left w:val="nil"/>
              <w:bottom w:val="nil"/>
              <w:right w:val="single" w:sz="8" w:space="0" w:color="000000"/>
            </w:tcBorders>
            <w:shd w:val="clear" w:color="000000" w:fill="E2EFDA"/>
            <w:vAlign w:val="center"/>
            <w:hideMark/>
          </w:tcPr>
          <w:p w14:paraId="189F725B"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fr-FR"/>
              </w:rPr>
            </w:pPr>
            <w:r w:rsidRPr="000C7324">
              <w:rPr>
                <w:rFonts w:eastAsia="Times New Roman"/>
                <w:b/>
                <w:bCs/>
                <w:spacing w:val="0"/>
                <w:w w:val="100"/>
                <w:kern w:val="0"/>
                <w:sz w:val="16"/>
                <w:szCs w:val="16"/>
                <w:lang w:val="fr-FR"/>
              </w:rPr>
              <w:t xml:space="preserve">Commission #54 - </w:t>
            </w:r>
            <w:proofErr w:type="spellStart"/>
            <w:r w:rsidRPr="000C7324">
              <w:rPr>
                <w:rFonts w:eastAsia="Times New Roman"/>
                <w:b/>
                <w:bCs/>
                <w:spacing w:val="0"/>
                <w:w w:val="100"/>
                <w:kern w:val="0"/>
                <w:sz w:val="16"/>
                <w:szCs w:val="16"/>
                <w:lang w:val="fr-FR"/>
              </w:rPr>
              <w:t>Decision</w:t>
            </w:r>
            <w:proofErr w:type="spellEnd"/>
            <w:r w:rsidRPr="000C7324">
              <w:rPr>
                <w:rFonts w:eastAsia="Times New Roman"/>
                <w:b/>
                <w:bCs/>
                <w:spacing w:val="0"/>
                <w:w w:val="100"/>
                <w:kern w:val="0"/>
                <w:sz w:val="16"/>
                <w:szCs w:val="16"/>
                <w:lang w:val="fr-FR"/>
              </w:rPr>
              <w:t xml:space="preserve"> sur la demande de </w:t>
            </w:r>
            <w:proofErr w:type="spellStart"/>
            <w:r w:rsidRPr="000C7324">
              <w:rPr>
                <w:rFonts w:eastAsia="Times New Roman"/>
                <w:b/>
                <w:bCs/>
                <w:spacing w:val="0"/>
                <w:w w:val="100"/>
                <w:kern w:val="0"/>
                <w:sz w:val="16"/>
                <w:szCs w:val="16"/>
                <w:lang w:val="fr-FR"/>
              </w:rPr>
              <w:t>resources</w:t>
            </w:r>
            <w:proofErr w:type="spellEnd"/>
          </w:p>
        </w:tc>
        <w:tc>
          <w:tcPr>
            <w:tcW w:w="123" w:type="pct"/>
            <w:tcBorders>
              <w:top w:val="nil"/>
              <w:left w:val="nil"/>
              <w:bottom w:val="nil"/>
              <w:right w:val="nil"/>
            </w:tcBorders>
            <w:shd w:val="clear" w:color="auto" w:fill="auto"/>
            <w:noWrap/>
            <w:vAlign w:val="center"/>
            <w:hideMark/>
          </w:tcPr>
          <w:p w14:paraId="37F2C495"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fr-FR"/>
              </w:rPr>
            </w:pPr>
          </w:p>
        </w:tc>
      </w:tr>
      <w:tr w:rsidR="00CC19BA" w:rsidRPr="000C7324" w14:paraId="6575CA45" w14:textId="77777777" w:rsidTr="00CC19BA">
        <w:trPr>
          <w:trHeight w:val="540"/>
        </w:trPr>
        <w:tc>
          <w:tcPr>
            <w:tcW w:w="190" w:type="pct"/>
            <w:vMerge/>
            <w:tcBorders>
              <w:top w:val="single" w:sz="8" w:space="0" w:color="auto"/>
              <w:left w:val="single" w:sz="8" w:space="0" w:color="auto"/>
              <w:bottom w:val="single" w:sz="8" w:space="0" w:color="000000"/>
              <w:right w:val="single" w:sz="8" w:space="0" w:color="auto"/>
            </w:tcBorders>
            <w:vAlign w:val="center"/>
            <w:hideMark/>
          </w:tcPr>
          <w:p w14:paraId="11A4338A" w14:textId="77777777" w:rsidR="00CC19BA" w:rsidRPr="000C7324" w:rsidRDefault="00CC19BA" w:rsidP="00CC19BA">
            <w:pPr>
              <w:suppressAutoHyphens w:val="0"/>
              <w:spacing w:line="240" w:lineRule="auto"/>
              <w:rPr>
                <w:rFonts w:eastAsia="Times New Roman"/>
                <w:b/>
                <w:bCs/>
                <w:spacing w:val="0"/>
                <w:w w:val="100"/>
                <w:kern w:val="0"/>
                <w:sz w:val="16"/>
                <w:szCs w:val="16"/>
                <w:lang w:val="fr-FR"/>
              </w:rPr>
            </w:pPr>
          </w:p>
        </w:tc>
        <w:tc>
          <w:tcPr>
            <w:tcW w:w="660" w:type="pct"/>
            <w:tcBorders>
              <w:top w:val="nil"/>
              <w:left w:val="nil"/>
              <w:bottom w:val="single" w:sz="4" w:space="0" w:color="auto"/>
              <w:right w:val="single" w:sz="8" w:space="0" w:color="auto"/>
            </w:tcBorders>
            <w:shd w:val="clear" w:color="000000" w:fill="DDEBF7"/>
            <w:noWrap/>
            <w:vAlign w:val="center"/>
            <w:hideMark/>
          </w:tcPr>
          <w:p w14:paraId="6359F14C" w14:textId="64304FF0"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 xml:space="preserve">Groupe de travail #41 </w:t>
            </w:r>
          </w:p>
        </w:tc>
        <w:tc>
          <w:tcPr>
            <w:tcW w:w="394" w:type="pct"/>
            <w:tcBorders>
              <w:top w:val="single" w:sz="4" w:space="0" w:color="auto"/>
              <w:left w:val="nil"/>
              <w:bottom w:val="single" w:sz="4" w:space="0" w:color="auto"/>
              <w:right w:val="single" w:sz="4" w:space="0" w:color="auto"/>
            </w:tcBorders>
            <w:shd w:val="clear" w:color="000000" w:fill="DDEBF7"/>
            <w:vAlign w:val="center"/>
            <w:hideMark/>
          </w:tcPr>
          <w:p w14:paraId="0C8AEB58"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xml:space="preserve"> </w:t>
            </w:r>
          </w:p>
        </w:tc>
        <w:tc>
          <w:tcPr>
            <w:tcW w:w="394" w:type="pct"/>
            <w:tcBorders>
              <w:top w:val="single" w:sz="4" w:space="0" w:color="auto"/>
              <w:left w:val="nil"/>
              <w:bottom w:val="single" w:sz="4" w:space="0" w:color="auto"/>
              <w:right w:val="single" w:sz="4" w:space="0" w:color="auto"/>
            </w:tcBorders>
            <w:shd w:val="clear" w:color="000000" w:fill="DDEBF7"/>
            <w:vAlign w:val="center"/>
            <w:hideMark/>
          </w:tcPr>
          <w:p w14:paraId="487356AD"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490" w:type="pct"/>
            <w:tcBorders>
              <w:top w:val="single" w:sz="4" w:space="0" w:color="auto"/>
              <w:left w:val="nil"/>
              <w:bottom w:val="single" w:sz="4" w:space="0" w:color="auto"/>
              <w:right w:val="single" w:sz="4" w:space="0" w:color="auto"/>
            </w:tcBorders>
            <w:shd w:val="clear" w:color="000000" w:fill="DDEBF7"/>
            <w:vAlign w:val="center"/>
            <w:hideMark/>
          </w:tcPr>
          <w:p w14:paraId="0BD0FE2C"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proofErr w:type="spellStart"/>
            <w:r w:rsidRPr="000C7324">
              <w:rPr>
                <w:rFonts w:eastAsia="Times New Roman"/>
                <w:spacing w:val="0"/>
                <w:w w:val="100"/>
                <w:kern w:val="0"/>
                <w:sz w:val="16"/>
                <w:szCs w:val="16"/>
                <w:lang w:val="en-US"/>
              </w:rPr>
              <w:t>Seconde</w:t>
            </w:r>
            <w:proofErr w:type="spellEnd"/>
            <w:r w:rsidRPr="000C7324">
              <w:rPr>
                <w:rFonts w:eastAsia="Times New Roman"/>
                <w:spacing w:val="0"/>
                <w:w w:val="100"/>
                <w:kern w:val="0"/>
                <w:sz w:val="16"/>
                <w:szCs w:val="16"/>
                <w:lang w:val="en-US"/>
              </w:rPr>
              <w:t xml:space="preserve"> lecture (3 </w:t>
            </w:r>
            <w:proofErr w:type="spellStart"/>
            <w:r w:rsidRPr="000C7324">
              <w:rPr>
                <w:rFonts w:eastAsia="Times New Roman"/>
                <w:spacing w:val="0"/>
                <w:w w:val="100"/>
                <w:kern w:val="0"/>
                <w:sz w:val="16"/>
                <w:szCs w:val="16"/>
                <w:lang w:val="en-US"/>
              </w:rPr>
              <w:t>jours</w:t>
            </w:r>
            <w:proofErr w:type="spellEnd"/>
            <w:r w:rsidRPr="000C7324">
              <w:rPr>
                <w:rFonts w:eastAsia="Times New Roman"/>
                <w:spacing w:val="0"/>
                <w:w w:val="100"/>
                <w:kern w:val="0"/>
                <w:sz w:val="16"/>
                <w:szCs w:val="16"/>
                <w:lang w:val="en-US"/>
              </w:rPr>
              <w:t>)</w:t>
            </w:r>
          </w:p>
        </w:tc>
        <w:tc>
          <w:tcPr>
            <w:tcW w:w="823" w:type="pct"/>
            <w:tcBorders>
              <w:top w:val="single" w:sz="4" w:space="0" w:color="auto"/>
              <w:left w:val="nil"/>
              <w:bottom w:val="single" w:sz="4" w:space="0" w:color="auto"/>
              <w:right w:val="single" w:sz="4" w:space="0" w:color="auto"/>
            </w:tcBorders>
            <w:shd w:val="clear" w:color="000000" w:fill="DDEBF7"/>
            <w:vAlign w:val="center"/>
            <w:hideMark/>
          </w:tcPr>
          <w:p w14:paraId="6BB390DC"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Instructions (1 jour)</w:t>
            </w:r>
          </w:p>
        </w:tc>
        <w:tc>
          <w:tcPr>
            <w:tcW w:w="394" w:type="pct"/>
            <w:tcBorders>
              <w:top w:val="single" w:sz="4" w:space="0" w:color="auto"/>
              <w:left w:val="nil"/>
              <w:bottom w:val="single" w:sz="4" w:space="0" w:color="auto"/>
              <w:right w:val="single" w:sz="4" w:space="0" w:color="auto"/>
            </w:tcBorders>
            <w:shd w:val="clear" w:color="000000" w:fill="DDEBF7"/>
            <w:vAlign w:val="center"/>
            <w:hideMark/>
          </w:tcPr>
          <w:p w14:paraId="62C92E92"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single" w:sz="4" w:space="0" w:color="auto"/>
              <w:left w:val="nil"/>
              <w:bottom w:val="single" w:sz="4" w:space="0" w:color="auto"/>
              <w:right w:val="single" w:sz="4" w:space="0" w:color="auto"/>
            </w:tcBorders>
            <w:shd w:val="clear" w:color="000000" w:fill="DDEBF7"/>
            <w:vAlign w:val="center"/>
            <w:hideMark/>
          </w:tcPr>
          <w:p w14:paraId="5B0C918C"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548" w:type="pct"/>
            <w:tcBorders>
              <w:top w:val="single" w:sz="4" w:space="0" w:color="auto"/>
              <w:left w:val="nil"/>
              <w:bottom w:val="single" w:sz="4" w:space="0" w:color="auto"/>
              <w:right w:val="single" w:sz="4" w:space="0" w:color="auto"/>
            </w:tcBorders>
            <w:shd w:val="clear" w:color="000000" w:fill="DDEBF7"/>
            <w:vAlign w:val="center"/>
            <w:hideMark/>
          </w:tcPr>
          <w:p w14:paraId="0C388107"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590" w:type="pct"/>
            <w:tcBorders>
              <w:top w:val="single" w:sz="4" w:space="0" w:color="auto"/>
              <w:left w:val="nil"/>
              <w:bottom w:val="single" w:sz="4" w:space="0" w:color="auto"/>
              <w:right w:val="single" w:sz="8" w:space="0" w:color="auto"/>
            </w:tcBorders>
            <w:shd w:val="clear" w:color="000000" w:fill="DDEBF7"/>
            <w:vAlign w:val="center"/>
            <w:hideMark/>
          </w:tcPr>
          <w:p w14:paraId="6EBAA2DC"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123" w:type="pct"/>
            <w:tcBorders>
              <w:top w:val="nil"/>
              <w:left w:val="nil"/>
              <w:bottom w:val="nil"/>
              <w:right w:val="nil"/>
            </w:tcBorders>
            <w:shd w:val="clear" w:color="auto" w:fill="auto"/>
            <w:noWrap/>
            <w:vAlign w:val="center"/>
            <w:hideMark/>
          </w:tcPr>
          <w:p w14:paraId="0906D068"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p>
        </w:tc>
      </w:tr>
      <w:tr w:rsidR="00CC19BA" w:rsidRPr="000C7324" w14:paraId="191062CF" w14:textId="77777777" w:rsidTr="00CC19BA">
        <w:trPr>
          <w:trHeight w:val="1260"/>
        </w:trPr>
        <w:tc>
          <w:tcPr>
            <w:tcW w:w="190" w:type="pct"/>
            <w:vMerge/>
            <w:tcBorders>
              <w:top w:val="single" w:sz="8" w:space="0" w:color="auto"/>
              <w:left w:val="single" w:sz="8" w:space="0" w:color="auto"/>
              <w:bottom w:val="single" w:sz="8" w:space="0" w:color="000000"/>
              <w:right w:val="single" w:sz="8" w:space="0" w:color="auto"/>
            </w:tcBorders>
            <w:vAlign w:val="center"/>
            <w:hideMark/>
          </w:tcPr>
          <w:p w14:paraId="72DDA483" w14:textId="77777777" w:rsidR="00CC19BA" w:rsidRPr="000C7324" w:rsidRDefault="00CC19BA" w:rsidP="00CC19BA">
            <w:pPr>
              <w:suppressAutoHyphens w:val="0"/>
              <w:spacing w:line="240" w:lineRule="auto"/>
              <w:rPr>
                <w:rFonts w:eastAsia="Times New Roman"/>
                <w:b/>
                <w:bCs/>
                <w:spacing w:val="0"/>
                <w:w w:val="100"/>
                <w:kern w:val="0"/>
                <w:sz w:val="16"/>
                <w:szCs w:val="16"/>
                <w:lang w:val="en-US"/>
              </w:rPr>
            </w:pPr>
          </w:p>
        </w:tc>
        <w:tc>
          <w:tcPr>
            <w:tcW w:w="660" w:type="pct"/>
            <w:tcBorders>
              <w:top w:val="nil"/>
              <w:left w:val="nil"/>
              <w:bottom w:val="single" w:sz="8" w:space="0" w:color="auto"/>
              <w:right w:val="single" w:sz="8" w:space="0" w:color="auto"/>
            </w:tcBorders>
            <w:shd w:val="clear" w:color="auto" w:fill="auto"/>
            <w:noWrap/>
            <w:vAlign w:val="center"/>
            <w:hideMark/>
          </w:tcPr>
          <w:p w14:paraId="3BFD2190"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Inter-Session #41</w:t>
            </w:r>
          </w:p>
        </w:tc>
        <w:tc>
          <w:tcPr>
            <w:tcW w:w="394" w:type="pct"/>
            <w:tcBorders>
              <w:top w:val="nil"/>
              <w:left w:val="nil"/>
              <w:bottom w:val="single" w:sz="8" w:space="0" w:color="auto"/>
              <w:right w:val="single" w:sz="4" w:space="0" w:color="auto"/>
            </w:tcBorders>
            <w:shd w:val="clear" w:color="auto" w:fill="auto"/>
            <w:vAlign w:val="center"/>
            <w:hideMark/>
          </w:tcPr>
          <w:p w14:paraId="78FD6168" w14:textId="055AB54E" w:rsidR="00CC19BA" w:rsidRPr="000C7324" w:rsidRDefault="00CC19BA" w:rsidP="00CC19BA">
            <w:pPr>
              <w:suppressAutoHyphens w:val="0"/>
              <w:spacing w:line="240" w:lineRule="auto"/>
              <w:jc w:val="center"/>
              <w:rPr>
                <w:rFonts w:eastAsia="Times New Roman"/>
                <w:spacing w:val="0"/>
                <w:w w:val="100"/>
                <w:kern w:val="0"/>
                <w:sz w:val="16"/>
                <w:szCs w:val="16"/>
                <w:lang w:val="fr-FR"/>
              </w:rPr>
            </w:pPr>
            <w:r w:rsidRPr="000C7324">
              <w:rPr>
                <w:rFonts w:eastAsia="Times New Roman"/>
                <w:spacing w:val="0"/>
                <w:w w:val="100"/>
                <w:kern w:val="0"/>
                <w:sz w:val="16"/>
                <w:szCs w:val="16"/>
                <w:lang w:val="fr-FR"/>
              </w:rPr>
              <w:t xml:space="preserve">Autres Réunions (3 </w:t>
            </w:r>
            <w:proofErr w:type="gramStart"/>
            <w:r w:rsidRPr="000C7324">
              <w:rPr>
                <w:rFonts w:eastAsia="Times New Roman"/>
                <w:spacing w:val="0"/>
                <w:w w:val="100"/>
                <w:kern w:val="0"/>
                <w:sz w:val="16"/>
                <w:szCs w:val="16"/>
                <w:lang w:val="fr-FR"/>
              </w:rPr>
              <w:t>jours)/</w:t>
            </w:r>
            <w:proofErr w:type="gramEnd"/>
            <w:r w:rsidRPr="000C7324">
              <w:rPr>
                <w:rFonts w:eastAsia="Times New Roman"/>
                <w:spacing w:val="0"/>
                <w:w w:val="100"/>
                <w:kern w:val="0"/>
                <w:sz w:val="16"/>
                <w:szCs w:val="16"/>
                <w:lang w:val="fr-FR"/>
              </w:rPr>
              <w:t xml:space="preserve"> Réunion </w:t>
            </w:r>
            <w:proofErr w:type="spellStart"/>
            <w:r w:rsidRPr="000C7324">
              <w:rPr>
                <w:rFonts w:eastAsia="Times New Roman"/>
                <w:spacing w:val="0"/>
                <w:w w:val="100"/>
                <w:kern w:val="0"/>
                <w:sz w:val="16"/>
                <w:szCs w:val="16"/>
                <w:lang w:val="fr-FR"/>
              </w:rPr>
              <w:t>inter-session</w:t>
            </w:r>
            <w:proofErr w:type="spellEnd"/>
            <w:r w:rsidRPr="000C7324">
              <w:rPr>
                <w:rFonts w:eastAsia="Times New Roman"/>
                <w:spacing w:val="0"/>
                <w:w w:val="100"/>
                <w:kern w:val="0"/>
                <w:sz w:val="16"/>
                <w:szCs w:val="16"/>
                <w:lang w:val="fr-FR"/>
              </w:rPr>
              <w:t xml:space="preserve"> - HK Chine (2 jours)</w:t>
            </w:r>
          </w:p>
        </w:tc>
        <w:tc>
          <w:tcPr>
            <w:tcW w:w="394" w:type="pct"/>
            <w:tcBorders>
              <w:top w:val="nil"/>
              <w:left w:val="nil"/>
              <w:bottom w:val="single" w:sz="8" w:space="0" w:color="auto"/>
              <w:right w:val="single" w:sz="4" w:space="0" w:color="auto"/>
            </w:tcBorders>
            <w:shd w:val="clear" w:color="auto" w:fill="auto"/>
            <w:vAlign w:val="center"/>
            <w:hideMark/>
          </w:tcPr>
          <w:p w14:paraId="2B8ED9A7" w14:textId="77777777" w:rsidR="00CC19BA" w:rsidRPr="000C7324" w:rsidRDefault="00CC19BA" w:rsidP="00CC19BA">
            <w:pPr>
              <w:suppressAutoHyphens w:val="0"/>
              <w:spacing w:line="240" w:lineRule="auto"/>
              <w:jc w:val="center"/>
              <w:rPr>
                <w:rFonts w:eastAsia="Times New Roman"/>
                <w:spacing w:val="0"/>
                <w:w w:val="100"/>
                <w:kern w:val="0"/>
                <w:sz w:val="16"/>
                <w:szCs w:val="16"/>
                <w:lang w:val="fr-FR"/>
              </w:rPr>
            </w:pPr>
            <w:r w:rsidRPr="000C7324">
              <w:rPr>
                <w:rFonts w:eastAsia="Times New Roman"/>
                <w:spacing w:val="0"/>
                <w:w w:val="100"/>
                <w:kern w:val="0"/>
                <w:sz w:val="16"/>
                <w:szCs w:val="16"/>
                <w:lang w:val="fr-FR"/>
              </w:rPr>
              <w:t> </w:t>
            </w:r>
          </w:p>
        </w:tc>
        <w:tc>
          <w:tcPr>
            <w:tcW w:w="490" w:type="pct"/>
            <w:tcBorders>
              <w:top w:val="nil"/>
              <w:left w:val="nil"/>
              <w:bottom w:val="single" w:sz="8" w:space="0" w:color="auto"/>
              <w:right w:val="single" w:sz="4" w:space="0" w:color="auto"/>
            </w:tcBorders>
            <w:shd w:val="clear" w:color="auto" w:fill="auto"/>
            <w:vAlign w:val="center"/>
            <w:hideMark/>
          </w:tcPr>
          <w:p w14:paraId="2240B3B6" w14:textId="77777777" w:rsidR="00CC19BA" w:rsidRPr="000C7324" w:rsidRDefault="00CC19BA" w:rsidP="00CC19BA">
            <w:pPr>
              <w:suppressAutoHyphens w:val="0"/>
              <w:spacing w:line="240" w:lineRule="auto"/>
              <w:jc w:val="center"/>
              <w:rPr>
                <w:rFonts w:eastAsia="Times New Roman"/>
                <w:spacing w:val="0"/>
                <w:w w:val="100"/>
                <w:kern w:val="0"/>
                <w:sz w:val="16"/>
                <w:szCs w:val="16"/>
                <w:lang w:val="fr-FR"/>
              </w:rPr>
            </w:pPr>
            <w:r w:rsidRPr="000C7324">
              <w:rPr>
                <w:rFonts w:eastAsia="Times New Roman"/>
                <w:spacing w:val="0"/>
                <w:w w:val="100"/>
                <w:kern w:val="0"/>
                <w:sz w:val="16"/>
                <w:szCs w:val="16"/>
                <w:lang w:val="fr-FR"/>
              </w:rPr>
              <w:t> </w:t>
            </w:r>
          </w:p>
        </w:tc>
        <w:tc>
          <w:tcPr>
            <w:tcW w:w="823" w:type="pct"/>
            <w:tcBorders>
              <w:top w:val="nil"/>
              <w:left w:val="nil"/>
              <w:bottom w:val="single" w:sz="8" w:space="0" w:color="auto"/>
              <w:right w:val="single" w:sz="4" w:space="0" w:color="auto"/>
            </w:tcBorders>
            <w:shd w:val="clear" w:color="auto" w:fill="auto"/>
            <w:vAlign w:val="center"/>
            <w:hideMark/>
          </w:tcPr>
          <w:p w14:paraId="273B1101" w14:textId="77777777" w:rsidR="00CC19BA" w:rsidRPr="000C7324" w:rsidRDefault="00CC19BA" w:rsidP="00CC19BA">
            <w:pPr>
              <w:suppressAutoHyphens w:val="0"/>
              <w:spacing w:line="240" w:lineRule="auto"/>
              <w:jc w:val="center"/>
              <w:rPr>
                <w:rFonts w:eastAsia="Times New Roman"/>
                <w:spacing w:val="0"/>
                <w:w w:val="100"/>
                <w:kern w:val="0"/>
                <w:sz w:val="16"/>
                <w:szCs w:val="16"/>
                <w:lang w:val="fr-FR"/>
              </w:rPr>
            </w:pPr>
            <w:r w:rsidRPr="000C7324">
              <w:rPr>
                <w:rFonts w:eastAsia="Times New Roman"/>
                <w:spacing w:val="0"/>
                <w:w w:val="100"/>
                <w:kern w:val="0"/>
                <w:sz w:val="16"/>
                <w:szCs w:val="16"/>
                <w:lang w:val="fr-FR"/>
              </w:rPr>
              <w:t> </w:t>
            </w:r>
          </w:p>
        </w:tc>
        <w:tc>
          <w:tcPr>
            <w:tcW w:w="394" w:type="pct"/>
            <w:tcBorders>
              <w:top w:val="nil"/>
              <w:left w:val="nil"/>
              <w:bottom w:val="single" w:sz="8" w:space="0" w:color="auto"/>
              <w:right w:val="single" w:sz="4" w:space="0" w:color="auto"/>
            </w:tcBorders>
            <w:shd w:val="clear" w:color="auto" w:fill="auto"/>
            <w:vAlign w:val="center"/>
            <w:hideMark/>
          </w:tcPr>
          <w:p w14:paraId="20081C92"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proofErr w:type="spellStart"/>
            <w:r w:rsidRPr="000C7324">
              <w:rPr>
                <w:rFonts w:eastAsia="Times New Roman"/>
                <w:spacing w:val="0"/>
                <w:w w:val="100"/>
                <w:kern w:val="0"/>
                <w:sz w:val="16"/>
                <w:szCs w:val="16"/>
                <w:lang w:val="en-US"/>
              </w:rPr>
              <w:t>Autres</w:t>
            </w:r>
            <w:proofErr w:type="spellEnd"/>
            <w:r w:rsidRPr="000C7324">
              <w:rPr>
                <w:rFonts w:eastAsia="Times New Roman"/>
                <w:spacing w:val="0"/>
                <w:w w:val="100"/>
                <w:kern w:val="0"/>
                <w:sz w:val="16"/>
                <w:szCs w:val="16"/>
                <w:lang w:val="en-US"/>
              </w:rPr>
              <w:t xml:space="preserve"> </w:t>
            </w:r>
            <w:proofErr w:type="spellStart"/>
            <w:r w:rsidRPr="000C7324">
              <w:rPr>
                <w:rFonts w:eastAsia="Times New Roman"/>
                <w:spacing w:val="0"/>
                <w:w w:val="100"/>
                <w:kern w:val="0"/>
                <w:sz w:val="16"/>
                <w:szCs w:val="16"/>
                <w:lang w:val="en-US"/>
              </w:rPr>
              <w:t>réunions</w:t>
            </w:r>
            <w:proofErr w:type="spellEnd"/>
            <w:r w:rsidRPr="000C7324">
              <w:rPr>
                <w:rFonts w:eastAsia="Times New Roman"/>
                <w:spacing w:val="0"/>
                <w:w w:val="100"/>
                <w:kern w:val="0"/>
                <w:sz w:val="16"/>
                <w:szCs w:val="16"/>
                <w:lang w:val="en-US"/>
              </w:rPr>
              <w:t xml:space="preserve"> (1 jour)</w:t>
            </w:r>
          </w:p>
        </w:tc>
        <w:tc>
          <w:tcPr>
            <w:tcW w:w="394" w:type="pct"/>
            <w:tcBorders>
              <w:top w:val="nil"/>
              <w:left w:val="nil"/>
              <w:bottom w:val="single" w:sz="8" w:space="0" w:color="auto"/>
              <w:right w:val="single" w:sz="4" w:space="0" w:color="auto"/>
            </w:tcBorders>
            <w:shd w:val="clear" w:color="auto" w:fill="auto"/>
            <w:vAlign w:val="center"/>
            <w:hideMark/>
          </w:tcPr>
          <w:p w14:paraId="723CD245"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proofErr w:type="spellStart"/>
            <w:r w:rsidRPr="000C7324">
              <w:rPr>
                <w:rFonts w:eastAsia="Times New Roman"/>
                <w:spacing w:val="0"/>
                <w:w w:val="100"/>
                <w:kern w:val="0"/>
                <w:sz w:val="16"/>
                <w:szCs w:val="16"/>
                <w:lang w:val="en-US"/>
              </w:rPr>
              <w:t>Autres</w:t>
            </w:r>
            <w:proofErr w:type="spellEnd"/>
            <w:r w:rsidRPr="000C7324">
              <w:rPr>
                <w:rFonts w:eastAsia="Times New Roman"/>
                <w:spacing w:val="0"/>
                <w:w w:val="100"/>
                <w:kern w:val="0"/>
                <w:sz w:val="16"/>
                <w:szCs w:val="16"/>
                <w:lang w:val="en-US"/>
              </w:rPr>
              <w:t xml:space="preserve"> </w:t>
            </w:r>
            <w:proofErr w:type="spellStart"/>
            <w:r w:rsidRPr="000C7324">
              <w:rPr>
                <w:rFonts w:eastAsia="Times New Roman"/>
                <w:spacing w:val="0"/>
                <w:w w:val="100"/>
                <w:kern w:val="0"/>
                <w:sz w:val="16"/>
                <w:szCs w:val="16"/>
                <w:lang w:val="en-US"/>
              </w:rPr>
              <w:t>réunions</w:t>
            </w:r>
            <w:proofErr w:type="spellEnd"/>
            <w:r w:rsidRPr="000C7324">
              <w:rPr>
                <w:rFonts w:eastAsia="Times New Roman"/>
                <w:spacing w:val="0"/>
                <w:w w:val="100"/>
                <w:kern w:val="0"/>
                <w:sz w:val="16"/>
                <w:szCs w:val="16"/>
                <w:lang w:val="en-US"/>
              </w:rPr>
              <w:t xml:space="preserve"> (2 </w:t>
            </w:r>
            <w:proofErr w:type="spellStart"/>
            <w:r w:rsidRPr="000C7324">
              <w:rPr>
                <w:rFonts w:eastAsia="Times New Roman"/>
                <w:spacing w:val="0"/>
                <w:w w:val="100"/>
                <w:kern w:val="0"/>
                <w:sz w:val="16"/>
                <w:szCs w:val="16"/>
                <w:lang w:val="en-US"/>
              </w:rPr>
              <w:t>jours</w:t>
            </w:r>
            <w:proofErr w:type="spellEnd"/>
            <w:r w:rsidRPr="000C7324">
              <w:rPr>
                <w:rFonts w:eastAsia="Times New Roman"/>
                <w:spacing w:val="0"/>
                <w:w w:val="100"/>
                <w:kern w:val="0"/>
                <w:sz w:val="16"/>
                <w:szCs w:val="16"/>
                <w:lang w:val="en-US"/>
              </w:rPr>
              <w:t>)</w:t>
            </w:r>
          </w:p>
        </w:tc>
        <w:tc>
          <w:tcPr>
            <w:tcW w:w="548" w:type="pct"/>
            <w:tcBorders>
              <w:top w:val="nil"/>
              <w:left w:val="nil"/>
              <w:bottom w:val="single" w:sz="8" w:space="0" w:color="auto"/>
              <w:right w:val="single" w:sz="4" w:space="0" w:color="auto"/>
            </w:tcBorders>
            <w:shd w:val="clear" w:color="auto" w:fill="auto"/>
            <w:vAlign w:val="center"/>
            <w:hideMark/>
          </w:tcPr>
          <w:p w14:paraId="225B9AFA" w14:textId="4AD4D73D"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xml:space="preserve">Groupe de </w:t>
            </w:r>
            <w:proofErr w:type="spellStart"/>
            <w:r w:rsidRPr="000C7324">
              <w:rPr>
                <w:rFonts w:eastAsia="Times New Roman"/>
                <w:spacing w:val="0"/>
                <w:w w:val="100"/>
                <w:kern w:val="0"/>
                <w:sz w:val="16"/>
                <w:szCs w:val="16"/>
                <w:lang w:val="en-US"/>
              </w:rPr>
              <w:t>rédaction</w:t>
            </w:r>
            <w:proofErr w:type="spellEnd"/>
            <w:r w:rsidRPr="000C7324">
              <w:rPr>
                <w:rFonts w:eastAsia="Times New Roman"/>
                <w:spacing w:val="0"/>
                <w:w w:val="100"/>
                <w:kern w:val="0"/>
                <w:sz w:val="16"/>
                <w:szCs w:val="16"/>
                <w:lang w:val="en-US"/>
              </w:rPr>
              <w:t xml:space="preserve"> (2 </w:t>
            </w:r>
            <w:proofErr w:type="spellStart"/>
            <w:r w:rsidRPr="000C7324">
              <w:rPr>
                <w:rFonts w:eastAsia="Times New Roman"/>
                <w:spacing w:val="0"/>
                <w:w w:val="100"/>
                <w:kern w:val="0"/>
                <w:sz w:val="16"/>
                <w:szCs w:val="16"/>
                <w:lang w:val="en-US"/>
              </w:rPr>
              <w:t>jours</w:t>
            </w:r>
            <w:proofErr w:type="spellEnd"/>
            <w:r w:rsidRPr="000C7324">
              <w:rPr>
                <w:rFonts w:eastAsia="Times New Roman"/>
                <w:spacing w:val="0"/>
                <w:w w:val="100"/>
                <w:kern w:val="0"/>
                <w:sz w:val="16"/>
                <w:szCs w:val="16"/>
                <w:lang w:val="en-US"/>
              </w:rPr>
              <w:t>)</w:t>
            </w:r>
          </w:p>
        </w:tc>
        <w:tc>
          <w:tcPr>
            <w:tcW w:w="590" w:type="pct"/>
            <w:tcBorders>
              <w:top w:val="nil"/>
              <w:left w:val="nil"/>
              <w:bottom w:val="single" w:sz="8" w:space="0" w:color="auto"/>
              <w:right w:val="single" w:sz="8" w:space="0" w:color="auto"/>
            </w:tcBorders>
            <w:shd w:val="clear" w:color="auto" w:fill="auto"/>
            <w:vAlign w:val="center"/>
            <w:hideMark/>
          </w:tcPr>
          <w:p w14:paraId="2F5530AE"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proofErr w:type="spellStart"/>
            <w:r w:rsidRPr="000C7324">
              <w:rPr>
                <w:rFonts w:eastAsia="Times New Roman"/>
                <w:spacing w:val="0"/>
                <w:w w:val="100"/>
                <w:kern w:val="0"/>
                <w:sz w:val="16"/>
                <w:szCs w:val="16"/>
                <w:lang w:val="en-US"/>
              </w:rPr>
              <w:t>Autres</w:t>
            </w:r>
            <w:proofErr w:type="spellEnd"/>
            <w:r w:rsidRPr="000C7324">
              <w:rPr>
                <w:rFonts w:eastAsia="Times New Roman"/>
                <w:spacing w:val="0"/>
                <w:w w:val="100"/>
                <w:kern w:val="0"/>
                <w:sz w:val="16"/>
                <w:szCs w:val="16"/>
                <w:lang w:val="en-US"/>
              </w:rPr>
              <w:t xml:space="preserve"> </w:t>
            </w:r>
            <w:proofErr w:type="spellStart"/>
            <w:r w:rsidRPr="000C7324">
              <w:rPr>
                <w:rFonts w:eastAsia="Times New Roman"/>
                <w:spacing w:val="0"/>
                <w:w w:val="100"/>
                <w:kern w:val="0"/>
                <w:sz w:val="16"/>
                <w:szCs w:val="16"/>
                <w:lang w:val="en-US"/>
              </w:rPr>
              <w:t>réunions</w:t>
            </w:r>
            <w:proofErr w:type="spellEnd"/>
            <w:r w:rsidRPr="000C7324">
              <w:rPr>
                <w:rFonts w:eastAsia="Times New Roman"/>
                <w:spacing w:val="0"/>
                <w:w w:val="100"/>
                <w:kern w:val="0"/>
                <w:sz w:val="16"/>
                <w:szCs w:val="16"/>
                <w:lang w:val="en-US"/>
              </w:rPr>
              <w:t xml:space="preserve"> (1 jour)</w:t>
            </w:r>
          </w:p>
        </w:tc>
        <w:tc>
          <w:tcPr>
            <w:tcW w:w="123" w:type="pct"/>
            <w:tcBorders>
              <w:top w:val="nil"/>
              <w:left w:val="nil"/>
              <w:bottom w:val="nil"/>
              <w:right w:val="nil"/>
            </w:tcBorders>
            <w:shd w:val="clear" w:color="auto" w:fill="auto"/>
            <w:noWrap/>
            <w:vAlign w:val="center"/>
            <w:hideMark/>
          </w:tcPr>
          <w:p w14:paraId="72393E1A"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p>
        </w:tc>
      </w:tr>
      <w:tr w:rsidR="00CC19BA" w:rsidRPr="000C7324" w14:paraId="3919DD41" w14:textId="77777777" w:rsidTr="00CC19BA">
        <w:trPr>
          <w:trHeight w:val="540"/>
        </w:trPr>
        <w:tc>
          <w:tcPr>
            <w:tcW w:w="19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4AB6050"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2022</w:t>
            </w:r>
          </w:p>
        </w:tc>
        <w:tc>
          <w:tcPr>
            <w:tcW w:w="660" w:type="pct"/>
            <w:tcBorders>
              <w:top w:val="nil"/>
              <w:left w:val="nil"/>
              <w:bottom w:val="single" w:sz="4" w:space="0" w:color="auto"/>
              <w:right w:val="single" w:sz="8" w:space="0" w:color="auto"/>
            </w:tcBorders>
            <w:shd w:val="clear" w:color="000000" w:fill="DDEBF7"/>
            <w:noWrap/>
            <w:vAlign w:val="center"/>
            <w:hideMark/>
          </w:tcPr>
          <w:p w14:paraId="5D9AB0FB" w14:textId="04DD6C6C"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 xml:space="preserve">Groupe de </w:t>
            </w:r>
            <w:proofErr w:type="gramStart"/>
            <w:r w:rsidRPr="000C7324">
              <w:rPr>
                <w:rFonts w:eastAsia="Times New Roman"/>
                <w:b/>
                <w:bCs/>
                <w:spacing w:val="0"/>
                <w:w w:val="100"/>
                <w:kern w:val="0"/>
                <w:sz w:val="16"/>
                <w:szCs w:val="16"/>
                <w:lang w:val="en-US"/>
              </w:rPr>
              <w:t>travail  #</w:t>
            </w:r>
            <w:proofErr w:type="gramEnd"/>
            <w:r w:rsidRPr="000C7324">
              <w:rPr>
                <w:rFonts w:eastAsia="Times New Roman"/>
                <w:b/>
                <w:bCs/>
                <w:spacing w:val="0"/>
                <w:w w:val="100"/>
                <w:kern w:val="0"/>
                <w:sz w:val="16"/>
                <w:szCs w:val="16"/>
                <w:lang w:val="en-US"/>
              </w:rPr>
              <w:t>42</w:t>
            </w:r>
          </w:p>
        </w:tc>
        <w:tc>
          <w:tcPr>
            <w:tcW w:w="394" w:type="pct"/>
            <w:tcBorders>
              <w:top w:val="nil"/>
              <w:left w:val="nil"/>
              <w:bottom w:val="nil"/>
              <w:right w:val="nil"/>
            </w:tcBorders>
            <w:shd w:val="clear" w:color="000000" w:fill="DDEBF7"/>
            <w:noWrap/>
            <w:vAlign w:val="bottom"/>
            <w:hideMark/>
          </w:tcPr>
          <w:p w14:paraId="128477CF" w14:textId="77777777" w:rsidR="00CC19BA" w:rsidRPr="000C7324" w:rsidRDefault="00CC19BA" w:rsidP="00CC19BA">
            <w:pPr>
              <w:suppressAutoHyphens w:val="0"/>
              <w:spacing w:line="240" w:lineRule="auto"/>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nil"/>
              <w:left w:val="single" w:sz="4" w:space="0" w:color="auto"/>
              <w:bottom w:val="single" w:sz="4" w:space="0" w:color="auto"/>
              <w:right w:val="single" w:sz="4" w:space="0" w:color="auto"/>
            </w:tcBorders>
            <w:shd w:val="clear" w:color="000000" w:fill="DDEBF7"/>
            <w:vAlign w:val="center"/>
            <w:hideMark/>
          </w:tcPr>
          <w:p w14:paraId="7EF505E1"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490" w:type="pct"/>
            <w:tcBorders>
              <w:top w:val="nil"/>
              <w:left w:val="nil"/>
              <w:bottom w:val="single" w:sz="4" w:space="0" w:color="auto"/>
              <w:right w:val="single" w:sz="4" w:space="0" w:color="auto"/>
            </w:tcBorders>
            <w:shd w:val="clear" w:color="000000" w:fill="DDEBF7"/>
            <w:vAlign w:val="center"/>
            <w:hideMark/>
          </w:tcPr>
          <w:p w14:paraId="18EF8619"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823" w:type="pct"/>
            <w:tcBorders>
              <w:top w:val="single" w:sz="8" w:space="0" w:color="auto"/>
              <w:left w:val="nil"/>
              <w:bottom w:val="single" w:sz="4" w:space="0" w:color="auto"/>
              <w:right w:val="single" w:sz="4" w:space="0" w:color="auto"/>
            </w:tcBorders>
            <w:shd w:val="clear" w:color="000000" w:fill="DDEBF7"/>
            <w:vAlign w:val="center"/>
            <w:hideMark/>
          </w:tcPr>
          <w:p w14:paraId="37F81C36"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single" w:sz="4" w:space="0" w:color="auto"/>
              <w:left w:val="nil"/>
              <w:bottom w:val="single" w:sz="4" w:space="0" w:color="auto"/>
              <w:right w:val="single" w:sz="4" w:space="0" w:color="auto"/>
            </w:tcBorders>
            <w:shd w:val="clear" w:color="000000" w:fill="DDEBF7"/>
            <w:vAlign w:val="center"/>
            <w:hideMark/>
          </w:tcPr>
          <w:p w14:paraId="445F271F"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Instructions (1 jour)</w:t>
            </w:r>
          </w:p>
        </w:tc>
        <w:tc>
          <w:tcPr>
            <w:tcW w:w="394" w:type="pct"/>
            <w:tcBorders>
              <w:top w:val="nil"/>
              <w:left w:val="nil"/>
              <w:bottom w:val="single" w:sz="4" w:space="0" w:color="auto"/>
              <w:right w:val="single" w:sz="4" w:space="0" w:color="auto"/>
            </w:tcBorders>
            <w:shd w:val="clear" w:color="000000" w:fill="DDEBF7"/>
            <w:vAlign w:val="center"/>
            <w:hideMark/>
          </w:tcPr>
          <w:p w14:paraId="116CB27F"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548" w:type="pct"/>
            <w:tcBorders>
              <w:top w:val="nil"/>
              <w:left w:val="nil"/>
              <w:bottom w:val="single" w:sz="4" w:space="0" w:color="auto"/>
              <w:right w:val="single" w:sz="4" w:space="0" w:color="auto"/>
            </w:tcBorders>
            <w:shd w:val="clear" w:color="000000" w:fill="DDEBF7"/>
            <w:vAlign w:val="center"/>
            <w:hideMark/>
          </w:tcPr>
          <w:p w14:paraId="12086AA3"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xml:space="preserve">Première lecture (3 </w:t>
            </w:r>
            <w:proofErr w:type="spellStart"/>
            <w:r w:rsidRPr="000C7324">
              <w:rPr>
                <w:rFonts w:eastAsia="Times New Roman"/>
                <w:spacing w:val="0"/>
                <w:w w:val="100"/>
                <w:kern w:val="0"/>
                <w:sz w:val="16"/>
                <w:szCs w:val="16"/>
                <w:lang w:val="en-US"/>
              </w:rPr>
              <w:t>jours</w:t>
            </w:r>
            <w:proofErr w:type="spellEnd"/>
            <w:r w:rsidRPr="000C7324">
              <w:rPr>
                <w:rFonts w:eastAsia="Times New Roman"/>
                <w:spacing w:val="0"/>
                <w:w w:val="100"/>
                <w:kern w:val="0"/>
                <w:sz w:val="16"/>
                <w:szCs w:val="16"/>
                <w:lang w:val="en-US"/>
              </w:rPr>
              <w:t>)</w:t>
            </w:r>
          </w:p>
        </w:tc>
        <w:tc>
          <w:tcPr>
            <w:tcW w:w="590" w:type="pct"/>
            <w:tcBorders>
              <w:top w:val="nil"/>
              <w:left w:val="nil"/>
              <w:bottom w:val="single" w:sz="4" w:space="0" w:color="auto"/>
              <w:right w:val="single" w:sz="8" w:space="0" w:color="auto"/>
            </w:tcBorders>
            <w:shd w:val="clear" w:color="000000" w:fill="DDEBF7"/>
            <w:vAlign w:val="center"/>
            <w:hideMark/>
          </w:tcPr>
          <w:p w14:paraId="67EFA10A"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123" w:type="pct"/>
            <w:tcBorders>
              <w:top w:val="nil"/>
              <w:left w:val="nil"/>
              <w:bottom w:val="nil"/>
              <w:right w:val="nil"/>
            </w:tcBorders>
            <w:shd w:val="clear" w:color="auto" w:fill="auto"/>
            <w:vAlign w:val="center"/>
            <w:hideMark/>
          </w:tcPr>
          <w:p w14:paraId="6F01F4D1"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p>
        </w:tc>
      </w:tr>
      <w:tr w:rsidR="00CC19BA" w:rsidRPr="000C7324" w14:paraId="5F663CA7" w14:textId="77777777" w:rsidTr="00CC19BA">
        <w:trPr>
          <w:trHeight w:val="540"/>
        </w:trPr>
        <w:tc>
          <w:tcPr>
            <w:tcW w:w="190" w:type="pct"/>
            <w:vMerge/>
            <w:tcBorders>
              <w:top w:val="nil"/>
              <w:left w:val="single" w:sz="8" w:space="0" w:color="auto"/>
              <w:bottom w:val="single" w:sz="8" w:space="0" w:color="000000"/>
              <w:right w:val="single" w:sz="8" w:space="0" w:color="auto"/>
            </w:tcBorders>
            <w:vAlign w:val="center"/>
            <w:hideMark/>
          </w:tcPr>
          <w:p w14:paraId="3049CCAC" w14:textId="77777777" w:rsidR="00CC19BA" w:rsidRPr="000C7324" w:rsidRDefault="00CC19BA" w:rsidP="00CC19BA">
            <w:pPr>
              <w:suppressAutoHyphens w:val="0"/>
              <w:spacing w:line="240" w:lineRule="auto"/>
              <w:rPr>
                <w:rFonts w:eastAsia="Times New Roman"/>
                <w:b/>
                <w:bCs/>
                <w:spacing w:val="0"/>
                <w:w w:val="100"/>
                <w:kern w:val="0"/>
                <w:sz w:val="16"/>
                <w:szCs w:val="16"/>
                <w:lang w:val="en-US"/>
              </w:rPr>
            </w:pPr>
          </w:p>
        </w:tc>
        <w:tc>
          <w:tcPr>
            <w:tcW w:w="660" w:type="pct"/>
            <w:tcBorders>
              <w:top w:val="nil"/>
              <w:left w:val="nil"/>
              <w:bottom w:val="single" w:sz="4" w:space="0" w:color="auto"/>
              <w:right w:val="single" w:sz="8" w:space="0" w:color="auto"/>
            </w:tcBorders>
            <w:shd w:val="clear" w:color="auto" w:fill="auto"/>
            <w:noWrap/>
            <w:vAlign w:val="center"/>
            <w:hideMark/>
          </w:tcPr>
          <w:p w14:paraId="1A3DB5F5"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Inter-Session #42</w:t>
            </w:r>
          </w:p>
        </w:tc>
        <w:tc>
          <w:tcPr>
            <w:tcW w:w="394" w:type="pct"/>
            <w:tcBorders>
              <w:top w:val="single" w:sz="4" w:space="0" w:color="auto"/>
              <w:left w:val="nil"/>
              <w:bottom w:val="single" w:sz="4" w:space="0" w:color="auto"/>
              <w:right w:val="single" w:sz="4" w:space="0" w:color="auto"/>
            </w:tcBorders>
            <w:shd w:val="clear" w:color="auto" w:fill="auto"/>
            <w:vAlign w:val="center"/>
            <w:hideMark/>
          </w:tcPr>
          <w:p w14:paraId="4C7A38D1"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nil"/>
              <w:left w:val="nil"/>
              <w:bottom w:val="single" w:sz="4" w:space="0" w:color="auto"/>
              <w:right w:val="single" w:sz="4" w:space="0" w:color="auto"/>
            </w:tcBorders>
            <w:shd w:val="clear" w:color="auto" w:fill="auto"/>
            <w:vAlign w:val="center"/>
            <w:hideMark/>
          </w:tcPr>
          <w:p w14:paraId="07E28857"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proofErr w:type="spellStart"/>
            <w:r w:rsidRPr="000C7324">
              <w:rPr>
                <w:rFonts w:eastAsia="Times New Roman"/>
                <w:spacing w:val="0"/>
                <w:w w:val="100"/>
                <w:kern w:val="0"/>
                <w:sz w:val="16"/>
                <w:szCs w:val="16"/>
                <w:lang w:val="en-US"/>
              </w:rPr>
              <w:t>Autres</w:t>
            </w:r>
            <w:proofErr w:type="spellEnd"/>
            <w:r w:rsidRPr="000C7324">
              <w:rPr>
                <w:rFonts w:eastAsia="Times New Roman"/>
                <w:spacing w:val="0"/>
                <w:w w:val="100"/>
                <w:kern w:val="0"/>
                <w:sz w:val="16"/>
                <w:szCs w:val="16"/>
                <w:lang w:val="en-US"/>
              </w:rPr>
              <w:t xml:space="preserve"> </w:t>
            </w:r>
            <w:proofErr w:type="spellStart"/>
            <w:r w:rsidRPr="000C7324">
              <w:rPr>
                <w:rFonts w:eastAsia="Times New Roman"/>
                <w:spacing w:val="0"/>
                <w:w w:val="100"/>
                <w:kern w:val="0"/>
                <w:sz w:val="16"/>
                <w:szCs w:val="16"/>
                <w:lang w:val="en-US"/>
              </w:rPr>
              <w:t>réunions</w:t>
            </w:r>
            <w:proofErr w:type="spellEnd"/>
            <w:r w:rsidRPr="000C7324">
              <w:rPr>
                <w:rFonts w:eastAsia="Times New Roman"/>
                <w:spacing w:val="0"/>
                <w:w w:val="100"/>
                <w:kern w:val="0"/>
                <w:sz w:val="16"/>
                <w:szCs w:val="16"/>
                <w:lang w:val="en-US"/>
              </w:rPr>
              <w:t xml:space="preserve"> (1 jour)</w:t>
            </w:r>
          </w:p>
        </w:tc>
        <w:tc>
          <w:tcPr>
            <w:tcW w:w="490" w:type="pct"/>
            <w:tcBorders>
              <w:top w:val="nil"/>
              <w:left w:val="nil"/>
              <w:bottom w:val="single" w:sz="4" w:space="0" w:color="auto"/>
              <w:right w:val="single" w:sz="4" w:space="0" w:color="auto"/>
            </w:tcBorders>
            <w:shd w:val="clear" w:color="auto" w:fill="auto"/>
            <w:vAlign w:val="center"/>
            <w:hideMark/>
          </w:tcPr>
          <w:p w14:paraId="18951FFD"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823" w:type="pct"/>
            <w:tcBorders>
              <w:top w:val="nil"/>
              <w:left w:val="nil"/>
              <w:bottom w:val="single" w:sz="4" w:space="0" w:color="auto"/>
              <w:right w:val="single" w:sz="4" w:space="0" w:color="auto"/>
            </w:tcBorders>
            <w:shd w:val="clear" w:color="auto" w:fill="auto"/>
            <w:vAlign w:val="center"/>
            <w:hideMark/>
          </w:tcPr>
          <w:p w14:paraId="2BF8F119" w14:textId="1DD351C4" w:rsidR="00CC19BA" w:rsidRPr="000C7324" w:rsidRDefault="00CC19BA" w:rsidP="00CC19BA">
            <w:pPr>
              <w:suppressAutoHyphens w:val="0"/>
              <w:spacing w:line="240" w:lineRule="auto"/>
              <w:jc w:val="center"/>
              <w:rPr>
                <w:rFonts w:eastAsia="Times New Roman"/>
                <w:spacing w:val="0"/>
                <w:w w:val="100"/>
                <w:kern w:val="0"/>
                <w:sz w:val="16"/>
                <w:szCs w:val="16"/>
                <w:lang w:val="fr-FR"/>
              </w:rPr>
            </w:pPr>
            <w:r w:rsidRPr="000C7324">
              <w:rPr>
                <w:rFonts w:eastAsia="Times New Roman"/>
                <w:spacing w:val="0"/>
                <w:w w:val="100"/>
                <w:kern w:val="0"/>
                <w:sz w:val="16"/>
                <w:szCs w:val="16"/>
                <w:lang w:val="fr-FR"/>
              </w:rPr>
              <w:t xml:space="preserve">Autres réunions (1 </w:t>
            </w:r>
            <w:proofErr w:type="gramStart"/>
            <w:r w:rsidRPr="000C7324">
              <w:rPr>
                <w:rFonts w:eastAsia="Times New Roman"/>
                <w:spacing w:val="0"/>
                <w:w w:val="100"/>
                <w:kern w:val="0"/>
                <w:sz w:val="16"/>
                <w:szCs w:val="16"/>
                <w:lang w:val="fr-FR"/>
              </w:rPr>
              <w:t>jour)/</w:t>
            </w:r>
            <w:proofErr w:type="gramEnd"/>
            <w:r w:rsidRPr="000C7324">
              <w:rPr>
                <w:rFonts w:eastAsia="Times New Roman"/>
                <w:spacing w:val="0"/>
                <w:w w:val="100"/>
                <w:kern w:val="0"/>
                <w:sz w:val="16"/>
                <w:szCs w:val="16"/>
                <w:lang w:val="fr-FR"/>
              </w:rPr>
              <w:t xml:space="preserve"> Groupe de rédaction (2 jours)</w:t>
            </w:r>
          </w:p>
        </w:tc>
        <w:tc>
          <w:tcPr>
            <w:tcW w:w="394" w:type="pct"/>
            <w:tcBorders>
              <w:top w:val="nil"/>
              <w:left w:val="nil"/>
              <w:bottom w:val="single" w:sz="4" w:space="0" w:color="auto"/>
              <w:right w:val="single" w:sz="4" w:space="0" w:color="auto"/>
            </w:tcBorders>
            <w:shd w:val="clear" w:color="auto" w:fill="auto"/>
            <w:vAlign w:val="center"/>
            <w:hideMark/>
          </w:tcPr>
          <w:p w14:paraId="08460ACD" w14:textId="77777777" w:rsidR="00CC19BA" w:rsidRPr="000C7324" w:rsidRDefault="00CC19BA" w:rsidP="00CC19BA">
            <w:pPr>
              <w:suppressAutoHyphens w:val="0"/>
              <w:spacing w:line="240" w:lineRule="auto"/>
              <w:jc w:val="center"/>
              <w:rPr>
                <w:rFonts w:eastAsia="Times New Roman"/>
                <w:spacing w:val="0"/>
                <w:w w:val="100"/>
                <w:kern w:val="0"/>
                <w:sz w:val="16"/>
                <w:szCs w:val="16"/>
                <w:lang w:val="fr-FR"/>
              </w:rPr>
            </w:pPr>
            <w:r w:rsidRPr="000C7324">
              <w:rPr>
                <w:rFonts w:eastAsia="Times New Roman"/>
                <w:spacing w:val="0"/>
                <w:w w:val="100"/>
                <w:kern w:val="0"/>
                <w:sz w:val="16"/>
                <w:szCs w:val="16"/>
                <w:lang w:val="fr-FR"/>
              </w:rPr>
              <w:t> </w:t>
            </w:r>
          </w:p>
        </w:tc>
        <w:tc>
          <w:tcPr>
            <w:tcW w:w="394" w:type="pct"/>
            <w:tcBorders>
              <w:top w:val="nil"/>
              <w:left w:val="nil"/>
              <w:bottom w:val="single" w:sz="4" w:space="0" w:color="auto"/>
              <w:right w:val="single" w:sz="4" w:space="0" w:color="auto"/>
            </w:tcBorders>
            <w:shd w:val="clear" w:color="auto" w:fill="auto"/>
            <w:vAlign w:val="center"/>
            <w:hideMark/>
          </w:tcPr>
          <w:p w14:paraId="02190F3A" w14:textId="14D02804"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xml:space="preserve">Réunion inter-session </w:t>
            </w:r>
            <w:proofErr w:type="gramStart"/>
            <w:r w:rsidRPr="000C7324">
              <w:rPr>
                <w:rFonts w:eastAsia="Times New Roman"/>
                <w:spacing w:val="0"/>
                <w:w w:val="100"/>
                <w:kern w:val="0"/>
                <w:sz w:val="16"/>
                <w:szCs w:val="16"/>
                <w:lang w:val="en-US"/>
              </w:rPr>
              <w:t>( 2</w:t>
            </w:r>
            <w:proofErr w:type="gramEnd"/>
            <w:r w:rsidRPr="000C7324">
              <w:rPr>
                <w:rFonts w:eastAsia="Times New Roman"/>
                <w:spacing w:val="0"/>
                <w:w w:val="100"/>
                <w:kern w:val="0"/>
                <w:sz w:val="16"/>
                <w:szCs w:val="16"/>
                <w:lang w:val="en-US"/>
              </w:rPr>
              <w:t xml:space="preserve"> </w:t>
            </w:r>
            <w:proofErr w:type="spellStart"/>
            <w:r w:rsidRPr="000C7324">
              <w:rPr>
                <w:rFonts w:eastAsia="Times New Roman"/>
                <w:spacing w:val="0"/>
                <w:w w:val="100"/>
                <w:kern w:val="0"/>
                <w:sz w:val="16"/>
                <w:szCs w:val="16"/>
                <w:lang w:val="en-US"/>
              </w:rPr>
              <w:t>jours</w:t>
            </w:r>
            <w:proofErr w:type="spellEnd"/>
            <w:r w:rsidRPr="000C7324">
              <w:rPr>
                <w:rFonts w:eastAsia="Times New Roman"/>
                <w:spacing w:val="0"/>
                <w:w w:val="100"/>
                <w:kern w:val="0"/>
                <w:sz w:val="16"/>
                <w:szCs w:val="16"/>
                <w:lang w:val="en-US"/>
              </w:rPr>
              <w:t>)</w:t>
            </w:r>
          </w:p>
        </w:tc>
        <w:tc>
          <w:tcPr>
            <w:tcW w:w="548" w:type="pct"/>
            <w:tcBorders>
              <w:top w:val="nil"/>
              <w:left w:val="nil"/>
              <w:bottom w:val="single" w:sz="4" w:space="0" w:color="auto"/>
              <w:right w:val="single" w:sz="4" w:space="0" w:color="auto"/>
            </w:tcBorders>
            <w:shd w:val="clear" w:color="auto" w:fill="auto"/>
            <w:vAlign w:val="center"/>
            <w:hideMark/>
          </w:tcPr>
          <w:p w14:paraId="1669D2C1" w14:textId="45D159CC"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xml:space="preserve">Réunion inter-session </w:t>
            </w:r>
            <w:proofErr w:type="gramStart"/>
            <w:r w:rsidRPr="000C7324">
              <w:rPr>
                <w:rFonts w:eastAsia="Times New Roman"/>
                <w:spacing w:val="0"/>
                <w:w w:val="100"/>
                <w:kern w:val="0"/>
                <w:sz w:val="16"/>
                <w:szCs w:val="16"/>
                <w:lang w:val="en-US"/>
              </w:rPr>
              <w:t>( 2</w:t>
            </w:r>
            <w:proofErr w:type="gramEnd"/>
            <w:r w:rsidRPr="000C7324">
              <w:rPr>
                <w:rFonts w:eastAsia="Times New Roman"/>
                <w:spacing w:val="0"/>
                <w:w w:val="100"/>
                <w:kern w:val="0"/>
                <w:sz w:val="16"/>
                <w:szCs w:val="16"/>
                <w:lang w:val="en-US"/>
              </w:rPr>
              <w:t xml:space="preserve"> </w:t>
            </w:r>
            <w:proofErr w:type="spellStart"/>
            <w:r w:rsidRPr="000C7324">
              <w:rPr>
                <w:rFonts w:eastAsia="Times New Roman"/>
                <w:spacing w:val="0"/>
                <w:w w:val="100"/>
                <w:kern w:val="0"/>
                <w:sz w:val="16"/>
                <w:szCs w:val="16"/>
                <w:lang w:val="en-US"/>
              </w:rPr>
              <w:t>jours</w:t>
            </w:r>
            <w:proofErr w:type="spellEnd"/>
            <w:r w:rsidRPr="000C7324">
              <w:rPr>
                <w:rFonts w:eastAsia="Times New Roman"/>
                <w:spacing w:val="0"/>
                <w:w w:val="100"/>
                <w:kern w:val="0"/>
                <w:sz w:val="16"/>
                <w:szCs w:val="16"/>
                <w:lang w:val="en-US"/>
              </w:rPr>
              <w:t>)</w:t>
            </w:r>
          </w:p>
        </w:tc>
        <w:tc>
          <w:tcPr>
            <w:tcW w:w="590" w:type="pct"/>
            <w:tcBorders>
              <w:top w:val="nil"/>
              <w:left w:val="nil"/>
              <w:bottom w:val="single" w:sz="4" w:space="0" w:color="auto"/>
              <w:right w:val="single" w:sz="8" w:space="0" w:color="auto"/>
            </w:tcBorders>
            <w:shd w:val="clear" w:color="auto" w:fill="auto"/>
            <w:vAlign w:val="center"/>
            <w:hideMark/>
          </w:tcPr>
          <w:p w14:paraId="74C6EFCF"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proofErr w:type="spellStart"/>
            <w:r w:rsidRPr="000C7324">
              <w:rPr>
                <w:rFonts w:eastAsia="Times New Roman"/>
                <w:spacing w:val="0"/>
                <w:w w:val="100"/>
                <w:kern w:val="0"/>
                <w:sz w:val="16"/>
                <w:szCs w:val="16"/>
                <w:lang w:val="en-US"/>
              </w:rPr>
              <w:t>Autres</w:t>
            </w:r>
            <w:proofErr w:type="spellEnd"/>
            <w:r w:rsidRPr="000C7324">
              <w:rPr>
                <w:rFonts w:eastAsia="Times New Roman"/>
                <w:spacing w:val="0"/>
                <w:w w:val="100"/>
                <w:kern w:val="0"/>
                <w:sz w:val="16"/>
                <w:szCs w:val="16"/>
                <w:lang w:val="en-US"/>
              </w:rPr>
              <w:t xml:space="preserve"> </w:t>
            </w:r>
            <w:proofErr w:type="spellStart"/>
            <w:r w:rsidRPr="000C7324">
              <w:rPr>
                <w:rFonts w:eastAsia="Times New Roman"/>
                <w:spacing w:val="0"/>
                <w:w w:val="100"/>
                <w:kern w:val="0"/>
                <w:sz w:val="16"/>
                <w:szCs w:val="16"/>
                <w:lang w:val="en-US"/>
              </w:rPr>
              <w:t>réunions</w:t>
            </w:r>
            <w:proofErr w:type="spellEnd"/>
            <w:r w:rsidRPr="000C7324">
              <w:rPr>
                <w:rFonts w:eastAsia="Times New Roman"/>
                <w:spacing w:val="0"/>
                <w:w w:val="100"/>
                <w:kern w:val="0"/>
                <w:sz w:val="16"/>
                <w:szCs w:val="16"/>
                <w:lang w:val="en-US"/>
              </w:rPr>
              <w:t xml:space="preserve"> - (1 jour)</w:t>
            </w:r>
          </w:p>
        </w:tc>
        <w:tc>
          <w:tcPr>
            <w:tcW w:w="123" w:type="pct"/>
            <w:tcBorders>
              <w:top w:val="nil"/>
              <w:left w:val="nil"/>
              <w:bottom w:val="nil"/>
              <w:right w:val="nil"/>
            </w:tcBorders>
            <w:shd w:val="clear" w:color="auto" w:fill="auto"/>
            <w:noWrap/>
            <w:vAlign w:val="center"/>
            <w:hideMark/>
          </w:tcPr>
          <w:p w14:paraId="0EEAC3CD"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p>
        </w:tc>
      </w:tr>
      <w:tr w:rsidR="00CC19BA" w:rsidRPr="000C7324" w14:paraId="7C7AE9AB" w14:textId="77777777" w:rsidTr="00CC19BA">
        <w:trPr>
          <w:trHeight w:val="540"/>
        </w:trPr>
        <w:tc>
          <w:tcPr>
            <w:tcW w:w="190" w:type="pct"/>
            <w:vMerge/>
            <w:tcBorders>
              <w:top w:val="nil"/>
              <w:left w:val="single" w:sz="8" w:space="0" w:color="auto"/>
              <w:bottom w:val="single" w:sz="8" w:space="0" w:color="000000"/>
              <w:right w:val="single" w:sz="8" w:space="0" w:color="auto"/>
            </w:tcBorders>
            <w:vAlign w:val="center"/>
            <w:hideMark/>
          </w:tcPr>
          <w:p w14:paraId="7031C0CF" w14:textId="77777777" w:rsidR="00CC19BA" w:rsidRPr="000C7324" w:rsidRDefault="00CC19BA" w:rsidP="00CC19BA">
            <w:pPr>
              <w:suppressAutoHyphens w:val="0"/>
              <w:spacing w:line="240" w:lineRule="auto"/>
              <w:rPr>
                <w:rFonts w:eastAsia="Times New Roman"/>
                <w:b/>
                <w:bCs/>
                <w:spacing w:val="0"/>
                <w:w w:val="100"/>
                <w:kern w:val="0"/>
                <w:sz w:val="16"/>
                <w:szCs w:val="16"/>
                <w:lang w:val="en-US"/>
              </w:rPr>
            </w:pPr>
          </w:p>
        </w:tc>
        <w:tc>
          <w:tcPr>
            <w:tcW w:w="660" w:type="pct"/>
            <w:tcBorders>
              <w:top w:val="nil"/>
              <w:left w:val="nil"/>
              <w:bottom w:val="single" w:sz="4" w:space="0" w:color="auto"/>
              <w:right w:val="single" w:sz="8" w:space="0" w:color="auto"/>
            </w:tcBorders>
            <w:shd w:val="clear" w:color="000000" w:fill="DDEBF7"/>
            <w:noWrap/>
            <w:vAlign w:val="center"/>
            <w:hideMark/>
          </w:tcPr>
          <w:p w14:paraId="3FBEC5DA" w14:textId="3157AE2F"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Groupe de travail #43</w:t>
            </w:r>
          </w:p>
        </w:tc>
        <w:tc>
          <w:tcPr>
            <w:tcW w:w="394" w:type="pct"/>
            <w:tcBorders>
              <w:top w:val="nil"/>
              <w:left w:val="nil"/>
              <w:bottom w:val="single" w:sz="4" w:space="0" w:color="auto"/>
              <w:right w:val="single" w:sz="4" w:space="0" w:color="auto"/>
            </w:tcBorders>
            <w:shd w:val="clear" w:color="000000" w:fill="DDEBF7"/>
            <w:vAlign w:val="center"/>
            <w:hideMark/>
          </w:tcPr>
          <w:p w14:paraId="14B91164"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Instructions (1 jour)</w:t>
            </w:r>
          </w:p>
        </w:tc>
        <w:tc>
          <w:tcPr>
            <w:tcW w:w="394" w:type="pct"/>
            <w:tcBorders>
              <w:top w:val="nil"/>
              <w:left w:val="nil"/>
              <w:bottom w:val="single" w:sz="4" w:space="0" w:color="auto"/>
              <w:right w:val="single" w:sz="4" w:space="0" w:color="auto"/>
            </w:tcBorders>
            <w:shd w:val="clear" w:color="000000" w:fill="DDEBF7"/>
            <w:vAlign w:val="center"/>
            <w:hideMark/>
          </w:tcPr>
          <w:p w14:paraId="1ADCF0F6"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490" w:type="pct"/>
            <w:tcBorders>
              <w:top w:val="nil"/>
              <w:left w:val="nil"/>
              <w:bottom w:val="single" w:sz="4" w:space="0" w:color="auto"/>
              <w:right w:val="single" w:sz="4" w:space="0" w:color="auto"/>
            </w:tcBorders>
            <w:shd w:val="clear" w:color="000000" w:fill="DDEBF7"/>
            <w:vAlign w:val="center"/>
            <w:hideMark/>
          </w:tcPr>
          <w:p w14:paraId="2914D9B9"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823" w:type="pct"/>
            <w:tcBorders>
              <w:top w:val="nil"/>
              <w:left w:val="nil"/>
              <w:bottom w:val="single" w:sz="4" w:space="0" w:color="auto"/>
              <w:right w:val="single" w:sz="4" w:space="0" w:color="auto"/>
            </w:tcBorders>
            <w:shd w:val="clear" w:color="000000" w:fill="DDEBF7"/>
            <w:vAlign w:val="center"/>
            <w:hideMark/>
          </w:tcPr>
          <w:p w14:paraId="1FF14535"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xml:space="preserve">Première lecture (3 </w:t>
            </w:r>
            <w:proofErr w:type="spellStart"/>
            <w:r w:rsidRPr="000C7324">
              <w:rPr>
                <w:rFonts w:eastAsia="Times New Roman"/>
                <w:spacing w:val="0"/>
                <w:w w:val="100"/>
                <w:kern w:val="0"/>
                <w:sz w:val="16"/>
                <w:szCs w:val="16"/>
                <w:lang w:val="en-US"/>
              </w:rPr>
              <w:t>jours</w:t>
            </w:r>
            <w:proofErr w:type="spellEnd"/>
            <w:r w:rsidRPr="000C7324">
              <w:rPr>
                <w:rFonts w:eastAsia="Times New Roman"/>
                <w:spacing w:val="0"/>
                <w:w w:val="100"/>
                <w:kern w:val="0"/>
                <w:sz w:val="16"/>
                <w:szCs w:val="16"/>
                <w:lang w:val="en-US"/>
              </w:rPr>
              <w:t>)</w:t>
            </w:r>
          </w:p>
        </w:tc>
        <w:tc>
          <w:tcPr>
            <w:tcW w:w="394" w:type="pct"/>
            <w:tcBorders>
              <w:top w:val="nil"/>
              <w:left w:val="nil"/>
              <w:bottom w:val="single" w:sz="4" w:space="0" w:color="auto"/>
              <w:right w:val="single" w:sz="4" w:space="0" w:color="auto"/>
            </w:tcBorders>
            <w:shd w:val="clear" w:color="000000" w:fill="DDEBF7"/>
            <w:vAlign w:val="center"/>
            <w:hideMark/>
          </w:tcPr>
          <w:p w14:paraId="05F8C22C"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nil"/>
              <w:left w:val="nil"/>
              <w:bottom w:val="single" w:sz="4" w:space="0" w:color="auto"/>
              <w:right w:val="single" w:sz="4" w:space="0" w:color="auto"/>
            </w:tcBorders>
            <w:shd w:val="clear" w:color="000000" w:fill="DDEBF7"/>
            <w:vAlign w:val="center"/>
            <w:hideMark/>
          </w:tcPr>
          <w:p w14:paraId="333DC323"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548" w:type="pct"/>
            <w:tcBorders>
              <w:top w:val="nil"/>
              <w:left w:val="nil"/>
              <w:bottom w:val="single" w:sz="4" w:space="0" w:color="auto"/>
              <w:right w:val="single" w:sz="4" w:space="0" w:color="auto"/>
            </w:tcBorders>
            <w:shd w:val="clear" w:color="000000" w:fill="DDEBF7"/>
            <w:vAlign w:val="center"/>
            <w:hideMark/>
          </w:tcPr>
          <w:p w14:paraId="6373F58C"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590" w:type="pct"/>
            <w:tcBorders>
              <w:top w:val="nil"/>
              <w:left w:val="nil"/>
              <w:bottom w:val="single" w:sz="4" w:space="0" w:color="auto"/>
              <w:right w:val="single" w:sz="8" w:space="0" w:color="auto"/>
            </w:tcBorders>
            <w:shd w:val="clear" w:color="000000" w:fill="DDEBF7"/>
            <w:vAlign w:val="center"/>
            <w:hideMark/>
          </w:tcPr>
          <w:p w14:paraId="729FE1E9"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123" w:type="pct"/>
            <w:tcBorders>
              <w:top w:val="nil"/>
              <w:left w:val="nil"/>
              <w:bottom w:val="nil"/>
              <w:right w:val="nil"/>
            </w:tcBorders>
            <w:shd w:val="clear" w:color="auto" w:fill="auto"/>
            <w:noWrap/>
            <w:vAlign w:val="center"/>
            <w:hideMark/>
          </w:tcPr>
          <w:p w14:paraId="7AAA909E"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p>
        </w:tc>
      </w:tr>
      <w:tr w:rsidR="00CC19BA" w:rsidRPr="000C7324" w14:paraId="5748A63B" w14:textId="77777777" w:rsidTr="00CC19BA">
        <w:trPr>
          <w:trHeight w:val="540"/>
        </w:trPr>
        <w:tc>
          <w:tcPr>
            <w:tcW w:w="190" w:type="pct"/>
            <w:vMerge/>
            <w:tcBorders>
              <w:top w:val="nil"/>
              <w:left w:val="single" w:sz="8" w:space="0" w:color="auto"/>
              <w:bottom w:val="single" w:sz="8" w:space="0" w:color="000000"/>
              <w:right w:val="single" w:sz="8" w:space="0" w:color="auto"/>
            </w:tcBorders>
            <w:vAlign w:val="center"/>
            <w:hideMark/>
          </w:tcPr>
          <w:p w14:paraId="12633119" w14:textId="77777777" w:rsidR="00CC19BA" w:rsidRPr="000C7324" w:rsidRDefault="00CC19BA" w:rsidP="00CC19BA">
            <w:pPr>
              <w:suppressAutoHyphens w:val="0"/>
              <w:spacing w:line="240" w:lineRule="auto"/>
              <w:rPr>
                <w:rFonts w:eastAsia="Times New Roman"/>
                <w:b/>
                <w:bCs/>
                <w:spacing w:val="0"/>
                <w:w w:val="100"/>
                <w:kern w:val="0"/>
                <w:sz w:val="16"/>
                <w:szCs w:val="16"/>
                <w:lang w:val="en-US"/>
              </w:rPr>
            </w:pPr>
          </w:p>
        </w:tc>
        <w:tc>
          <w:tcPr>
            <w:tcW w:w="660" w:type="pct"/>
            <w:vMerge w:val="restart"/>
            <w:tcBorders>
              <w:top w:val="nil"/>
              <w:left w:val="single" w:sz="8" w:space="0" w:color="auto"/>
              <w:bottom w:val="single" w:sz="4" w:space="0" w:color="000000"/>
              <w:right w:val="single" w:sz="8" w:space="0" w:color="auto"/>
            </w:tcBorders>
            <w:shd w:val="clear" w:color="auto" w:fill="auto"/>
            <w:noWrap/>
            <w:vAlign w:val="center"/>
            <w:hideMark/>
          </w:tcPr>
          <w:p w14:paraId="025F35D2"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Inter-Session #43</w:t>
            </w:r>
          </w:p>
        </w:tc>
        <w:tc>
          <w:tcPr>
            <w:tcW w:w="394" w:type="pct"/>
            <w:tcBorders>
              <w:top w:val="nil"/>
              <w:left w:val="nil"/>
              <w:bottom w:val="nil"/>
              <w:right w:val="nil"/>
            </w:tcBorders>
            <w:shd w:val="clear" w:color="auto" w:fill="auto"/>
            <w:noWrap/>
            <w:vAlign w:val="bottom"/>
            <w:hideMark/>
          </w:tcPr>
          <w:p w14:paraId="19A07370"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p>
        </w:tc>
        <w:tc>
          <w:tcPr>
            <w:tcW w:w="394" w:type="pct"/>
            <w:tcBorders>
              <w:top w:val="nil"/>
              <w:left w:val="single" w:sz="4" w:space="0" w:color="auto"/>
              <w:bottom w:val="single" w:sz="4" w:space="0" w:color="auto"/>
              <w:right w:val="single" w:sz="4" w:space="0" w:color="auto"/>
            </w:tcBorders>
            <w:shd w:val="clear" w:color="auto" w:fill="auto"/>
            <w:vAlign w:val="center"/>
            <w:hideMark/>
          </w:tcPr>
          <w:p w14:paraId="3B79415E"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490" w:type="pct"/>
            <w:tcBorders>
              <w:top w:val="nil"/>
              <w:left w:val="nil"/>
              <w:bottom w:val="single" w:sz="4" w:space="0" w:color="auto"/>
              <w:right w:val="single" w:sz="4" w:space="0" w:color="auto"/>
            </w:tcBorders>
            <w:shd w:val="clear" w:color="auto" w:fill="auto"/>
            <w:vAlign w:val="center"/>
            <w:hideMark/>
          </w:tcPr>
          <w:p w14:paraId="35CD8E0A"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823" w:type="pct"/>
            <w:tcBorders>
              <w:top w:val="nil"/>
              <w:left w:val="nil"/>
              <w:bottom w:val="single" w:sz="4" w:space="0" w:color="auto"/>
              <w:right w:val="single" w:sz="4" w:space="0" w:color="auto"/>
            </w:tcBorders>
            <w:shd w:val="clear" w:color="auto" w:fill="auto"/>
            <w:vAlign w:val="center"/>
            <w:hideMark/>
          </w:tcPr>
          <w:p w14:paraId="29CED5C6"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xml:space="preserve">Groupe de </w:t>
            </w:r>
            <w:proofErr w:type="spellStart"/>
            <w:r w:rsidRPr="000C7324">
              <w:rPr>
                <w:rFonts w:eastAsia="Times New Roman"/>
                <w:spacing w:val="0"/>
                <w:w w:val="100"/>
                <w:kern w:val="0"/>
                <w:sz w:val="16"/>
                <w:szCs w:val="16"/>
                <w:lang w:val="en-US"/>
              </w:rPr>
              <w:t>rédaction</w:t>
            </w:r>
            <w:proofErr w:type="spellEnd"/>
            <w:r w:rsidRPr="000C7324">
              <w:rPr>
                <w:rFonts w:eastAsia="Times New Roman"/>
                <w:spacing w:val="0"/>
                <w:w w:val="100"/>
                <w:kern w:val="0"/>
                <w:sz w:val="16"/>
                <w:szCs w:val="16"/>
                <w:lang w:val="en-US"/>
              </w:rPr>
              <w:t xml:space="preserve"> (2 </w:t>
            </w:r>
            <w:proofErr w:type="spellStart"/>
            <w:r w:rsidRPr="000C7324">
              <w:rPr>
                <w:rFonts w:eastAsia="Times New Roman"/>
                <w:spacing w:val="0"/>
                <w:w w:val="100"/>
                <w:kern w:val="0"/>
                <w:sz w:val="16"/>
                <w:szCs w:val="16"/>
                <w:lang w:val="en-US"/>
              </w:rPr>
              <w:t>jours</w:t>
            </w:r>
            <w:proofErr w:type="spellEnd"/>
            <w:r w:rsidRPr="000C7324">
              <w:rPr>
                <w:rFonts w:eastAsia="Times New Roman"/>
                <w:spacing w:val="0"/>
                <w:w w:val="100"/>
                <w:kern w:val="0"/>
                <w:sz w:val="16"/>
                <w:szCs w:val="16"/>
                <w:lang w:val="en-US"/>
              </w:rPr>
              <w:t>)</w:t>
            </w:r>
          </w:p>
        </w:tc>
        <w:tc>
          <w:tcPr>
            <w:tcW w:w="394" w:type="pct"/>
            <w:tcBorders>
              <w:top w:val="nil"/>
              <w:left w:val="nil"/>
              <w:bottom w:val="single" w:sz="4" w:space="0" w:color="auto"/>
              <w:right w:val="single" w:sz="4" w:space="0" w:color="auto"/>
            </w:tcBorders>
            <w:shd w:val="clear" w:color="auto" w:fill="auto"/>
            <w:vAlign w:val="center"/>
            <w:hideMark/>
          </w:tcPr>
          <w:p w14:paraId="7EEBD2FC"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xml:space="preserve">Groupe de </w:t>
            </w:r>
            <w:proofErr w:type="spellStart"/>
            <w:r w:rsidRPr="000C7324">
              <w:rPr>
                <w:rFonts w:eastAsia="Times New Roman"/>
                <w:spacing w:val="0"/>
                <w:w w:val="100"/>
                <w:kern w:val="0"/>
                <w:sz w:val="16"/>
                <w:szCs w:val="16"/>
                <w:lang w:val="en-US"/>
              </w:rPr>
              <w:t>rédaction</w:t>
            </w:r>
            <w:proofErr w:type="spellEnd"/>
            <w:r w:rsidRPr="000C7324">
              <w:rPr>
                <w:rFonts w:eastAsia="Times New Roman"/>
                <w:spacing w:val="0"/>
                <w:w w:val="100"/>
                <w:kern w:val="0"/>
                <w:sz w:val="16"/>
                <w:szCs w:val="16"/>
                <w:lang w:val="en-US"/>
              </w:rPr>
              <w:t xml:space="preserve"> (1 jour)</w:t>
            </w:r>
          </w:p>
        </w:tc>
        <w:tc>
          <w:tcPr>
            <w:tcW w:w="394" w:type="pct"/>
            <w:tcBorders>
              <w:top w:val="nil"/>
              <w:left w:val="nil"/>
              <w:bottom w:val="single" w:sz="4" w:space="0" w:color="auto"/>
              <w:right w:val="single" w:sz="4" w:space="0" w:color="auto"/>
            </w:tcBorders>
            <w:shd w:val="clear" w:color="auto" w:fill="auto"/>
            <w:vAlign w:val="center"/>
            <w:hideMark/>
          </w:tcPr>
          <w:p w14:paraId="380A0762"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xml:space="preserve">Groupe de </w:t>
            </w:r>
            <w:proofErr w:type="spellStart"/>
            <w:r w:rsidRPr="000C7324">
              <w:rPr>
                <w:rFonts w:eastAsia="Times New Roman"/>
                <w:spacing w:val="0"/>
                <w:w w:val="100"/>
                <w:kern w:val="0"/>
                <w:sz w:val="16"/>
                <w:szCs w:val="16"/>
                <w:lang w:val="en-US"/>
              </w:rPr>
              <w:t>rédaction</w:t>
            </w:r>
            <w:proofErr w:type="spellEnd"/>
            <w:r w:rsidRPr="000C7324">
              <w:rPr>
                <w:rFonts w:eastAsia="Times New Roman"/>
                <w:spacing w:val="0"/>
                <w:w w:val="100"/>
                <w:kern w:val="0"/>
                <w:sz w:val="16"/>
                <w:szCs w:val="16"/>
                <w:lang w:val="en-US"/>
              </w:rPr>
              <w:t xml:space="preserve"> (2 </w:t>
            </w:r>
            <w:proofErr w:type="spellStart"/>
            <w:r w:rsidRPr="000C7324">
              <w:rPr>
                <w:rFonts w:eastAsia="Times New Roman"/>
                <w:spacing w:val="0"/>
                <w:w w:val="100"/>
                <w:kern w:val="0"/>
                <w:sz w:val="16"/>
                <w:szCs w:val="16"/>
                <w:lang w:val="en-US"/>
              </w:rPr>
              <w:t>jours</w:t>
            </w:r>
            <w:proofErr w:type="spellEnd"/>
            <w:r w:rsidRPr="000C7324">
              <w:rPr>
                <w:rFonts w:eastAsia="Times New Roman"/>
                <w:spacing w:val="0"/>
                <w:w w:val="100"/>
                <w:kern w:val="0"/>
                <w:sz w:val="16"/>
                <w:szCs w:val="16"/>
                <w:lang w:val="en-US"/>
              </w:rPr>
              <w:t>)</w:t>
            </w:r>
          </w:p>
        </w:tc>
        <w:tc>
          <w:tcPr>
            <w:tcW w:w="548" w:type="pct"/>
            <w:tcBorders>
              <w:top w:val="nil"/>
              <w:left w:val="nil"/>
              <w:bottom w:val="single" w:sz="4" w:space="0" w:color="auto"/>
              <w:right w:val="single" w:sz="4" w:space="0" w:color="auto"/>
            </w:tcBorders>
            <w:shd w:val="clear" w:color="auto" w:fill="auto"/>
            <w:vAlign w:val="center"/>
            <w:hideMark/>
          </w:tcPr>
          <w:p w14:paraId="73C9FB90"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590" w:type="pct"/>
            <w:tcBorders>
              <w:top w:val="nil"/>
              <w:left w:val="nil"/>
              <w:bottom w:val="single" w:sz="4" w:space="0" w:color="auto"/>
              <w:right w:val="single" w:sz="8" w:space="0" w:color="auto"/>
            </w:tcBorders>
            <w:shd w:val="clear" w:color="auto" w:fill="auto"/>
            <w:noWrap/>
            <w:vAlign w:val="bottom"/>
            <w:hideMark/>
          </w:tcPr>
          <w:p w14:paraId="26C4AFA9" w14:textId="77777777" w:rsidR="00CC19BA" w:rsidRPr="000C7324" w:rsidRDefault="00CC19BA" w:rsidP="00CC19BA">
            <w:pPr>
              <w:suppressAutoHyphens w:val="0"/>
              <w:spacing w:line="240" w:lineRule="auto"/>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123" w:type="pct"/>
            <w:tcBorders>
              <w:top w:val="nil"/>
              <w:left w:val="nil"/>
              <w:bottom w:val="nil"/>
              <w:right w:val="nil"/>
            </w:tcBorders>
            <w:shd w:val="clear" w:color="auto" w:fill="auto"/>
            <w:noWrap/>
            <w:vAlign w:val="center"/>
            <w:hideMark/>
          </w:tcPr>
          <w:p w14:paraId="6293B30B" w14:textId="77777777" w:rsidR="00CC19BA" w:rsidRPr="000C7324" w:rsidRDefault="00CC19BA" w:rsidP="00CC19BA">
            <w:pPr>
              <w:suppressAutoHyphens w:val="0"/>
              <w:spacing w:line="240" w:lineRule="auto"/>
              <w:rPr>
                <w:rFonts w:eastAsia="Times New Roman"/>
                <w:spacing w:val="0"/>
                <w:w w:val="100"/>
                <w:kern w:val="0"/>
                <w:sz w:val="16"/>
                <w:szCs w:val="16"/>
                <w:lang w:val="en-US"/>
              </w:rPr>
            </w:pPr>
          </w:p>
        </w:tc>
      </w:tr>
      <w:tr w:rsidR="00CC19BA" w:rsidRPr="000C7324" w14:paraId="695972EB" w14:textId="77777777" w:rsidTr="00CC19BA">
        <w:trPr>
          <w:trHeight w:val="540"/>
        </w:trPr>
        <w:tc>
          <w:tcPr>
            <w:tcW w:w="190" w:type="pct"/>
            <w:vMerge/>
            <w:tcBorders>
              <w:top w:val="nil"/>
              <w:left w:val="single" w:sz="8" w:space="0" w:color="auto"/>
              <w:bottom w:val="single" w:sz="8" w:space="0" w:color="000000"/>
              <w:right w:val="single" w:sz="8" w:space="0" w:color="auto"/>
            </w:tcBorders>
            <w:vAlign w:val="center"/>
            <w:hideMark/>
          </w:tcPr>
          <w:p w14:paraId="191DFB3B" w14:textId="77777777" w:rsidR="00CC19BA" w:rsidRPr="000C7324" w:rsidRDefault="00CC19BA" w:rsidP="00CC19BA">
            <w:pPr>
              <w:suppressAutoHyphens w:val="0"/>
              <w:spacing w:line="240" w:lineRule="auto"/>
              <w:rPr>
                <w:rFonts w:eastAsia="Times New Roman"/>
                <w:b/>
                <w:bCs/>
                <w:spacing w:val="0"/>
                <w:w w:val="100"/>
                <w:kern w:val="0"/>
                <w:sz w:val="16"/>
                <w:szCs w:val="16"/>
                <w:lang w:val="en-US"/>
              </w:rPr>
            </w:pPr>
          </w:p>
        </w:tc>
        <w:tc>
          <w:tcPr>
            <w:tcW w:w="660" w:type="pct"/>
            <w:vMerge/>
            <w:tcBorders>
              <w:top w:val="nil"/>
              <w:left w:val="single" w:sz="8" w:space="0" w:color="auto"/>
              <w:bottom w:val="single" w:sz="4" w:space="0" w:color="000000"/>
              <w:right w:val="single" w:sz="8" w:space="0" w:color="auto"/>
            </w:tcBorders>
            <w:vAlign w:val="center"/>
            <w:hideMark/>
          </w:tcPr>
          <w:p w14:paraId="2E3BB916" w14:textId="77777777" w:rsidR="00CC19BA" w:rsidRPr="000C7324" w:rsidRDefault="00CC19BA" w:rsidP="00CC19BA">
            <w:pPr>
              <w:suppressAutoHyphens w:val="0"/>
              <w:spacing w:line="240" w:lineRule="auto"/>
              <w:rPr>
                <w:rFonts w:eastAsia="Times New Roman"/>
                <w:b/>
                <w:bCs/>
                <w:spacing w:val="0"/>
                <w:w w:val="100"/>
                <w:kern w:val="0"/>
                <w:sz w:val="16"/>
                <w:szCs w:val="16"/>
                <w:lang w:val="en-US"/>
              </w:rPr>
            </w:pPr>
          </w:p>
        </w:tc>
        <w:tc>
          <w:tcPr>
            <w:tcW w:w="4026" w:type="pct"/>
            <w:gridSpan w:val="8"/>
            <w:tcBorders>
              <w:top w:val="single" w:sz="4" w:space="0" w:color="auto"/>
              <w:left w:val="nil"/>
              <w:bottom w:val="nil"/>
              <w:right w:val="single" w:sz="8" w:space="0" w:color="000000"/>
            </w:tcBorders>
            <w:shd w:val="clear" w:color="000000" w:fill="E2EFDA"/>
            <w:vAlign w:val="center"/>
            <w:hideMark/>
          </w:tcPr>
          <w:p w14:paraId="443852BD"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fr-FR"/>
              </w:rPr>
            </w:pPr>
            <w:r w:rsidRPr="000C7324">
              <w:rPr>
                <w:rFonts w:eastAsia="Times New Roman"/>
                <w:b/>
                <w:bCs/>
                <w:spacing w:val="0"/>
                <w:w w:val="100"/>
                <w:kern w:val="0"/>
                <w:sz w:val="16"/>
                <w:szCs w:val="16"/>
                <w:lang w:val="fr-FR"/>
              </w:rPr>
              <w:t>Commission #55 - Approbation de principe du code de conduite</w:t>
            </w:r>
          </w:p>
        </w:tc>
        <w:tc>
          <w:tcPr>
            <w:tcW w:w="123" w:type="pct"/>
            <w:tcBorders>
              <w:top w:val="nil"/>
              <w:left w:val="nil"/>
              <w:bottom w:val="nil"/>
              <w:right w:val="nil"/>
            </w:tcBorders>
            <w:shd w:val="clear" w:color="auto" w:fill="auto"/>
            <w:noWrap/>
            <w:vAlign w:val="center"/>
            <w:hideMark/>
          </w:tcPr>
          <w:p w14:paraId="3FCAFD05"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fr-FR"/>
              </w:rPr>
            </w:pPr>
          </w:p>
        </w:tc>
      </w:tr>
      <w:tr w:rsidR="00CC19BA" w:rsidRPr="000C7324" w14:paraId="4148B101" w14:textId="77777777" w:rsidTr="00CC19BA">
        <w:trPr>
          <w:trHeight w:val="540"/>
        </w:trPr>
        <w:tc>
          <w:tcPr>
            <w:tcW w:w="190" w:type="pct"/>
            <w:vMerge/>
            <w:tcBorders>
              <w:top w:val="nil"/>
              <w:left w:val="single" w:sz="8" w:space="0" w:color="auto"/>
              <w:bottom w:val="single" w:sz="8" w:space="0" w:color="000000"/>
              <w:right w:val="single" w:sz="8" w:space="0" w:color="auto"/>
            </w:tcBorders>
            <w:vAlign w:val="center"/>
            <w:hideMark/>
          </w:tcPr>
          <w:p w14:paraId="279A93DD" w14:textId="77777777" w:rsidR="00CC19BA" w:rsidRPr="000C7324" w:rsidRDefault="00CC19BA" w:rsidP="00CC19BA">
            <w:pPr>
              <w:suppressAutoHyphens w:val="0"/>
              <w:spacing w:line="240" w:lineRule="auto"/>
              <w:rPr>
                <w:rFonts w:eastAsia="Times New Roman"/>
                <w:b/>
                <w:bCs/>
                <w:spacing w:val="0"/>
                <w:w w:val="100"/>
                <w:kern w:val="0"/>
                <w:sz w:val="16"/>
                <w:szCs w:val="16"/>
                <w:lang w:val="fr-FR"/>
              </w:rPr>
            </w:pPr>
          </w:p>
        </w:tc>
        <w:tc>
          <w:tcPr>
            <w:tcW w:w="660" w:type="pct"/>
            <w:tcBorders>
              <w:top w:val="nil"/>
              <w:left w:val="nil"/>
              <w:bottom w:val="single" w:sz="4" w:space="0" w:color="auto"/>
              <w:right w:val="single" w:sz="8" w:space="0" w:color="auto"/>
            </w:tcBorders>
            <w:shd w:val="clear" w:color="000000" w:fill="DDEBF7"/>
            <w:noWrap/>
            <w:vAlign w:val="center"/>
            <w:hideMark/>
          </w:tcPr>
          <w:p w14:paraId="70274DBD" w14:textId="3155ABC2"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Groupe de travail #44</w:t>
            </w:r>
          </w:p>
        </w:tc>
        <w:tc>
          <w:tcPr>
            <w:tcW w:w="394" w:type="pct"/>
            <w:tcBorders>
              <w:top w:val="single" w:sz="4" w:space="0" w:color="auto"/>
              <w:left w:val="nil"/>
              <w:bottom w:val="single" w:sz="4" w:space="0" w:color="auto"/>
              <w:right w:val="single" w:sz="4" w:space="0" w:color="auto"/>
            </w:tcBorders>
            <w:shd w:val="clear" w:color="000000" w:fill="DDEBF7"/>
            <w:vAlign w:val="center"/>
            <w:hideMark/>
          </w:tcPr>
          <w:p w14:paraId="2EDE3E4D"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single" w:sz="4" w:space="0" w:color="auto"/>
              <w:left w:val="nil"/>
              <w:bottom w:val="single" w:sz="4" w:space="0" w:color="auto"/>
              <w:right w:val="single" w:sz="4" w:space="0" w:color="auto"/>
            </w:tcBorders>
            <w:shd w:val="clear" w:color="000000" w:fill="DDEBF7"/>
            <w:vAlign w:val="center"/>
            <w:hideMark/>
          </w:tcPr>
          <w:p w14:paraId="1F08E684"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490" w:type="pct"/>
            <w:tcBorders>
              <w:top w:val="single" w:sz="4" w:space="0" w:color="auto"/>
              <w:left w:val="nil"/>
              <w:bottom w:val="single" w:sz="4" w:space="0" w:color="auto"/>
              <w:right w:val="single" w:sz="4" w:space="0" w:color="auto"/>
            </w:tcBorders>
            <w:shd w:val="clear" w:color="000000" w:fill="DDEBF7"/>
            <w:vAlign w:val="center"/>
            <w:hideMark/>
          </w:tcPr>
          <w:p w14:paraId="338027ED"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823" w:type="pct"/>
            <w:tcBorders>
              <w:top w:val="single" w:sz="4" w:space="0" w:color="auto"/>
              <w:left w:val="nil"/>
              <w:bottom w:val="single" w:sz="4" w:space="0" w:color="auto"/>
              <w:right w:val="single" w:sz="4" w:space="0" w:color="auto"/>
            </w:tcBorders>
            <w:shd w:val="clear" w:color="000000" w:fill="DDEBF7"/>
            <w:vAlign w:val="center"/>
            <w:hideMark/>
          </w:tcPr>
          <w:p w14:paraId="56887DFF"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single" w:sz="4" w:space="0" w:color="auto"/>
              <w:left w:val="nil"/>
              <w:bottom w:val="single" w:sz="4" w:space="0" w:color="auto"/>
              <w:right w:val="single" w:sz="4" w:space="0" w:color="auto"/>
            </w:tcBorders>
            <w:shd w:val="clear" w:color="000000" w:fill="DDEBF7"/>
            <w:vAlign w:val="center"/>
            <w:hideMark/>
          </w:tcPr>
          <w:p w14:paraId="4D5683BE"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single" w:sz="4" w:space="0" w:color="auto"/>
              <w:left w:val="nil"/>
              <w:bottom w:val="single" w:sz="4" w:space="0" w:color="auto"/>
              <w:right w:val="single" w:sz="4" w:space="0" w:color="auto"/>
            </w:tcBorders>
            <w:shd w:val="clear" w:color="000000" w:fill="DDEBF7"/>
            <w:vAlign w:val="center"/>
            <w:hideMark/>
          </w:tcPr>
          <w:p w14:paraId="0B08DD47"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xml:space="preserve">Première lecture (3 </w:t>
            </w:r>
            <w:proofErr w:type="spellStart"/>
            <w:r w:rsidRPr="000C7324">
              <w:rPr>
                <w:rFonts w:eastAsia="Times New Roman"/>
                <w:spacing w:val="0"/>
                <w:w w:val="100"/>
                <w:kern w:val="0"/>
                <w:sz w:val="16"/>
                <w:szCs w:val="16"/>
                <w:lang w:val="en-US"/>
              </w:rPr>
              <w:t>jours</w:t>
            </w:r>
            <w:proofErr w:type="spellEnd"/>
            <w:r w:rsidRPr="000C7324">
              <w:rPr>
                <w:rFonts w:eastAsia="Times New Roman"/>
                <w:spacing w:val="0"/>
                <w:w w:val="100"/>
                <w:kern w:val="0"/>
                <w:sz w:val="16"/>
                <w:szCs w:val="16"/>
                <w:lang w:val="en-US"/>
              </w:rPr>
              <w:t>)</w:t>
            </w:r>
          </w:p>
        </w:tc>
        <w:tc>
          <w:tcPr>
            <w:tcW w:w="548" w:type="pct"/>
            <w:tcBorders>
              <w:top w:val="single" w:sz="4" w:space="0" w:color="auto"/>
              <w:left w:val="nil"/>
              <w:bottom w:val="single" w:sz="4" w:space="0" w:color="auto"/>
              <w:right w:val="single" w:sz="4" w:space="0" w:color="auto"/>
            </w:tcBorders>
            <w:shd w:val="clear" w:color="000000" w:fill="DDEBF7"/>
            <w:vAlign w:val="center"/>
            <w:hideMark/>
          </w:tcPr>
          <w:p w14:paraId="6E1DAAAE"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590" w:type="pct"/>
            <w:tcBorders>
              <w:top w:val="single" w:sz="4" w:space="0" w:color="auto"/>
              <w:left w:val="nil"/>
              <w:bottom w:val="single" w:sz="4" w:space="0" w:color="auto"/>
              <w:right w:val="single" w:sz="8" w:space="0" w:color="auto"/>
            </w:tcBorders>
            <w:shd w:val="clear" w:color="000000" w:fill="DDEBF7"/>
            <w:vAlign w:val="center"/>
            <w:hideMark/>
          </w:tcPr>
          <w:p w14:paraId="0329D6C4"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Instructions (1 jour)</w:t>
            </w:r>
          </w:p>
        </w:tc>
        <w:tc>
          <w:tcPr>
            <w:tcW w:w="123" w:type="pct"/>
            <w:tcBorders>
              <w:top w:val="nil"/>
              <w:left w:val="nil"/>
              <w:bottom w:val="nil"/>
              <w:right w:val="nil"/>
            </w:tcBorders>
            <w:shd w:val="clear" w:color="auto" w:fill="auto"/>
            <w:noWrap/>
            <w:vAlign w:val="center"/>
            <w:hideMark/>
          </w:tcPr>
          <w:p w14:paraId="7720D2EC"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p>
        </w:tc>
      </w:tr>
      <w:tr w:rsidR="00CC19BA" w:rsidRPr="000C7324" w14:paraId="021FD554" w14:textId="77777777" w:rsidTr="00CC19BA">
        <w:trPr>
          <w:trHeight w:val="540"/>
        </w:trPr>
        <w:tc>
          <w:tcPr>
            <w:tcW w:w="190" w:type="pct"/>
            <w:vMerge/>
            <w:tcBorders>
              <w:top w:val="nil"/>
              <w:left w:val="single" w:sz="8" w:space="0" w:color="auto"/>
              <w:bottom w:val="single" w:sz="8" w:space="0" w:color="000000"/>
              <w:right w:val="single" w:sz="8" w:space="0" w:color="auto"/>
            </w:tcBorders>
            <w:vAlign w:val="center"/>
            <w:hideMark/>
          </w:tcPr>
          <w:p w14:paraId="1CBB5B4B" w14:textId="77777777" w:rsidR="00CC19BA" w:rsidRPr="000C7324" w:rsidRDefault="00CC19BA" w:rsidP="00CC19BA">
            <w:pPr>
              <w:suppressAutoHyphens w:val="0"/>
              <w:spacing w:line="240" w:lineRule="auto"/>
              <w:rPr>
                <w:rFonts w:eastAsia="Times New Roman"/>
                <w:b/>
                <w:bCs/>
                <w:spacing w:val="0"/>
                <w:w w:val="100"/>
                <w:kern w:val="0"/>
                <w:sz w:val="16"/>
                <w:szCs w:val="16"/>
                <w:lang w:val="en-US"/>
              </w:rPr>
            </w:pPr>
          </w:p>
        </w:tc>
        <w:tc>
          <w:tcPr>
            <w:tcW w:w="660" w:type="pct"/>
            <w:tcBorders>
              <w:top w:val="nil"/>
              <w:left w:val="nil"/>
              <w:bottom w:val="single" w:sz="4" w:space="0" w:color="auto"/>
              <w:right w:val="single" w:sz="8" w:space="0" w:color="auto"/>
            </w:tcBorders>
            <w:shd w:val="clear" w:color="auto" w:fill="auto"/>
            <w:noWrap/>
            <w:vAlign w:val="center"/>
            <w:hideMark/>
          </w:tcPr>
          <w:p w14:paraId="5AA9FD3F"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Inter-Session #44</w:t>
            </w:r>
          </w:p>
        </w:tc>
        <w:tc>
          <w:tcPr>
            <w:tcW w:w="394" w:type="pct"/>
            <w:tcBorders>
              <w:top w:val="nil"/>
              <w:left w:val="nil"/>
              <w:bottom w:val="single" w:sz="4" w:space="0" w:color="auto"/>
              <w:right w:val="single" w:sz="4" w:space="0" w:color="auto"/>
            </w:tcBorders>
            <w:shd w:val="clear" w:color="auto" w:fill="auto"/>
            <w:vAlign w:val="center"/>
            <w:hideMark/>
          </w:tcPr>
          <w:p w14:paraId="46655226"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xml:space="preserve">Groupe de </w:t>
            </w:r>
            <w:proofErr w:type="spellStart"/>
            <w:r w:rsidRPr="000C7324">
              <w:rPr>
                <w:rFonts w:eastAsia="Times New Roman"/>
                <w:spacing w:val="0"/>
                <w:w w:val="100"/>
                <w:kern w:val="0"/>
                <w:sz w:val="16"/>
                <w:szCs w:val="16"/>
                <w:lang w:val="en-US"/>
              </w:rPr>
              <w:t>rédaction</w:t>
            </w:r>
            <w:proofErr w:type="spellEnd"/>
            <w:r w:rsidRPr="000C7324">
              <w:rPr>
                <w:rFonts w:eastAsia="Times New Roman"/>
                <w:spacing w:val="0"/>
                <w:w w:val="100"/>
                <w:kern w:val="0"/>
                <w:sz w:val="16"/>
                <w:szCs w:val="16"/>
                <w:lang w:val="en-US"/>
              </w:rPr>
              <w:t xml:space="preserve"> (2 </w:t>
            </w:r>
            <w:proofErr w:type="spellStart"/>
            <w:r w:rsidRPr="000C7324">
              <w:rPr>
                <w:rFonts w:eastAsia="Times New Roman"/>
                <w:spacing w:val="0"/>
                <w:w w:val="100"/>
                <w:kern w:val="0"/>
                <w:sz w:val="16"/>
                <w:szCs w:val="16"/>
                <w:lang w:val="en-US"/>
              </w:rPr>
              <w:t>jours</w:t>
            </w:r>
            <w:proofErr w:type="spellEnd"/>
            <w:r w:rsidRPr="000C7324">
              <w:rPr>
                <w:rFonts w:eastAsia="Times New Roman"/>
                <w:spacing w:val="0"/>
                <w:w w:val="100"/>
                <w:kern w:val="0"/>
                <w:sz w:val="16"/>
                <w:szCs w:val="16"/>
                <w:lang w:val="en-US"/>
              </w:rPr>
              <w:t>)</w:t>
            </w:r>
          </w:p>
        </w:tc>
        <w:tc>
          <w:tcPr>
            <w:tcW w:w="394" w:type="pct"/>
            <w:tcBorders>
              <w:top w:val="nil"/>
              <w:left w:val="nil"/>
              <w:bottom w:val="single" w:sz="4" w:space="0" w:color="auto"/>
              <w:right w:val="single" w:sz="4" w:space="0" w:color="auto"/>
            </w:tcBorders>
            <w:shd w:val="clear" w:color="auto" w:fill="auto"/>
            <w:vAlign w:val="center"/>
            <w:hideMark/>
          </w:tcPr>
          <w:p w14:paraId="380D43BD"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490" w:type="pct"/>
            <w:tcBorders>
              <w:top w:val="nil"/>
              <w:left w:val="nil"/>
              <w:bottom w:val="single" w:sz="4" w:space="0" w:color="auto"/>
              <w:right w:val="single" w:sz="4" w:space="0" w:color="auto"/>
            </w:tcBorders>
            <w:shd w:val="clear" w:color="auto" w:fill="auto"/>
            <w:vAlign w:val="center"/>
            <w:hideMark/>
          </w:tcPr>
          <w:p w14:paraId="6FEC6B85"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823" w:type="pct"/>
            <w:tcBorders>
              <w:top w:val="nil"/>
              <w:left w:val="nil"/>
              <w:bottom w:val="single" w:sz="4" w:space="0" w:color="auto"/>
              <w:right w:val="single" w:sz="4" w:space="0" w:color="auto"/>
            </w:tcBorders>
            <w:shd w:val="clear" w:color="auto" w:fill="auto"/>
            <w:vAlign w:val="center"/>
            <w:hideMark/>
          </w:tcPr>
          <w:p w14:paraId="5BE5C08E"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xml:space="preserve"> Groupe de </w:t>
            </w:r>
            <w:proofErr w:type="spellStart"/>
            <w:r w:rsidRPr="000C7324">
              <w:rPr>
                <w:rFonts w:eastAsia="Times New Roman"/>
                <w:spacing w:val="0"/>
                <w:w w:val="100"/>
                <w:kern w:val="0"/>
                <w:sz w:val="16"/>
                <w:szCs w:val="16"/>
                <w:lang w:val="en-US"/>
              </w:rPr>
              <w:t>rédaction</w:t>
            </w:r>
            <w:proofErr w:type="spellEnd"/>
            <w:r w:rsidRPr="000C7324">
              <w:rPr>
                <w:rFonts w:eastAsia="Times New Roman"/>
                <w:spacing w:val="0"/>
                <w:w w:val="100"/>
                <w:kern w:val="0"/>
                <w:sz w:val="16"/>
                <w:szCs w:val="16"/>
                <w:lang w:val="en-US"/>
              </w:rPr>
              <w:t xml:space="preserve"> (2 </w:t>
            </w:r>
            <w:proofErr w:type="spellStart"/>
            <w:r w:rsidRPr="000C7324">
              <w:rPr>
                <w:rFonts w:eastAsia="Times New Roman"/>
                <w:spacing w:val="0"/>
                <w:w w:val="100"/>
                <w:kern w:val="0"/>
                <w:sz w:val="16"/>
                <w:szCs w:val="16"/>
                <w:lang w:val="en-US"/>
              </w:rPr>
              <w:t>jours</w:t>
            </w:r>
            <w:proofErr w:type="spellEnd"/>
            <w:r w:rsidRPr="000C7324">
              <w:rPr>
                <w:rFonts w:eastAsia="Times New Roman"/>
                <w:spacing w:val="0"/>
                <w:w w:val="100"/>
                <w:kern w:val="0"/>
                <w:sz w:val="16"/>
                <w:szCs w:val="16"/>
                <w:lang w:val="en-US"/>
              </w:rPr>
              <w:t>)</w:t>
            </w:r>
          </w:p>
        </w:tc>
        <w:tc>
          <w:tcPr>
            <w:tcW w:w="394" w:type="pct"/>
            <w:tcBorders>
              <w:top w:val="nil"/>
              <w:left w:val="nil"/>
              <w:bottom w:val="single" w:sz="4" w:space="0" w:color="auto"/>
              <w:right w:val="single" w:sz="4" w:space="0" w:color="auto"/>
            </w:tcBorders>
            <w:shd w:val="clear" w:color="auto" w:fill="auto"/>
            <w:vAlign w:val="center"/>
            <w:hideMark/>
          </w:tcPr>
          <w:p w14:paraId="1818EF84"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nil"/>
              <w:left w:val="nil"/>
              <w:bottom w:val="single" w:sz="4" w:space="0" w:color="auto"/>
              <w:right w:val="single" w:sz="4" w:space="0" w:color="auto"/>
            </w:tcBorders>
            <w:shd w:val="clear" w:color="auto" w:fill="auto"/>
            <w:vAlign w:val="center"/>
            <w:hideMark/>
          </w:tcPr>
          <w:p w14:paraId="0FA94BF6"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548" w:type="pct"/>
            <w:tcBorders>
              <w:top w:val="nil"/>
              <w:left w:val="nil"/>
              <w:bottom w:val="single" w:sz="4" w:space="0" w:color="auto"/>
              <w:right w:val="single" w:sz="4" w:space="0" w:color="auto"/>
            </w:tcBorders>
            <w:shd w:val="clear" w:color="auto" w:fill="auto"/>
            <w:vAlign w:val="center"/>
            <w:hideMark/>
          </w:tcPr>
          <w:p w14:paraId="6CD3C7E6"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xml:space="preserve">Groupe de </w:t>
            </w:r>
            <w:proofErr w:type="spellStart"/>
            <w:r w:rsidRPr="000C7324">
              <w:rPr>
                <w:rFonts w:eastAsia="Times New Roman"/>
                <w:spacing w:val="0"/>
                <w:w w:val="100"/>
                <w:kern w:val="0"/>
                <w:sz w:val="16"/>
                <w:szCs w:val="16"/>
                <w:lang w:val="en-US"/>
              </w:rPr>
              <w:t>rédaction</w:t>
            </w:r>
            <w:proofErr w:type="spellEnd"/>
            <w:r w:rsidRPr="000C7324">
              <w:rPr>
                <w:rFonts w:eastAsia="Times New Roman"/>
                <w:spacing w:val="0"/>
                <w:w w:val="100"/>
                <w:kern w:val="0"/>
                <w:sz w:val="16"/>
                <w:szCs w:val="16"/>
                <w:lang w:val="en-US"/>
              </w:rPr>
              <w:t xml:space="preserve"> (2 </w:t>
            </w:r>
            <w:proofErr w:type="spellStart"/>
            <w:r w:rsidRPr="000C7324">
              <w:rPr>
                <w:rFonts w:eastAsia="Times New Roman"/>
                <w:spacing w:val="0"/>
                <w:w w:val="100"/>
                <w:kern w:val="0"/>
                <w:sz w:val="16"/>
                <w:szCs w:val="16"/>
                <w:lang w:val="en-US"/>
              </w:rPr>
              <w:t>jours</w:t>
            </w:r>
            <w:proofErr w:type="spellEnd"/>
            <w:r w:rsidRPr="000C7324">
              <w:rPr>
                <w:rFonts w:eastAsia="Times New Roman"/>
                <w:spacing w:val="0"/>
                <w:w w:val="100"/>
                <w:kern w:val="0"/>
                <w:sz w:val="16"/>
                <w:szCs w:val="16"/>
                <w:lang w:val="en-US"/>
              </w:rPr>
              <w:t>)</w:t>
            </w:r>
          </w:p>
        </w:tc>
        <w:tc>
          <w:tcPr>
            <w:tcW w:w="590" w:type="pct"/>
            <w:tcBorders>
              <w:top w:val="nil"/>
              <w:left w:val="nil"/>
              <w:bottom w:val="single" w:sz="4" w:space="0" w:color="auto"/>
              <w:right w:val="single" w:sz="8" w:space="0" w:color="auto"/>
            </w:tcBorders>
            <w:shd w:val="clear" w:color="auto" w:fill="auto"/>
            <w:vAlign w:val="center"/>
            <w:hideMark/>
          </w:tcPr>
          <w:p w14:paraId="13A8B0DA"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123" w:type="pct"/>
            <w:tcBorders>
              <w:top w:val="nil"/>
              <w:left w:val="nil"/>
              <w:bottom w:val="nil"/>
              <w:right w:val="nil"/>
            </w:tcBorders>
            <w:shd w:val="clear" w:color="auto" w:fill="auto"/>
            <w:noWrap/>
            <w:vAlign w:val="center"/>
            <w:hideMark/>
          </w:tcPr>
          <w:p w14:paraId="49955D0F"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p>
        </w:tc>
      </w:tr>
      <w:tr w:rsidR="00CC19BA" w:rsidRPr="000C7324" w14:paraId="35082EE5" w14:textId="77777777" w:rsidTr="00CC19BA">
        <w:trPr>
          <w:trHeight w:val="540"/>
        </w:trPr>
        <w:tc>
          <w:tcPr>
            <w:tcW w:w="190" w:type="pct"/>
            <w:vMerge/>
            <w:tcBorders>
              <w:top w:val="nil"/>
              <w:left w:val="single" w:sz="8" w:space="0" w:color="auto"/>
              <w:bottom w:val="single" w:sz="8" w:space="0" w:color="000000"/>
              <w:right w:val="single" w:sz="8" w:space="0" w:color="auto"/>
            </w:tcBorders>
            <w:vAlign w:val="center"/>
            <w:hideMark/>
          </w:tcPr>
          <w:p w14:paraId="1A47B8EE" w14:textId="77777777" w:rsidR="00CC19BA" w:rsidRPr="000C7324" w:rsidRDefault="00CC19BA" w:rsidP="00CC19BA">
            <w:pPr>
              <w:suppressAutoHyphens w:val="0"/>
              <w:spacing w:line="240" w:lineRule="auto"/>
              <w:rPr>
                <w:rFonts w:eastAsia="Times New Roman"/>
                <w:b/>
                <w:bCs/>
                <w:spacing w:val="0"/>
                <w:w w:val="100"/>
                <w:kern w:val="0"/>
                <w:sz w:val="16"/>
                <w:szCs w:val="16"/>
                <w:lang w:val="en-US"/>
              </w:rPr>
            </w:pPr>
          </w:p>
        </w:tc>
        <w:tc>
          <w:tcPr>
            <w:tcW w:w="660" w:type="pct"/>
            <w:tcBorders>
              <w:top w:val="nil"/>
              <w:left w:val="nil"/>
              <w:bottom w:val="single" w:sz="4" w:space="0" w:color="auto"/>
              <w:right w:val="single" w:sz="8" w:space="0" w:color="auto"/>
            </w:tcBorders>
            <w:shd w:val="clear" w:color="000000" w:fill="DDEBF7"/>
            <w:noWrap/>
            <w:vAlign w:val="center"/>
            <w:hideMark/>
          </w:tcPr>
          <w:p w14:paraId="4C8E4BE4" w14:textId="406E3029"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Groupe de travail #45</w:t>
            </w:r>
          </w:p>
        </w:tc>
        <w:tc>
          <w:tcPr>
            <w:tcW w:w="394" w:type="pct"/>
            <w:tcBorders>
              <w:top w:val="nil"/>
              <w:left w:val="nil"/>
              <w:bottom w:val="single" w:sz="4" w:space="0" w:color="auto"/>
              <w:right w:val="single" w:sz="4" w:space="0" w:color="auto"/>
            </w:tcBorders>
            <w:shd w:val="clear" w:color="000000" w:fill="DDEBF7"/>
            <w:vAlign w:val="center"/>
            <w:hideMark/>
          </w:tcPr>
          <w:p w14:paraId="0A025AF9"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xml:space="preserve">Première lecture (2 </w:t>
            </w:r>
            <w:proofErr w:type="spellStart"/>
            <w:r w:rsidRPr="000C7324">
              <w:rPr>
                <w:rFonts w:eastAsia="Times New Roman"/>
                <w:spacing w:val="0"/>
                <w:w w:val="100"/>
                <w:kern w:val="0"/>
                <w:sz w:val="16"/>
                <w:szCs w:val="16"/>
                <w:lang w:val="en-US"/>
              </w:rPr>
              <w:t>jours</w:t>
            </w:r>
            <w:proofErr w:type="spellEnd"/>
            <w:r w:rsidRPr="000C7324">
              <w:rPr>
                <w:rFonts w:eastAsia="Times New Roman"/>
                <w:spacing w:val="0"/>
                <w:w w:val="100"/>
                <w:kern w:val="0"/>
                <w:sz w:val="16"/>
                <w:szCs w:val="16"/>
                <w:lang w:val="en-US"/>
              </w:rPr>
              <w:t>)</w:t>
            </w:r>
          </w:p>
        </w:tc>
        <w:tc>
          <w:tcPr>
            <w:tcW w:w="394" w:type="pct"/>
            <w:tcBorders>
              <w:top w:val="nil"/>
              <w:left w:val="nil"/>
              <w:bottom w:val="single" w:sz="4" w:space="0" w:color="auto"/>
              <w:right w:val="single" w:sz="4" w:space="0" w:color="auto"/>
            </w:tcBorders>
            <w:shd w:val="clear" w:color="000000" w:fill="DDEBF7"/>
            <w:vAlign w:val="center"/>
            <w:hideMark/>
          </w:tcPr>
          <w:p w14:paraId="1768C093"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490" w:type="pct"/>
            <w:tcBorders>
              <w:top w:val="nil"/>
              <w:left w:val="nil"/>
              <w:bottom w:val="single" w:sz="4" w:space="0" w:color="auto"/>
              <w:right w:val="single" w:sz="4" w:space="0" w:color="auto"/>
            </w:tcBorders>
            <w:shd w:val="clear" w:color="000000" w:fill="DDEBF7"/>
            <w:vAlign w:val="center"/>
            <w:hideMark/>
          </w:tcPr>
          <w:p w14:paraId="28B09122"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823" w:type="pct"/>
            <w:tcBorders>
              <w:top w:val="nil"/>
              <w:left w:val="nil"/>
              <w:bottom w:val="single" w:sz="4" w:space="0" w:color="auto"/>
              <w:right w:val="single" w:sz="4" w:space="0" w:color="auto"/>
            </w:tcBorders>
            <w:shd w:val="clear" w:color="000000" w:fill="DDEBF7"/>
            <w:vAlign w:val="center"/>
            <w:hideMark/>
          </w:tcPr>
          <w:p w14:paraId="18BC9501"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xml:space="preserve">Première lecture (reprise) (2 </w:t>
            </w:r>
            <w:proofErr w:type="spellStart"/>
            <w:r w:rsidRPr="000C7324">
              <w:rPr>
                <w:rFonts w:eastAsia="Times New Roman"/>
                <w:spacing w:val="0"/>
                <w:w w:val="100"/>
                <w:kern w:val="0"/>
                <w:sz w:val="16"/>
                <w:szCs w:val="16"/>
                <w:lang w:val="en-US"/>
              </w:rPr>
              <w:t>jours</w:t>
            </w:r>
            <w:proofErr w:type="spellEnd"/>
            <w:r w:rsidRPr="000C7324">
              <w:rPr>
                <w:rFonts w:eastAsia="Times New Roman"/>
                <w:spacing w:val="0"/>
                <w:w w:val="100"/>
                <w:kern w:val="0"/>
                <w:sz w:val="16"/>
                <w:szCs w:val="16"/>
                <w:lang w:val="en-US"/>
              </w:rPr>
              <w:t>)</w:t>
            </w:r>
          </w:p>
        </w:tc>
        <w:tc>
          <w:tcPr>
            <w:tcW w:w="394" w:type="pct"/>
            <w:tcBorders>
              <w:top w:val="nil"/>
              <w:left w:val="nil"/>
              <w:bottom w:val="single" w:sz="4" w:space="0" w:color="auto"/>
              <w:right w:val="single" w:sz="4" w:space="0" w:color="auto"/>
            </w:tcBorders>
            <w:shd w:val="clear" w:color="000000" w:fill="DDEBF7"/>
            <w:vAlign w:val="center"/>
            <w:hideMark/>
          </w:tcPr>
          <w:p w14:paraId="15ACFE10"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nil"/>
              <w:left w:val="nil"/>
              <w:bottom w:val="single" w:sz="4" w:space="0" w:color="auto"/>
              <w:right w:val="single" w:sz="4" w:space="0" w:color="auto"/>
            </w:tcBorders>
            <w:shd w:val="clear" w:color="000000" w:fill="DDEBF7"/>
            <w:vAlign w:val="center"/>
            <w:hideMark/>
          </w:tcPr>
          <w:p w14:paraId="289B7638"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548" w:type="pct"/>
            <w:tcBorders>
              <w:top w:val="nil"/>
              <w:left w:val="nil"/>
              <w:bottom w:val="single" w:sz="4" w:space="0" w:color="auto"/>
              <w:right w:val="single" w:sz="4" w:space="0" w:color="auto"/>
            </w:tcBorders>
            <w:shd w:val="clear" w:color="000000" w:fill="DDEBF7"/>
            <w:vAlign w:val="center"/>
            <w:hideMark/>
          </w:tcPr>
          <w:p w14:paraId="6F1303FA"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590" w:type="pct"/>
            <w:tcBorders>
              <w:top w:val="nil"/>
              <w:left w:val="nil"/>
              <w:bottom w:val="single" w:sz="4" w:space="0" w:color="auto"/>
              <w:right w:val="single" w:sz="8" w:space="0" w:color="auto"/>
            </w:tcBorders>
            <w:shd w:val="clear" w:color="000000" w:fill="DDEBF7"/>
            <w:vAlign w:val="center"/>
            <w:hideMark/>
          </w:tcPr>
          <w:p w14:paraId="478C9285"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123" w:type="pct"/>
            <w:tcBorders>
              <w:top w:val="nil"/>
              <w:left w:val="nil"/>
              <w:bottom w:val="nil"/>
              <w:right w:val="nil"/>
            </w:tcBorders>
            <w:shd w:val="clear" w:color="auto" w:fill="auto"/>
            <w:noWrap/>
            <w:vAlign w:val="center"/>
            <w:hideMark/>
          </w:tcPr>
          <w:p w14:paraId="76DDC62A"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p>
        </w:tc>
      </w:tr>
      <w:tr w:rsidR="00CC19BA" w:rsidRPr="000C7324" w14:paraId="74E1FB7F" w14:textId="77777777" w:rsidTr="00CC19BA">
        <w:trPr>
          <w:trHeight w:val="540"/>
        </w:trPr>
        <w:tc>
          <w:tcPr>
            <w:tcW w:w="190" w:type="pct"/>
            <w:vMerge/>
            <w:tcBorders>
              <w:top w:val="nil"/>
              <w:left w:val="single" w:sz="8" w:space="0" w:color="auto"/>
              <w:bottom w:val="single" w:sz="8" w:space="0" w:color="000000"/>
              <w:right w:val="single" w:sz="8" w:space="0" w:color="auto"/>
            </w:tcBorders>
            <w:vAlign w:val="center"/>
            <w:hideMark/>
          </w:tcPr>
          <w:p w14:paraId="15FBE7ED" w14:textId="77777777" w:rsidR="00CC19BA" w:rsidRPr="000C7324" w:rsidRDefault="00CC19BA" w:rsidP="00CC19BA">
            <w:pPr>
              <w:suppressAutoHyphens w:val="0"/>
              <w:spacing w:line="240" w:lineRule="auto"/>
              <w:rPr>
                <w:rFonts w:eastAsia="Times New Roman"/>
                <w:b/>
                <w:bCs/>
                <w:spacing w:val="0"/>
                <w:w w:val="100"/>
                <w:kern w:val="0"/>
                <w:sz w:val="16"/>
                <w:szCs w:val="16"/>
                <w:lang w:val="en-US"/>
              </w:rPr>
            </w:pPr>
          </w:p>
        </w:tc>
        <w:tc>
          <w:tcPr>
            <w:tcW w:w="660" w:type="pct"/>
            <w:tcBorders>
              <w:top w:val="nil"/>
              <w:left w:val="nil"/>
              <w:bottom w:val="single" w:sz="8" w:space="0" w:color="auto"/>
              <w:right w:val="single" w:sz="8" w:space="0" w:color="auto"/>
            </w:tcBorders>
            <w:shd w:val="clear" w:color="auto" w:fill="auto"/>
            <w:noWrap/>
            <w:vAlign w:val="center"/>
            <w:hideMark/>
          </w:tcPr>
          <w:p w14:paraId="7BFD35AD"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Inter-Session #45</w:t>
            </w:r>
          </w:p>
        </w:tc>
        <w:tc>
          <w:tcPr>
            <w:tcW w:w="394" w:type="pct"/>
            <w:tcBorders>
              <w:top w:val="nil"/>
              <w:left w:val="nil"/>
              <w:bottom w:val="single" w:sz="8" w:space="0" w:color="auto"/>
              <w:right w:val="single" w:sz="4" w:space="0" w:color="auto"/>
            </w:tcBorders>
            <w:shd w:val="clear" w:color="auto" w:fill="auto"/>
            <w:vAlign w:val="center"/>
            <w:hideMark/>
          </w:tcPr>
          <w:p w14:paraId="3C013219"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xml:space="preserve">Groupe de </w:t>
            </w:r>
            <w:proofErr w:type="spellStart"/>
            <w:r w:rsidRPr="000C7324">
              <w:rPr>
                <w:rFonts w:eastAsia="Times New Roman"/>
                <w:spacing w:val="0"/>
                <w:w w:val="100"/>
                <w:kern w:val="0"/>
                <w:sz w:val="16"/>
                <w:szCs w:val="16"/>
                <w:lang w:val="en-US"/>
              </w:rPr>
              <w:t>rédaction</w:t>
            </w:r>
            <w:proofErr w:type="spellEnd"/>
            <w:r w:rsidRPr="000C7324">
              <w:rPr>
                <w:rFonts w:eastAsia="Times New Roman"/>
                <w:spacing w:val="0"/>
                <w:w w:val="100"/>
                <w:kern w:val="0"/>
                <w:sz w:val="16"/>
                <w:szCs w:val="16"/>
                <w:lang w:val="en-US"/>
              </w:rPr>
              <w:t xml:space="preserve"> (2 </w:t>
            </w:r>
            <w:proofErr w:type="spellStart"/>
            <w:r w:rsidRPr="000C7324">
              <w:rPr>
                <w:rFonts w:eastAsia="Times New Roman"/>
                <w:spacing w:val="0"/>
                <w:w w:val="100"/>
                <w:kern w:val="0"/>
                <w:sz w:val="16"/>
                <w:szCs w:val="16"/>
                <w:lang w:val="en-US"/>
              </w:rPr>
              <w:t>jours</w:t>
            </w:r>
            <w:proofErr w:type="spellEnd"/>
            <w:r w:rsidRPr="000C7324">
              <w:rPr>
                <w:rFonts w:eastAsia="Times New Roman"/>
                <w:spacing w:val="0"/>
                <w:w w:val="100"/>
                <w:kern w:val="0"/>
                <w:sz w:val="16"/>
                <w:szCs w:val="16"/>
                <w:lang w:val="en-US"/>
              </w:rPr>
              <w:t>)</w:t>
            </w:r>
          </w:p>
        </w:tc>
        <w:tc>
          <w:tcPr>
            <w:tcW w:w="394" w:type="pct"/>
            <w:tcBorders>
              <w:top w:val="nil"/>
              <w:left w:val="nil"/>
              <w:bottom w:val="single" w:sz="8" w:space="0" w:color="auto"/>
              <w:right w:val="single" w:sz="4" w:space="0" w:color="auto"/>
            </w:tcBorders>
            <w:shd w:val="clear" w:color="auto" w:fill="auto"/>
            <w:vAlign w:val="center"/>
            <w:hideMark/>
          </w:tcPr>
          <w:p w14:paraId="14EBB37D"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proofErr w:type="spellStart"/>
            <w:r w:rsidRPr="000C7324">
              <w:rPr>
                <w:rFonts w:eastAsia="Times New Roman"/>
                <w:spacing w:val="0"/>
                <w:w w:val="100"/>
                <w:kern w:val="0"/>
                <w:sz w:val="16"/>
                <w:szCs w:val="16"/>
                <w:lang w:val="en-US"/>
              </w:rPr>
              <w:t>Autres</w:t>
            </w:r>
            <w:proofErr w:type="spellEnd"/>
            <w:r w:rsidRPr="000C7324">
              <w:rPr>
                <w:rFonts w:eastAsia="Times New Roman"/>
                <w:spacing w:val="0"/>
                <w:w w:val="100"/>
                <w:kern w:val="0"/>
                <w:sz w:val="16"/>
                <w:szCs w:val="16"/>
                <w:lang w:val="en-US"/>
              </w:rPr>
              <w:t xml:space="preserve"> </w:t>
            </w:r>
            <w:proofErr w:type="spellStart"/>
            <w:r w:rsidRPr="000C7324">
              <w:rPr>
                <w:rFonts w:eastAsia="Times New Roman"/>
                <w:spacing w:val="0"/>
                <w:w w:val="100"/>
                <w:kern w:val="0"/>
                <w:sz w:val="16"/>
                <w:szCs w:val="16"/>
                <w:lang w:val="en-US"/>
              </w:rPr>
              <w:t>réunions</w:t>
            </w:r>
            <w:proofErr w:type="spellEnd"/>
            <w:r w:rsidRPr="000C7324">
              <w:rPr>
                <w:rFonts w:eastAsia="Times New Roman"/>
                <w:spacing w:val="0"/>
                <w:w w:val="100"/>
                <w:kern w:val="0"/>
                <w:sz w:val="16"/>
                <w:szCs w:val="16"/>
                <w:lang w:val="en-US"/>
              </w:rPr>
              <w:t xml:space="preserve"> (1 jour)</w:t>
            </w:r>
          </w:p>
        </w:tc>
        <w:tc>
          <w:tcPr>
            <w:tcW w:w="490" w:type="pct"/>
            <w:tcBorders>
              <w:top w:val="nil"/>
              <w:left w:val="nil"/>
              <w:bottom w:val="single" w:sz="8" w:space="0" w:color="auto"/>
              <w:right w:val="single" w:sz="4" w:space="0" w:color="auto"/>
            </w:tcBorders>
            <w:shd w:val="clear" w:color="auto" w:fill="auto"/>
            <w:vAlign w:val="center"/>
            <w:hideMark/>
          </w:tcPr>
          <w:p w14:paraId="3151840C"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823" w:type="pct"/>
            <w:tcBorders>
              <w:top w:val="nil"/>
              <w:left w:val="nil"/>
              <w:bottom w:val="single" w:sz="8" w:space="0" w:color="auto"/>
              <w:right w:val="single" w:sz="4" w:space="0" w:color="auto"/>
            </w:tcBorders>
            <w:shd w:val="clear" w:color="auto" w:fill="auto"/>
            <w:vAlign w:val="center"/>
            <w:hideMark/>
          </w:tcPr>
          <w:p w14:paraId="1F439EB2"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xml:space="preserve">Groupe de </w:t>
            </w:r>
            <w:proofErr w:type="spellStart"/>
            <w:r w:rsidRPr="000C7324">
              <w:rPr>
                <w:rFonts w:eastAsia="Times New Roman"/>
                <w:spacing w:val="0"/>
                <w:w w:val="100"/>
                <w:kern w:val="0"/>
                <w:sz w:val="16"/>
                <w:szCs w:val="16"/>
                <w:lang w:val="en-US"/>
              </w:rPr>
              <w:t>rédaction</w:t>
            </w:r>
            <w:proofErr w:type="spellEnd"/>
            <w:r w:rsidRPr="000C7324">
              <w:rPr>
                <w:rFonts w:eastAsia="Times New Roman"/>
                <w:spacing w:val="0"/>
                <w:w w:val="100"/>
                <w:kern w:val="0"/>
                <w:sz w:val="16"/>
                <w:szCs w:val="16"/>
                <w:lang w:val="en-US"/>
              </w:rPr>
              <w:t xml:space="preserve"> (2 </w:t>
            </w:r>
            <w:proofErr w:type="spellStart"/>
            <w:r w:rsidRPr="000C7324">
              <w:rPr>
                <w:rFonts w:eastAsia="Times New Roman"/>
                <w:spacing w:val="0"/>
                <w:w w:val="100"/>
                <w:kern w:val="0"/>
                <w:sz w:val="16"/>
                <w:szCs w:val="16"/>
                <w:lang w:val="en-US"/>
              </w:rPr>
              <w:t>jours</w:t>
            </w:r>
            <w:proofErr w:type="spellEnd"/>
            <w:r w:rsidRPr="000C7324">
              <w:rPr>
                <w:rFonts w:eastAsia="Times New Roman"/>
                <w:spacing w:val="0"/>
                <w:w w:val="100"/>
                <w:kern w:val="0"/>
                <w:sz w:val="16"/>
                <w:szCs w:val="16"/>
                <w:lang w:val="en-US"/>
              </w:rPr>
              <w:t>)</w:t>
            </w:r>
          </w:p>
        </w:tc>
        <w:tc>
          <w:tcPr>
            <w:tcW w:w="394" w:type="pct"/>
            <w:tcBorders>
              <w:top w:val="nil"/>
              <w:left w:val="nil"/>
              <w:bottom w:val="single" w:sz="8" w:space="0" w:color="auto"/>
              <w:right w:val="single" w:sz="4" w:space="0" w:color="auto"/>
            </w:tcBorders>
            <w:shd w:val="clear" w:color="auto" w:fill="auto"/>
            <w:vAlign w:val="center"/>
            <w:hideMark/>
          </w:tcPr>
          <w:p w14:paraId="002BE072"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nil"/>
              <w:left w:val="nil"/>
              <w:bottom w:val="single" w:sz="8" w:space="0" w:color="auto"/>
              <w:right w:val="single" w:sz="4" w:space="0" w:color="auto"/>
            </w:tcBorders>
            <w:shd w:val="clear" w:color="auto" w:fill="auto"/>
            <w:vAlign w:val="center"/>
            <w:hideMark/>
          </w:tcPr>
          <w:p w14:paraId="2E4E175C"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xml:space="preserve">Groupe de </w:t>
            </w:r>
            <w:proofErr w:type="spellStart"/>
            <w:r w:rsidRPr="000C7324">
              <w:rPr>
                <w:rFonts w:eastAsia="Times New Roman"/>
                <w:spacing w:val="0"/>
                <w:w w:val="100"/>
                <w:kern w:val="0"/>
                <w:sz w:val="16"/>
                <w:szCs w:val="16"/>
                <w:lang w:val="en-US"/>
              </w:rPr>
              <w:t>rédaction</w:t>
            </w:r>
            <w:proofErr w:type="spellEnd"/>
            <w:r w:rsidRPr="000C7324">
              <w:rPr>
                <w:rFonts w:eastAsia="Times New Roman"/>
                <w:spacing w:val="0"/>
                <w:w w:val="100"/>
                <w:kern w:val="0"/>
                <w:sz w:val="16"/>
                <w:szCs w:val="16"/>
                <w:lang w:val="en-US"/>
              </w:rPr>
              <w:t xml:space="preserve"> (2 </w:t>
            </w:r>
            <w:proofErr w:type="spellStart"/>
            <w:r w:rsidRPr="000C7324">
              <w:rPr>
                <w:rFonts w:eastAsia="Times New Roman"/>
                <w:spacing w:val="0"/>
                <w:w w:val="100"/>
                <w:kern w:val="0"/>
                <w:sz w:val="16"/>
                <w:szCs w:val="16"/>
                <w:lang w:val="en-US"/>
              </w:rPr>
              <w:t>jours</w:t>
            </w:r>
            <w:proofErr w:type="spellEnd"/>
            <w:r w:rsidRPr="000C7324">
              <w:rPr>
                <w:rFonts w:eastAsia="Times New Roman"/>
                <w:spacing w:val="0"/>
                <w:w w:val="100"/>
                <w:kern w:val="0"/>
                <w:sz w:val="16"/>
                <w:szCs w:val="16"/>
                <w:lang w:val="en-US"/>
              </w:rPr>
              <w:t>)</w:t>
            </w:r>
          </w:p>
        </w:tc>
        <w:tc>
          <w:tcPr>
            <w:tcW w:w="548" w:type="pct"/>
            <w:tcBorders>
              <w:top w:val="nil"/>
              <w:left w:val="nil"/>
              <w:bottom w:val="single" w:sz="8" w:space="0" w:color="auto"/>
              <w:right w:val="single" w:sz="4" w:space="0" w:color="auto"/>
            </w:tcBorders>
            <w:shd w:val="clear" w:color="auto" w:fill="auto"/>
            <w:vAlign w:val="center"/>
            <w:hideMark/>
          </w:tcPr>
          <w:p w14:paraId="04E2E2C5"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590" w:type="pct"/>
            <w:tcBorders>
              <w:top w:val="nil"/>
              <w:left w:val="nil"/>
              <w:bottom w:val="single" w:sz="8" w:space="0" w:color="auto"/>
              <w:right w:val="single" w:sz="8" w:space="0" w:color="auto"/>
            </w:tcBorders>
            <w:shd w:val="clear" w:color="auto" w:fill="auto"/>
            <w:vAlign w:val="center"/>
            <w:hideMark/>
          </w:tcPr>
          <w:p w14:paraId="0F223FDD"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xml:space="preserve">Réunion inter-session (2 </w:t>
            </w:r>
            <w:proofErr w:type="spellStart"/>
            <w:r w:rsidRPr="000C7324">
              <w:rPr>
                <w:rFonts w:eastAsia="Times New Roman"/>
                <w:spacing w:val="0"/>
                <w:w w:val="100"/>
                <w:kern w:val="0"/>
                <w:sz w:val="16"/>
                <w:szCs w:val="16"/>
                <w:lang w:val="en-US"/>
              </w:rPr>
              <w:t>jours</w:t>
            </w:r>
            <w:proofErr w:type="spellEnd"/>
            <w:r w:rsidRPr="000C7324">
              <w:rPr>
                <w:rFonts w:eastAsia="Times New Roman"/>
                <w:spacing w:val="0"/>
                <w:w w:val="100"/>
                <w:kern w:val="0"/>
                <w:sz w:val="16"/>
                <w:szCs w:val="16"/>
                <w:lang w:val="en-US"/>
              </w:rPr>
              <w:t>)</w:t>
            </w:r>
          </w:p>
        </w:tc>
        <w:tc>
          <w:tcPr>
            <w:tcW w:w="123" w:type="pct"/>
            <w:tcBorders>
              <w:top w:val="nil"/>
              <w:left w:val="nil"/>
              <w:bottom w:val="nil"/>
              <w:right w:val="nil"/>
            </w:tcBorders>
            <w:shd w:val="clear" w:color="auto" w:fill="auto"/>
            <w:noWrap/>
            <w:vAlign w:val="center"/>
            <w:hideMark/>
          </w:tcPr>
          <w:p w14:paraId="2FF8BFC7"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p>
        </w:tc>
      </w:tr>
      <w:tr w:rsidR="00CC19BA" w:rsidRPr="000C7324" w14:paraId="1EC2D9E5" w14:textId="77777777" w:rsidTr="00CC19BA">
        <w:trPr>
          <w:trHeight w:val="540"/>
        </w:trPr>
        <w:tc>
          <w:tcPr>
            <w:tcW w:w="19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C7A3EE9"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2023</w:t>
            </w:r>
          </w:p>
        </w:tc>
        <w:tc>
          <w:tcPr>
            <w:tcW w:w="660" w:type="pct"/>
            <w:tcBorders>
              <w:top w:val="nil"/>
              <w:left w:val="nil"/>
              <w:bottom w:val="single" w:sz="4" w:space="0" w:color="auto"/>
              <w:right w:val="single" w:sz="8" w:space="0" w:color="auto"/>
            </w:tcBorders>
            <w:shd w:val="clear" w:color="000000" w:fill="DDEBF7"/>
            <w:noWrap/>
            <w:vAlign w:val="center"/>
            <w:hideMark/>
          </w:tcPr>
          <w:p w14:paraId="18CC2938"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Groupe de travail #46</w:t>
            </w:r>
          </w:p>
        </w:tc>
        <w:tc>
          <w:tcPr>
            <w:tcW w:w="394" w:type="pct"/>
            <w:tcBorders>
              <w:top w:val="single" w:sz="4" w:space="0" w:color="auto"/>
              <w:left w:val="nil"/>
              <w:bottom w:val="single" w:sz="4" w:space="0" w:color="auto"/>
              <w:right w:val="single" w:sz="4" w:space="0" w:color="auto"/>
            </w:tcBorders>
            <w:shd w:val="clear" w:color="000000" w:fill="DDEBF7"/>
            <w:vAlign w:val="center"/>
            <w:hideMark/>
          </w:tcPr>
          <w:p w14:paraId="6B560223"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proofErr w:type="spellStart"/>
            <w:r w:rsidRPr="000C7324">
              <w:rPr>
                <w:rFonts w:eastAsia="Times New Roman"/>
                <w:spacing w:val="0"/>
                <w:w w:val="100"/>
                <w:kern w:val="0"/>
                <w:sz w:val="16"/>
                <w:szCs w:val="16"/>
                <w:lang w:val="en-US"/>
              </w:rPr>
              <w:t>Seconde</w:t>
            </w:r>
            <w:proofErr w:type="spellEnd"/>
            <w:r w:rsidRPr="000C7324">
              <w:rPr>
                <w:rFonts w:eastAsia="Times New Roman"/>
                <w:spacing w:val="0"/>
                <w:w w:val="100"/>
                <w:kern w:val="0"/>
                <w:sz w:val="16"/>
                <w:szCs w:val="16"/>
                <w:lang w:val="en-US"/>
              </w:rPr>
              <w:t xml:space="preserve"> lecture (2 </w:t>
            </w:r>
            <w:proofErr w:type="spellStart"/>
            <w:r w:rsidRPr="000C7324">
              <w:rPr>
                <w:rFonts w:eastAsia="Times New Roman"/>
                <w:spacing w:val="0"/>
                <w:w w:val="100"/>
                <w:kern w:val="0"/>
                <w:sz w:val="16"/>
                <w:szCs w:val="16"/>
                <w:lang w:val="en-US"/>
              </w:rPr>
              <w:t>jours</w:t>
            </w:r>
            <w:proofErr w:type="spellEnd"/>
            <w:r w:rsidRPr="000C7324">
              <w:rPr>
                <w:rFonts w:eastAsia="Times New Roman"/>
                <w:spacing w:val="0"/>
                <w:w w:val="100"/>
                <w:kern w:val="0"/>
                <w:sz w:val="16"/>
                <w:szCs w:val="16"/>
                <w:lang w:val="en-US"/>
              </w:rPr>
              <w:t>)</w:t>
            </w:r>
          </w:p>
        </w:tc>
        <w:tc>
          <w:tcPr>
            <w:tcW w:w="394" w:type="pct"/>
            <w:tcBorders>
              <w:top w:val="nil"/>
              <w:left w:val="nil"/>
              <w:bottom w:val="single" w:sz="4" w:space="0" w:color="auto"/>
              <w:right w:val="single" w:sz="4" w:space="0" w:color="auto"/>
            </w:tcBorders>
            <w:shd w:val="clear" w:color="000000" w:fill="DDEBF7"/>
            <w:vAlign w:val="center"/>
            <w:hideMark/>
          </w:tcPr>
          <w:p w14:paraId="5D9CECC7"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490" w:type="pct"/>
            <w:tcBorders>
              <w:top w:val="single" w:sz="4" w:space="0" w:color="auto"/>
              <w:left w:val="nil"/>
              <w:bottom w:val="single" w:sz="4" w:space="0" w:color="auto"/>
              <w:right w:val="single" w:sz="4" w:space="0" w:color="auto"/>
            </w:tcBorders>
            <w:shd w:val="clear" w:color="000000" w:fill="DDEBF7"/>
            <w:vAlign w:val="center"/>
            <w:hideMark/>
          </w:tcPr>
          <w:p w14:paraId="68347611"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823" w:type="pct"/>
            <w:tcBorders>
              <w:top w:val="single" w:sz="8" w:space="0" w:color="auto"/>
              <w:left w:val="nil"/>
              <w:bottom w:val="single" w:sz="4" w:space="0" w:color="auto"/>
              <w:right w:val="single" w:sz="4" w:space="0" w:color="auto"/>
            </w:tcBorders>
            <w:shd w:val="clear" w:color="000000" w:fill="DDEBF7"/>
            <w:vAlign w:val="center"/>
            <w:hideMark/>
          </w:tcPr>
          <w:p w14:paraId="3FA259F8"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nil"/>
              <w:left w:val="nil"/>
              <w:bottom w:val="single" w:sz="4" w:space="0" w:color="auto"/>
              <w:right w:val="single" w:sz="4" w:space="0" w:color="auto"/>
            </w:tcBorders>
            <w:shd w:val="clear" w:color="000000" w:fill="DDEBF7"/>
            <w:vAlign w:val="center"/>
            <w:hideMark/>
          </w:tcPr>
          <w:p w14:paraId="5262593B"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xml:space="preserve">Première lecture (2 </w:t>
            </w:r>
            <w:proofErr w:type="spellStart"/>
            <w:r w:rsidRPr="000C7324">
              <w:rPr>
                <w:rFonts w:eastAsia="Times New Roman"/>
                <w:spacing w:val="0"/>
                <w:w w:val="100"/>
                <w:kern w:val="0"/>
                <w:sz w:val="16"/>
                <w:szCs w:val="16"/>
                <w:lang w:val="en-US"/>
              </w:rPr>
              <w:t>jours</w:t>
            </w:r>
            <w:proofErr w:type="spellEnd"/>
            <w:r w:rsidRPr="000C7324">
              <w:rPr>
                <w:rFonts w:eastAsia="Times New Roman"/>
                <w:spacing w:val="0"/>
                <w:w w:val="100"/>
                <w:kern w:val="0"/>
                <w:sz w:val="16"/>
                <w:szCs w:val="16"/>
                <w:lang w:val="en-US"/>
              </w:rPr>
              <w:t>)</w:t>
            </w:r>
          </w:p>
        </w:tc>
        <w:tc>
          <w:tcPr>
            <w:tcW w:w="394" w:type="pct"/>
            <w:tcBorders>
              <w:top w:val="nil"/>
              <w:left w:val="nil"/>
              <w:bottom w:val="single" w:sz="4" w:space="0" w:color="auto"/>
              <w:right w:val="single" w:sz="4" w:space="0" w:color="auto"/>
            </w:tcBorders>
            <w:shd w:val="clear" w:color="000000" w:fill="DDEBF7"/>
            <w:vAlign w:val="center"/>
            <w:hideMark/>
          </w:tcPr>
          <w:p w14:paraId="220619FB"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548" w:type="pct"/>
            <w:tcBorders>
              <w:top w:val="nil"/>
              <w:left w:val="nil"/>
              <w:bottom w:val="single" w:sz="4" w:space="0" w:color="auto"/>
              <w:right w:val="single" w:sz="4" w:space="0" w:color="auto"/>
            </w:tcBorders>
            <w:shd w:val="clear" w:color="000000" w:fill="DDEBF7"/>
            <w:vAlign w:val="center"/>
            <w:hideMark/>
          </w:tcPr>
          <w:p w14:paraId="5F1F7B16"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590" w:type="pct"/>
            <w:tcBorders>
              <w:top w:val="nil"/>
              <w:left w:val="nil"/>
              <w:bottom w:val="single" w:sz="4" w:space="0" w:color="auto"/>
              <w:right w:val="single" w:sz="8" w:space="0" w:color="auto"/>
            </w:tcBorders>
            <w:shd w:val="clear" w:color="000000" w:fill="DDEBF7"/>
            <w:vAlign w:val="center"/>
            <w:hideMark/>
          </w:tcPr>
          <w:p w14:paraId="55C1F114"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123" w:type="pct"/>
            <w:tcBorders>
              <w:top w:val="nil"/>
              <w:left w:val="nil"/>
              <w:bottom w:val="nil"/>
              <w:right w:val="nil"/>
            </w:tcBorders>
            <w:shd w:val="clear" w:color="auto" w:fill="auto"/>
            <w:noWrap/>
            <w:vAlign w:val="center"/>
            <w:hideMark/>
          </w:tcPr>
          <w:p w14:paraId="0C4A704C"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p>
        </w:tc>
      </w:tr>
      <w:tr w:rsidR="00CC19BA" w:rsidRPr="000C7324" w14:paraId="6CAB0CBB" w14:textId="77777777" w:rsidTr="00CC19BA">
        <w:trPr>
          <w:trHeight w:val="540"/>
        </w:trPr>
        <w:tc>
          <w:tcPr>
            <w:tcW w:w="190" w:type="pct"/>
            <w:vMerge/>
            <w:tcBorders>
              <w:top w:val="nil"/>
              <w:left w:val="single" w:sz="8" w:space="0" w:color="auto"/>
              <w:bottom w:val="single" w:sz="8" w:space="0" w:color="000000"/>
              <w:right w:val="single" w:sz="8" w:space="0" w:color="auto"/>
            </w:tcBorders>
            <w:vAlign w:val="center"/>
            <w:hideMark/>
          </w:tcPr>
          <w:p w14:paraId="342DE834" w14:textId="77777777" w:rsidR="00CC19BA" w:rsidRPr="000C7324" w:rsidRDefault="00CC19BA" w:rsidP="00CC19BA">
            <w:pPr>
              <w:suppressAutoHyphens w:val="0"/>
              <w:spacing w:line="240" w:lineRule="auto"/>
              <w:rPr>
                <w:rFonts w:eastAsia="Times New Roman"/>
                <w:b/>
                <w:bCs/>
                <w:spacing w:val="0"/>
                <w:w w:val="100"/>
                <w:kern w:val="0"/>
                <w:sz w:val="16"/>
                <w:szCs w:val="16"/>
                <w:lang w:val="en-US"/>
              </w:rPr>
            </w:pPr>
          </w:p>
        </w:tc>
        <w:tc>
          <w:tcPr>
            <w:tcW w:w="660" w:type="pct"/>
            <w:tcBorders>
              <w:top w:val="nil"/>
              <w:left w:val="nil"/>
              <w:bottom w:val="single" w:sz="4" w:space="0" w:color="auto"/>
              <w:right w:val="single" w:sz="8" w:space="0" w:color="auto"/>
            </w:tcBorders>
            <w:shd w:val="clear" w:color="auto" w:fill="auto"/>
            <w:noWrap/>
            <w:vAlign w:val="center"/>
            <w:hideMark/>
          </w:tcPr>
          <w:p w14:paraId="6031EDB4"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Inter-Session #46</w:t>
            </w:r>
          </w:p>
        </w:tc>
        <w:tc>
          <w:tcPr>
            <w:tcW w:w="394" w:type="pct"/>
            <w:tcBorders>
              <w:top w:val="nil"/>
              <w:left w:val="nil"/>
              <w:bottom w:val="single" w:sz="4" w:space="0" w:color="auto"/>
              <w:right w:val="single" w:sz="4" w:space="0" w:color="auto"/>
            </w:tcBorders>
            <w:shd w:val="clear" w:color="auto" w:fill="auto"/>
            <w:vAlign w:val="center"/>
            <w:hideMark/>
          </w:tcPr>
          <w:p w14:paraId="7678F1EC"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nil"/>
              <w:left w:val="nil"/>
              <w:bottom w:val="single" w:sz="4" w:space="0" w:color="auto"/>
              <w:right w:val="single" w:sz="4" w:space="0" w:color="auto"/>
            </w:tcBorders>
            <w:shd w:val="clear" w:color="auto" w:fill="auto"/>
            <w:vAlign w:val="center"/>
            <w:hideMark/>
          </w:tcPr>
          <w:p w14:paraId="18E5DB48"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490" w:type="pct"/>
            <w:tcBorders>
              <w:top w:val="nil"/>
              <w:left w:val="nil"/>
              <w:bottom w:val="single" w:sz="4" w:space="0" w:color="auto"/>
              <w:right w:val="single" w:sz="4" w:space="0" w:color="auto"/>
            </w:tcBorders>
            <w:shd w:val="clear" w:color="auto" w:fill="auto"/>
            <w:vAlign w:val="center"/>
            <w:hideMark/>
          </w:tcPr>
          <w:p w14:paraId="451A060A"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823" w:type="pct"/>
            <w:tcBorders>
              <w:top w:val="nil"/>
              <w:left w:val="nil"/>
              <w:bottom w:val="single" w:sz="4" w:space="0" w:color="auto"/>
              <w:right w:val="single" w:sz="4" w:space="0" w:color="auto"/>
            </w:tcBorders>
            <w:shd w:val="clear" w:color="auto" w:fill="auto"/>
            <w:vAlign w:val="center"/>
            <w:hideMark/>
          </w:tcPr>
          <w:p w14:paraId="12667FE8"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nil"/>
              <w:left w:val="nil"/>
              <w:bottom w:val="single" w:sz="4" w:space="0" w:color="auto"/>
              <w:right w:val="single" w:sz="4" w:space="0" w:color="auto"/>
            </w:tcBorders>
            <w:shd w:val="clear" w:color="auto" w:fill="auto"/>
            <w:vAlign w:val="center"/>
            <w:hideMark/>
          </w:tcPr>
          <w:p w14:paraId="0145ABB2"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xml:space="preserve">Groupe de </w:t>
            </w:r>
            <w:proofErr w:type="spellStart"/>
            <w:r w:rsidRPr="000C7324">
              <w:rPr>
                <w:rFonts w:eastAsia="Times New Roman"/>
                <w:spacing w:val="0"/>
                <w:w w:val="100"/>
                <w:kern w:val="0"/>
                <w:sz w:val="16"/>
                <w:szCs w:val="16"/>
                <w:lang w:val="en-US"/>
              </w:rPr>
              <w:t>rédaction</w:t>
            </w:r>
            <w:proofErr w:type="spellEnd"/>
            <w:r w:rsidRPr="000C7324">
              <w:rPr>
                <w:rFonts w:eastAsia="Times New Roman"/>
                <w:spacing w:val="0"/>
                <w:w w:val="100"/>
                <w:kern w:val="0"/>
                <w:sz w:val="16"/>
                <w:szCs w:val="16"/>
                <w:lang w:val="en-US"/>
              </w:rPr>
              <w:t xml:space="preserve"> (2 </w:t>
            </w:r>
            <w:proofErr w:type="spellStart"/>
            <w:r w:rsidRPr="000C7324">
              <w:rPr>
                <w:rFonts w:eastAsia="Times New Roman"/>
                <w:spacing w:val="0"/>
                <w:w w:val="100"/>
                <w:kern w:val="0"/>
                <w:sz w:val="16"/>
                <w:szCs w:val="16"/>
                <w:lang w:val="en-US"/>
              </w:rPr>
              <w:t>jours</w:t>
            </w:r>
            <w:proofErr w:type="spellEnd"/>
            <w:r w:rsidRPr="000C7324">
              <w:rPr>
                <w:rFonts w:eastAsia="Times New Roman"/>
                <w:spacing w:val="0"/>
                <w:w w:val="100"/>
                <w:kern w:val="0"/>
                <w:sz w:val="16"/>
                <w:szCs w:val="16"/>
                <w:lang w:val="en-US"/>
              </w:rPr>
              <w:t>)</w:t>
            </w:r>
          </w:p>
        </w:tc>
        <w:tc>
          <w:tcPr>
            <w:tcW w:w="394" w:type="pct"/>
            <w:tcBorders>
              <w:top w:val="nil"/>
              <w:left w:val="nil"/>
              <w:bottom w:val="single" w:sz="4" w:space="0" w:color="auto"/>
              <w:right w:val="single" w:sz="4" w:space="0" w:color="auto"/>
            </w:tcBorders>
            <w:shd w:val="clear" w:color="auto" w:fill="auto"/>
            <w:vAlign w:val="center"/>
            <w:hideMark/>
          </w:tcPr>
          <w:p w14:paraId="68D878EB"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548" w:type="pct"/>
            <w:tcBorders>
              <w:top w:val="nil"/>
              <w:left w:val="nil"/>
              <w:bottom w:val="single" w:sz="4" w:space="0" w:color="auto"/>
              <w:right w:val="single" w:sz="4" w:space="0" w:color="auto"/>
            </w:tcBorders>
            <w:shd w:val="clear" w:color="auto" w:fill="auto"/>
            <w:vAlign w:val="center"/>
            <w:hideMark/>
          </w:tcPr>
          <w:p w14:paraId="53A3C47C"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590" w:type="pct"/>
            <w:tcBorders>
              <w:top w:val="nil"/>
              <w:left w:val="nil"/>
              <w:bottom w:val="single" w:sz="4" w:space="0" w:color="auto"/>
              <w:right w:val="single" w:sz="8" w:space="0" w:color="auto"/>
            </w:tcBorders>
            <w:shd w:val="clear" w:color="auto" w:fill="auto"/>
            <w:vAlign w:val="center"/>
            <w:hideMark/>
          </w:tcPr>
          <w:p w14:paraId="4CB5AAAE"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123" w:type="pct"/>
            <w:tcBorders>
              <w:top w:val="nil"/>
              <w:left w:val="nil"/>
              <w:bottom w:val="nil"/>
              <w:right w:val="nil"/>
            </w:tcBorders>
            <w:shd w:val="clear" w:color="auto" w:fill="auto"/>
            <w:noWrap/>
            <w:vAlign w:val="center"/>
            <w:hideMark/>
          </w:tcPr>
          <w:p w14:paraId="7061A2AF"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p>
        </w:tc>
      </w:tr>
      <w:tr w:rsidR="00CC19BA" w:rsidRPr="000C7324" w14:paraId="50683675" w14:textId="77777777" w:rsidTr="00CC19BA">
        <w:trPr>
          <w:trHeight w:val="540"/>
        </w:trPr>
        <w:tc>
          <w:tcPr>
            <w:tcW w:w="190" w:type="pct"/>
            <w:vMerge/>
            <w:tcBorders>
              <w:top w:val="nil"/>
              <w:left w:val="single" w:sz="8" w:space="0" w:color="auto"/>
              <w:bottom w:val="single" w:sz="8" w:space="0" w:color="000000"/>
              <w:right w:val="single" w:sz="8" w:space="0" w:color="auto"/>
            </w:tcBorders>
            <w:vAlign w:val="center"/>
            <w:hideMark/>
          </w:tcPr>
          <w:p w14:paraId="79145731" w14:textId="77777777" w:rsidR="00CC19BA" w:rsidRPr="000C7324" w:rsidRDefault="00CC19BA" w:rsidP="00CC19BA">
            <w:pPr>
              <w:suppressAutoHyphens w:val="0"/>
              <w:spacing w:line="240" w:lineRule="auto"/>
              <w:rPr>
                <w:rFonts w:eastAsia="Times New Roman"/>
                <w:b/>
                <w:bCs/>
                <w:spacing w:val="0"/>
                <w:w w:val="100"/>
                <w:kern w:val="0"/>
                <w:sz w:val="16"/>
                <w:szCs w:val="16"/>
                <w:lang w:val="en-US"/>
              </w:rPr>
            </w:pPr>
          </w:p>
        </w:tc>
        <w:tc>
          <w:tcPr>
            <w:tcW w:w="660" w:type="pct"/>
            <w:tcBorders>
              <w:top w:val="nil"/>
              <w:left w:val="nil"/>
              <w:bottom w:val="single" w:sz="4" w:space="0" w:color="auto"/>
              <w:right w:val="single" w:sz="8" w:space="0" w:color="auto"/>
            </w:tcBorders>
            <w:shd w:val="clear" w:color="000000" w:fill="DDEBF7"/>
            <w:noWrap/>
            <w:vAlign w:val="center"/>
            <w:hideMark/>
          </w:tcPr>
          <w:p w14:paraId="1C61FD58" w14:textId="046EC030"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Groupe de travail #47</w:t>
            </w:r>
          </w:p>
        </w:tc>
        <w:tc>
          <w:tcPr>
            <w:tcW w:w="394" w:type="pct"/>
            <w:tcBorders>
              <w:top w:val="nil"/>
              <w:left w:val="nil"/>
              <w:bottom w:val="single" w:sz="4" w:space="0" w:color="auto"/>
              <w:right w:val="single" w:sz="4" w:space="0" w:color="auto"/>
            </w:tcBorders>
            <w:shd w:val="clear" w:color="000000" w:fill="DDEBF7"/>
            <w:vAlign w:val="center"/>
            <w:hideMark/>
          </w:tcPr>
          <w:p w14:paraId="7640ED43"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nil"/>
              <w:left w:val="nil"/>
              <w:bottom w:val="single" w:sz="4" w:space="0" w:color="auto"/>
              <w:right w:val="single" w:sz="4" w:space="0" w:color="auto"/>
            </w:tcBorders>
            <w:shd w:val="clear" w:color="000000" w:fill="DDEBF7"/>
            <w:vAlign w:val="center"/>
            <w:hideMark/>
          </w:tcPr>
          <w:p w14:paraId="33DB0A71"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Instructions (1 jour)</w:t>
            </w:r>
          </w:p>
        </w:tc>
        <w:tc>
          <w:tcPr>
            <w:tcW w:w="490" w:type="pct"/>
            <w:tcBorders>
              <w:top w:val="nil"/>
              <w:left w:val="nil"/>
              <w:bottom w:val="single" w:sz="4" w:space="0" w:color="auto"/>
              <w:right w:val="single" w:sz="4" w:space="0" w:color="auto"/>
            </w:tcBorders>
            <w:shd w:val="clear" w:color="000000" w:fill="DDEBF7"/>
            <w:vAlign w:val="center"/>
            <w:hideMark/>
          </w:tcPr>
          <w:p w14:paraId="752C687D"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823" w:type="pct"/>
            <w:tcBorders>
              <w:top w:val="nil"/>
              <w:left w:val="nil"/>
              <w:bottom w:val="single" w:sz="4" w:space="0" w:color="auto"/>
              <w:right w:val="single" w:sz="4" w:space="0" w:color="auto"/>
            </w:tcBorders>
            <w:shd w:val="clear" w:color="000000" w:fill="DDEBF7"/>
            <w:vAlign w:val="center"/>
            <w:hideMark/>
          </w:tcPr>
          <w:p w14:paraId="43B182A3" w14:textId="6164344B" w:rsidR="00CC19BA" w:rsidRPr="000C7324" w:rsidRDefault="00CC19BA" w:rsidP="00CC19BA">
            <w:pPr>
              <w:suppressAutoHyphens w:val="0"/>
              <w:spacing w:line="240" w:lineRule="auto"/>
              <w:jc w:val="center"/>
              <w:rPr>
                <w:rFonts w:eastAsia="Times New Roman"/>
                <w:spacing w:val="0"/>
                <w:w w:val="100"/>
                <w:kern w:val="0"/>
                <w:sz w:val="16"/>
                <w:szCs w:val="16"/>
                <w:lang w:val="en-US"/>
              </w:rPr>
            </w:pPr>
            <w:proofErr w:type="spellStart"/>
            <w:r w:rsidRPr="000C7324">
              <w:rPr>
                <w:rFonts w:eastAsia="Times New Roman"/>
                <w:spacing w:val="0"/>
                <w:w w:val="100"/>
                <w:kern w:val="0"/>
                <w:sz w:val="16"/>
                <w:szCs w:val="16"/>
                <w:lang w:val="en-US"/>
              </w:rPr>
              <w:t>Seconde</w:t>
            </w:r>
            <w:proofErr w:type="spellEnd"/>
            <w:r w:rsidRPr="000C7324">
              <w:rPr>
                <w:rFonts w:eastAsia="Times New Roman"/>
                <w:spacing w:val="0"/>
                <w:w w:val="100"/>
                <w:kern w:val="0"/>
                <w:sz w:val="16"/>
                <w:szCs w:val="16"/>
                <w:lang w:val="en-US"/>
              </w:rPr>
              <w:t xml:space="preserve"> lecture (3 </w:t>
            </w:r>
            <w:proofErr w:type="spellStart"/>
            <w:r w:rsidRPr="000C7324">
              <w:rPr>
                <w:rFonts w:eastAsia="Times New Roman"/>
                <w:spacing w:val="0"/>
                <w:w w:val="100"/>
                <w:kern w:val="0"/>
                <w:sz w:val="16"/>
                <w:szCs w:val="16"/>
                <w:lang w:val="en-US"/>
              </w:rPr>
              <w:t>jours</w:t>
            </w:r>
            <w:proofErr w:type="spellEnd"/>
            <w:r w:rsidRPr="000C7324">
              <w:rPr>
                <w:rFonts w:eastAsia="Times New Roman"/>
                <w:spacing w:val="0"/>
                <w:w w:val="100"/>
                <w:kern w:val="0"/>
                <w:sz w:val="16"/>
                <w:szCs w:val="16"/>
                <w:lang w:val="en-US"/>
              </w:rPr>
              <w:t>)</w:t>
            </w:r>
          </w:p>
        </w:tc>
        <w:tc>
          <w:tcPr>
            <w:tcW w:w="394" w:type="pct"/>
            <w:tcBorders>
              <w:top w:val="nil"/>
              <w:left w:val="nil"/>
              <w:bottom w:val="single" w:sz="4" w:space="0" w:color="auto"/>
              <w:right w:val="single" w:sz="4" w:space="0" w:color="auto"/>
            </w:tcBorders>
            <w:shd w:val="clear" w:color="000000" w:fill="DDEBF7"/>
            <w:vAlign w:val="center"/>
            <w:hideMark/>
          </w:tcPr>
          <w:p w14:paraId="0BED918B"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nil"/>
              <w:left w:val="nil"/>
              <w:bottom w:val="single" w:sz="4" w:space="0" w:color="auto"/>
              <w:right w:val="single" w:sz="4" w:space="0" w:color="auto"/>
            </w:tcBorders>
            <w:shd w:val="clear" w:color="000000" w:fill="DDEBF7"/>
            <w:vAlign w:val="center"/>
            <w:hideMark/>
          </w:tcPr>
          <w:p w14:paraId="33F52B4F"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548" w:type="pct"/>
            <w:tcBorders>
              <w:top w:val="nil"/>
              <w:left w:val="nil"/>
              <w:bottom w:val="single" w:sz="4" w:space="0" w:color="auto"/>
              <w:right w:val="single" w:sz="4" w:space="0" w:color="auto"/>
            </w:tcBorders>
            <w:shd w:val="clear" w:color="000000" w:fill="DDEBF7"/>
            <w:vAlign w:val="center"/>
            <w:hideMark/>
          </w:tcPr>
          <w:p w14:paraId="5F8B36CF"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590" w:type="pct"/>
            <w:tcBorders>
              <w:top w:val="nil"/>
              <w:left w:val="nil"/>
              <w:bottom w:val="single" w:sz="4" w:space="0" w:color="auto"/>
              <w:right w:val="single" w:sz="8" w:space="0" w:color="auto"/>
            </w:tcBorders>
            <w:shd w:val="clear" w:color="000000" w:fill="DDEBF7"/>
            <w:vAlign w:val="center"/>
            <w:hideMark/>
          </w:tcPr>
          <w:p w14:paraId="7AC29D7B"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123" w:type="pct"/>
            <w:tcBorders>
              <w:top w:val="nil"/>
              <w:left w:val="nil"/>
              <w:bottom w:val="nil"/>
              <w:right w:val="nil"/>
            </w:tcBorders>
            <w:shd w:val="clear" w:color="auto" w:fill="auto"/>
            <w:vAlign w:val="center"/>
            <w:hideMark/>
          </w:tcPr>
          <w:p w14:paraId="1720624F"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p>
        </w:tc>
      </w:tr>
      <w:tr w:rsidR="00CC19BA" w:rsidRPr="000C7324" w14:paraId="4A4870B9" w14:textId="77777777" w:rsidTr="00CC19BA">
        <w:trPr>
          <w:trHeight w:val="540"/>
        </w:trPr>
        <w:tc>
          <w:tcPr>
            <w:tcW w:w="190" w:type="pct"/>
            <w:vMerge/>
            <w:tcBorders>
              <w:top w:val="nil"/>
              <w:left w:val="single" w:sz="8" w:space="0" w:color="auto"/>
              <w:bottom w:val="single" w:sz="8" w:space="0" w:color="000000"/>
              <w:right w:val="single" w:sz="8" w:space="0" w:color="auto"/>
            </w:tcBorders>
            <w:vAlign w:val="center"/>
            <w:hideMark/>
          </w:tcPr>
          <w:p w14:paraId="48FE0477" w14:textId="77777777" w:rsidR="00CC19BA" w:rsidRPr="000C7324" w:rsidRDefault="00CC19BA" w:rsidP="00CC19BA">
            <w:pPr>
              <w:suppressAutoHyphens w:val="0"/>
              <w:spacing w:line="240" w:lineRule="auto"/>
              <w:rPr>
                <w:rFonts w:eastAsia="Times New Roman"/>
                <w:b/>
                <w:bCs/>
                <w:spacing w:val="0"/>
                <w:w w:val="100"/>
                <w:kern w:val="0"/>
                <w:sz w:val="16"/>
                <w:szCs w:val="16"/>
                <w:lang w:val="en-US"/>
              </w:rPr>
            </w:pPr>
          </w:p>
        </w:tc>
        <w:tc>
          <w:tcPr>
            <w:tcW w:w="660" w:type="pct"/>
            <w:vMerge w:val="restart"/>
            <w:tcBorders>
              <w:top w:val="nil"/>
              <w:left w:val="single" w:sz="8" w:space="0" w:color="auto"/>
              <w:bottom w:val="single" w:sz="4" w:space="0" w:color="000000"/>
              <w:right w:val="single" w:sz="8" w:space="0" w:color="auto"/>
            </w:tcBorders>
            <w:shd w:val="clear" w:color="auto" w:fill="auto"/>
            <w:noWrap/>
            <w:vAlign w:val="center"/>
            <w:hideMark/>
          </w:tcPr>
          <w:p w14:paraId="53FE1A87"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Inter-Session #47</w:t>
            </w:r>
          </w:p>
        </w:tc>
        <w:tc>
          <w:tcPr>
            <w:tcW w:w="394" w:type="pct"/>
            <w:tcBorders>
              <w:top w:val="nil"/>
              <w:left w:val="nil"/>
              <w:bottom w:val="single" w:sz="4" w:space="0" w:color="auto"/>
              <w:right w:val="single" w:sz="4" w:space="0" w:color="auto"/>
            </w:tcBorders>
            <w:shd w:val="clear" w:color="auto" w:fill="auto"/>
            <w:vAlign w:val="center"/>
            <w:hideMark/>
          </w:tcPr>
          <w:p w14:paraId="564C89F4"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nil"/>
              <w:left w:val="nil"/>
              <w:bottom w:val="single" w:sz="4" w:space="0" w:color="auto"/>
              <w:right w:val="single" w:sz="4" w:space="0" w:color="auto"/>
            </w:tcBorders>
            <w:shd w:val="clear" w:color="auto" w:fill="auto"/>
            <w:vAlign w:val="center"/>
            <w:hideMark/>
          </w:tcPr>
          <w:p w14:paraId="51553878"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490" w:type="pct"/>
            <w:tcBorders>
              <w:top w:val="nil"/>
              <w:left w:val="nil"/>
              <w:bottom w:val="single" w:sz="4" w:space="0" w:color="auto"/>
              <w:right w:val="single" w:sz="4" w:space="0" w:color="auto"/>
            </w:tcBorders>
            <w:shd w:val="clear" w:color="auto" w:fill="auto"/>
            <w:vAlign w:val="center"/>
            <w:hideMark/>
          </w:tcPr>
          <w:p w14:paraId="4D6443D6"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823" w:type="pct"/>
            <w:tcBorders>
              <w:top w:val="nil"/>
              <w:left w:val="nil"/>
              <w:bottom w:val="single" w:sz="4" w:space="0" w:color="auto"/>
              <w:right w:val="single" w:sz="4" w:space="0" w:color="auto"/>
            </w:tcBorders>
            <w:shd w:val="clear" w:color="auto" w:fill="auto"/>
            <w:vAlign w:val="center"/>
            <w:hideMark/>
          </w:tcPr>
          <w:p w14:paraId="1A8B4655"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nil"/>
              <w:left w:val="nil"/>
              <w:bottom w:val="single" w:sz="4" w:space="0" w:color="auto"/>
              <w:right w:val="single" w:sz="4" w:space="0" w:color="auto"/>
            </w:tcBorders>
            <w:shd w:val="clear" w:color="auto" w:fill="auto"/>
            <w:vAlign w:val="center"/>
            <w:hideMark/>
          </w:tcPr>
          <w:p w14:paraId="6C15D955"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nil"/>
              <w:left w:val="nil"/>
              <w:bottom w:val="single" w:sz="4" w:space="0" w:color="auto"/>
              <w:right w:val="single" w:sz="4" w:space="0" w:color="auto"/>
            </w:tcBorders>
            <w:shd w:val="clear" w:color="auto" w:fill="auto"/>
            <w:vAlign w:val="center"/>
            <w:hideMark/>
          </w:tcPr>
          <w:p w14:paraId="1D3F8366"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xml:space="preserve">Groupe de </w:t>
            </w:r>
            <w:proofErr w:type="spellStart"/>
            <w:r w:rsidRPr="000C7324">
              <w:rPr>
                <w:rFonts w:eastAsia="Times New Roman"/>
                <w:spacing w:val="0"/>
                <w:w w:val="100"/>
                <w:kern w:val="0"/>
                <w:sz w:val="16"/>
                <w:szCs w:val="16"/>
                <w:lang w:val="en-US"/>
              </w:rPr>
              <w:t>rédaction</w:t>
            </w:r>
            <w:proofErr w:type="spellEnd"/>
            <w:r w:rsidRPr="000C7324">
              <w:rPr>
                <w:rFonts w:eastAsia="Times New Roman"/>
                <w:spacing w:val="0"/>
                <w:w w:val="100"/>
                <w:kern w:val="0"/>
                <w:sz w:val="16"/>
                <w:szCs w:val="16"/>
                <w:lang w:val="en-US"/>
              </w:rPr>
              <w:t xml:space="preserve"> (2 </w:t>
            </w:r>
            <w:proofErr w:type="spellStart"/>
            <w:r w:rsidRPr="000C7324">
              <w:rPr>
                <w:rFonts w:eastAsia="Times New Roman"/>
                <w:spacing w:val="0"/>
                <w:w w:val="100"/>
                <w:kern w:val="0"/>
                <w:sz w:val="16"/>
                <w:szCs w:val="16"/>
                <w:lang w:val="en-US"/>
              </w:rPr>
              <w:t>jours</w:t>
            </w:r>
            <w:proofErr w:type="spellEnd"/>
            <w:r w:rsidRPr="000C7324">
              <w:rPr>
                <w:rFonts w:eastAsia="Times New Roman"/>
                <w:spacing w:val="0"/>
                <w:w w:val="100"/>
                <w:kern w:val="0"/>
                <w:sz w:val="16"/>
                <w:szCs w:val="16"/>
                <w:lang w:val="en-US"/>
              </w:rPr>
              <w:t>)</w:t>
            </w:r>
          </w:p>
        </w:tc>
        <w:tc>
          <w:tcPr>
            <w:tcW w:w="548" w:type="pct"/>
            <w:tcBorders>
              <w:top w:val="nil"/>
              <w:left w:val="nil"/>
              <w:bottom w:val="single" w:sz="4" w:space="0" w:color="auto"/>
              <w:right w:val="single" w:sz="4" w:space="0" w:color="auto"/>
            </w:tcBorders>
            <w:shd w:val="clear" w:color="auto" w:fill="auto"/>
            <w:vAlign w:val="center"/>
            <w:hideMark/>
          </w:tcPr>
          <w:p w14:paraId="28A09ABA"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xml:space="preserve">Groupe de </w:t>
            </w:r>
            <w:proofErr w:type="spellStart"/>
            <w:r w:rsidRPr="000C7324">
              <w:rPr>
                <w:rFonts w:eastAsia="Times New Roman"/>
                <w:spacing w:val="0"/>
                <w:w w:val="100"/>
                <w:kern w:val="0"/>
                <w:sz w:val="16"/>
                <w:szCs w:val="16"/>
                <w:lang w:val="en-US"/>
              </w:rPr>
              <w:t>rédaction</w:t>
            </w:r>
            <w:proofErr w:type="spellEnd"/>
            <w:r w:rsidRPr="000C7324">
              <w:rPr>
                <w:rFonts w:eastAsia="Times New Roman"/>
                <w:spacing w:val="0"/>
                <w:w w:val="100"/>
                <w:kern w:val="0"/>
                <w:sz w:val="16"/>
                <w:szCs w:val="16"/>
                <w:lang w:val="en-US"/>
              </w:rPr>
              <w:t xml:space="preserve"> (2 </w:t>
            </w:r>
            <w:proofErr w:type="spellStart"/>
            <w:r w:rsidRPr="000C7324">
              <w:rPr>
                <w:rFonts w:eastAsia="Times New Roman"/>
                <w:spacing w:val="0"/>
                <w:w w:val="100"/>
                <w:kern w:val="0"/>
                <w:sz w:val="16"/>
                <w:szCs w:val="16"/>
                <w:lang w:val="en-US"/>
              </w:rPr>
              <w:t>jours</w:t>
            </w:r>
            <w:proofErr w:type="spellEnd"/>
            <w:r w:rsidRPr="000C7324">
              <w:rPr>
                <w:rFonts w:eastAsia="Times New Roman"/>
                <w:spacing w:val="0"/>
                <w:w w:val="100"/>
                <w:kern w:val="0"/>
                <w:sz w:val="16"/>
                <w:szCs w:val="16"/>
                <w:lang w:val="en-US"/>
              </w:rPr>
              <w:t>)</w:t>
            </w:r>
          </w:p>
        </w:tc>
        <w:tc>
          <w:tcPr>
            <w:tcW w:w="590" w:type="pct"/>
            <w:tcBorders>
              <w:top w:val="nil"/>
              <w:left w:val="nil"/>
              <w:bottom w:val="single" w:sz="4" w:space="0" w:color="auto"/>
              <w:right w:val="single" w:sz="8" w:space="0" w:color="auto"/>
            </w:tcBorders>
            <w:shd w:val="clear" w:color="auto" w:fill="auto"/>
            <w:vAlign w:val="center"/>
            <w:hideMark/>
          </w:tcPr>
          <w:p w14:paraId="345C8DAA"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123" w:type="pct"/>
            <w:tcBorders>
              <w:top w:val="nil"/>
              <w:left w:val="nil"/>
              <w:bottom w:val="nil"/>
              <w:right w:val="nil"/>
            </w:tcBorders>
            <w:shd w:val="clear" w:color="auto" w:fill="auto"/>
            <w:vAlign w:val="center"/>
            <w:hideMark/>
          </w:tcPr>
          <w:p w14:paraId="5DB38028"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p>
        </w:tc>
      </w:tr>
      <w:tr w:rsidR="00CC19BA" w:rsidRPr="000C7324" w14:paraId="5CA0798C" w14:textId="77777777" w:rsidTr="00CC19BA">
        <w:trPr>
          <w:trHeight w:val="540"/>
        </w:trPr>
        <w:tc>
          <w:tcPr>
            <w:tcW w:w="190" w:type="pct"/>
            <w:vMerge/>
            <w:tcBorders>
              <w:top w:val="nil"/>
              <w:left w:val="single" w:sz="8" w:space="0" w:color="auto"/>
              <w:bottom w:val="single" w:sz="8" w:space="0" w:color="000000"/>
              <w:right w:val="single" w:sz="8" w:space="0" w:color="auto"/>
            </w:tcBorders>
            <w:vAlign w:val="center"/>
            <w:hideMark/>
          </w:tcPr>
          <w:p w14:paraId="58193C27" w14:textId="77777777" w:rsidR="00CC19BA" w:rsidRPr="000C7324" w:rsidRDefault="00CC19BA" w:rsidP="00CC19BA">
            <w:pPr>
              <w:suppressAutoHyphens w:val="0"/>
              <w:spacing w:line="240" w:lineRule="auto"/>
              <w:rPr>
                <w:rFonts w:eastAsia="Times New Roman"/>
                <w:b/>
                <w:bCs/>
                <w:spacing w:val="0"/>
                <w:w w:val="100"/>
                <w:kern w:val="0"/>
                <w:sz w:val="16"/>
                <w:szCs w:val="16"/>
                <w:lang w:val="en-US"/>
              </w:rPr>
            </w:pPr>
          </w:p>
        </w:tc>
        <w:tc>
          <w:tcPr>
            <w:tcW w:w="660" w:type="pct"/>
            <w:vMerge/>
            <w:tcBorders>
              <w:top w:val="nil"/>
              <w:left w:val="single" w:sz="8" w:space="0" w:color="auto"/>
              <w:bottom w:val="single" w:sz="4" w:space="0" w:color="000000"/>
              <w:right w:val="single" w:sz="8" w:space="0" w:color="auto"/>
            </w:tcBorders>
            <w:vAlign w:val="center"/>
            <w:hideMark/>
          </w:tcPr>
          <w:p w14:paraId="5B2580EE" w14:textId="77777777" w:rsidR="00CC19BA" w:rsidRPr="000C7324" w:rsidRDefault="00CC19BA" w:rsidP="00CC19BA">
            <w:pPr>
              <w:suppressAutoHyphens w:val="0"/>
              <w:spacing w:line="240" w:lineRule="auto"/>
              <w:rPr>
                <w:rFonts w:eastAsia="Times New Roman"/>
                <w:b/>
                <w:bCs/>
                <w:spacing w:val="0"/>
                <w:w w:val="100"/>
                <w:kern w:val="0"/>
                <w:sz w:val="16"/>
                <w:szCs w:val="16"/>
                <w:lang w:val="en-US"/>
              </w:rPr>
            </w:pPr>
          </w:p>
        </w:tc>
        <w:tc>
          <w:tcPr>
            <w:tcW w:w="4026" w:type="pct"/>
            <w:gridSpan w:val="8"/>
            <w:tcBorders>
              <w:top w:val="single" w:sz="4" w:space="0" w:color="auto"/>
              <w:left w:val="nil"/>
              <w:bottom w:val="nil"/>
              <w:right w:val="single" w:sz="8" w:space="0" w:color="000000"/>
            </w:tcBorders>
            <w:shd w:val="clear" w:color="000000" w:fill="E2EFDA"/>
            <w:vAlign w:val="center"/>
            <w:hideMark/>
          </w:tcPr>
          <w:p w14:paraId="48CFFF5B"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fr-FR"/>
              </w:rPr>
            </w:pPr>
            <w:r w:rsidRPr="000C7324">
              <w:rPr>
                <w:rFonts w:eastAsia="Times New Roman"/>
                <w:b/>
                <w:bCs/>
                <w:spacing w:val="0"/>
                <w:w w:val="100"/>
                <w:kern w:val="0"/>
                <w:sz w:val="16"/>
                <w:szCs w:val="16"/>
                <w:lang w:val="fr-FR"/>
              </w:rPr>
              <w:t>Commission #56 - Approbation de principe de la réforme des règles procédurales du RDIE et des mécanismes de prévention et d'atténuation des litiges</w:t>
            </w:r>
          </w:p>
        </w:tc>
        <w:tc>
          <w:tcPr>
            <w:tcW w:w="123" w:type="pct"/>
            <w:tcBorders>
              <w:top w:val="nil"/>
              <w:left w:val="nil"/>
              <w:bottom w:val="nil"/>
              <w:right w:val="nil"/>
            </w:tcBorders>
            <w:shd w:val="clear" w:color="auto" w:fill="auto"/>
            <w:vAlign w:val="center"/>
            <w:hideMark/>
          </w:tcPr>
          <w:p w14:paraId="6E84182D"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fr-FR"/>
              </w:rPr>
            </w:pPr>
          </w:p>
        </w:tc>
      </w:tr>
      <w:tr w:rsidR="00CC19BA" w:rsidRPr="000C7324" w14:paraId="33216093" w14:textId="77777777" w:rsidTr="00CC19BA">
        <w:trPr>
          <w:trHeight w:val="540"/>
        </w:trPr>
        <w:tc>
          <w:tcPr>
            <w:tcW w:w="190" w:type="pct"/>
            <w:vMerge/>
            <w:tcBorders>
              <w:top w:val="nil"/>
              <w:left w:val="single" w:sz="8" w:space="0" w:color="auto"/>
              <w:bottom w:val="single" w:sz="8" w:space="0" w:color="000000"/>
              <w:right w:val="single" w:sz="8" w:space="0" w:color="auto"/>
            </w:tcBorders>
            <w:vAlign w:val="center"/>
            <w:hideMark/>
          </w:tcPr>
          <w:p w14:paraId="1363CBCD" w14:textId="77777777" w:rsidR="00CC19BA" w:rsidRPr="000C7324" w:rsidRDefault="00CC19BA" w:rsidP="00CC19BA">
            <w:pPr>
              <w:suppressAutoHyphens w:val="0"/>
              <w:spacing w:line="240" w:lineRule="auto"/>
              <w:rPr>
                <w:rFonts w:eastAsia="Times New Roman"/>
                <w:b/>
                <w:bCs/>
                <w:spacing w:val="0"/>
                <w:w w:val="100"/>
                <w:kern w:val="0"/>
                <w:sz w:val="16"/>
                <w:szCs w:val="16"/>
                <w:lang w:val="fr-FR"/>
              </w:rPr>
            </w:pPr>
          </w:p>
        </w:tc>
        <w:tc>
          <w:tcPr>
            <w:tcW w:w="660" w:type="pct"/>
            <w:tcBorders>
              <w:top w:val="nil"/>
              <w:left w:val="nil"/>
              <w:bottom w:val="single" w:sz="4" w:space="0" w:color="auto"/>
              <w:right w:val="single" w:sz="8" w:space="0" w:color="auto"/>
            </w:tcBorders>
            <w:shd w:val="clear" w:color="000000" w:fill="DDEBF7"/>
            <w:noWrap/>
            <w:vAlign w:val="center"/>
            <w:hideMark/>
          </w:tcPr>
          <w:p w14:paraId="768E2613" w14:textId="47AC85BD"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Groupe de travail #48</w:t>
            </w:r>
          </w:p>
        </w:tc>
        <w:tc>
          <w:tcPr>
            <w:tcW w:w="394" w:type="pct"/>
            <w:tcBorders>
              <w:top w:val="single" w:sz="4" w:space="0" w:color="auto"/>
              <w:left w:val="nil"/>
              <w:bottom w:val="single" w:sz="4" w:space="0" w:color="auto"/>
              <w:right w:val="single" w:sz="4" w:space="0" w:color="auto"/>
            </w:tcBorders>
            <w:shd w:val="clear" w:color="000000" w:fill="DDEBF7"/>
            <w:vAlign w:val="center"/>
            <w:hideMark/>
          </w:tcPr>
          <w:p w14:paraId="4657A65B"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single" w:sz="4" w:space="0" w:color="auto"/>
              <w:left w:val="nil"/>
              <w:bottom w:val="single" w:sz="4" w:space="0" w:color="auto"/>
              <w:right w:val="single" w:sz="4" w:space="0" w:color="auto"/>
            </w:tcBorders>
            <w:shd w:val="clear" w:color="000000" w:fill="DDEBF7"/>
            <w:vAlign w:val="center"/>
            <w:hideMark/>
          </w:tcPr>
          <w:p w14:paraId="2B95C9DA"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490" w:type="pct"/>
            <w:tcBorders>
              <w:top w:val="single" w:sz="4" w:space="0" w:color="auto"/>
              <w:left w:val="nil"/>
              <w:bottom w:val="single" w:sz="4" w:space="0" w:color="auto"/>
              <w:right w:val="single" w:sz="4" w:space="0" w:color="auto"/>
            </w:tcBorders>
            <w:shd w:val="clear" w:color="000000" w:fill="DDEBF7"/>
            <w:vAlign w:val="center"/>
            <w:hideMark/>
          </w:tcPr>
          <w:p w14:paraId="2C6D6D0A"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823" w:type="pct"/>
            <w:tcBorders>
              <w:top w:val="single" w:sz="4" w:space="0" w:color="auto"/>
              <w:left w:val="nil"/>
              <w:bottom w:val="single" w:sz="4" w:space="0" w:color="auto"/>
              <w:right w:val="single" w:sz="4" w:space="0" w:color="auto"/>
            </w:tcBorders>
            <w:shd w:val="clear" w:color="000000" w:fill="DDEBF7"/>
            <w:vAlign w:val="center"/>
            <w:hideMark/>
          </w:tcPr>
          <w:p w14:paraId="7CFCDEFD"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single" w:sz="4" w:space="0" w:color="auto"/>
              <w:left w:val="nil"/>
              <w:bottom w:val="single" w:sz="4" w:space="0" w:color="auto"/>
              <w:right w:val="single" w:sz="4" w:space="0" w:color="auto"/>
            </w:tcBorders>
            <w:shd w:val="clear" w:color="000000" w:fill="DDEBF7"/>
            <w:vAlign w:val="center"/>
            <w:hideMark/>
          </w:tcPr>
          <w:p w14:paraId="0C037F42"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single" w:sz="4" w:space="0" w:color="auto"/>
              <w:left w:val="nil"/>
              <w:bottom w:val="single" w:sz="4" w:space="0" w:color="auto"/>
              <w:right w:val="single" w:sz="4" w:space="0" w:color="auto"/>
            </w:tcBorders>
            <w:shd w:val="clear" w:color="000000" w:fill="DDEBF7"/>
            <w:vAlign w:val="center"/>
            <w:hideMark/>
          </w:tcPr>
          <w:p w14:paraId="7D35B774" w14:textId="7345A00F" w:rsidR="00CC19BA" w:rsidRPr="000C7324" w:rsidRDefault="00CC19BA" w:rsidP="00CC19BA">
            <w:pPr>
              <w:suppressAutoHyphens w:val="0"/>
              <w:spacing w:line="240" w:lineRule="auto"/>
              <w:jc w:val="center"/>
              <w:rPr>
                <w:rFonts w:eastAsia="Times New Roman"/>
                <w:spacing w:val="0"/>
                <w:w w:val="100"/>
                <w:kern w:val="0"/>
                <w:sz w:val="16"/>
                <w:szCs w:val="16"/>
                <w:lang w:val="en-US"/>
              </w:rPr>
            </w:pPr>
            <w:proofErr w:type="spellStart"/>
            <w:r w:rsidRPr="000C7324">
              <w:rPr>
                <w:rFonts w:eastAsia="Times New Roman"/>
                <w:spacing w:val="0"/>
                <w:w w:val="100"/>
                <w:kern w:val="0"/>
                <w:sz w:val="16"/>
                <w:szCs w:val="16"/>
                <w:lang w:val="en-US"/>
              </w:rPr>
              <w:t>Règles</w:t>
            </w:r>
            <w:proofErr w:type="spellEnd"/>
            <w:r w:rsidRPr="000C7324">
              <w:rPr>
                <w:rFonts w:eastAsia="Times New Roman"/>
                <w:spacing w:val="0"/>
                <w:w w:val="100"/>
                <w:kern w:val="0"/>
                <w:sz w:val="16"/>
                <w:szCs w:val="16"/>
                <w:lang w:val="en-US"/>
              </w:rPr>
              <w:t xml:space="preserve"> de </w:t>
            </w:r>
            <w:proofErr w:type="spellStart"/>
            <w:r w:rsidRPr="000C7324">
              <w:rPr>
                <w:rFonts w:eastAsia="Times New Roman"/>
                <w:spacing w:val="0"/>
                <w:w w:val="100"/>
                <w:kern w:val="0"/>
                <w:sz w:val="16"/>
                <w:szCs w:val="16"/>
                <w:lang w:val="en-US"/>
              </w:rPr>
              <w:t>procédure</w:t>
            </w:r>
            <w:proofErr w:type="spellEnd"/>
            <w:r w:rsidRPr="000C7324">
              <w:rPr>
                <w:rFonts w:eastAsia="Times New Roman"/>
                <w:spacing w:val="0"/>
                <w:w w:val="100"/>
                <w:kern w:val="0"/>
                <w:sz w:val="16"/>
                <w:szCs w:val="16"/>
                <w:lang w:val="en-US"/>
              </w:rPr>
              <w:t xml:space="preserve"> (2 </w:t>
            </w:r>
            <w:proofErr w:type="spellStart"/>
            <w:r w:rsidRPr="000C7324">
              <w:rPr>
                <w:rFonts w:eastAsia="Times New Roman"/>
                <w:spacing w:val="0"/>
                <w:w w:val="100"/>
                <w:kern w:val="0"/>
                <w:sz w:val="16"/>
                <w:szCs w:val="16"/>
                <w:lang w:val="en-US"/>
              </w:rPr>
              <w:t>jours</w:t>
            </w:r>
            <w:proofErr w:type="spellEnd"/>
            <w:r w:rsidRPr="000C7324">
              <w:rPr>
                <w:rFonts w:eastAsia="Times New Roman"/>
                <w:spacing w:val="0"/>
                <w:w w:val="100"/>
                <w:kern w:val="0"/>
                <w:sz w:val="16"/>
                <w:szCs w:val="16"/>
                <w:lang w:val="en-US"/>
              </w:rPr>
              <w:t>)</w:t>
            </w:r>
          </w:p>
        </w:tc>
        <w:tc>
          <w:tcPr>
            <w:tcW w:w="548" w:type="pct"/>
            <w:tcBorders>
              <w:top w:val="single" w:sz="4" w:space="0" w:color="auto"/>
              <w:left w:val="nil"/>
              <w:bottom w:val="single" w:sz="4" w:space="0" w:color="auto"/>
              <w:right w:val="single" w:sz="4" w:space="0" w:color="auto"/>
            </w:tcBorders>
            <w:shd w:val="clear" w:color="000000" w:fill="DDEBF7"/>
            <w:vAlign w:val="center"/>
            <w:hideMark/>
          </w:tcPr>
          <w:p w14:paraId="10CBCAFD" w14:textId="7BD73B35" w:rsidR="00CC19BA" w:rsidRPr="000C7324" w:rsidRDefault="00CC19BA" w:rsidP="00CC19BA">
            <w:pPr>
              <w:suppressAutoHyphens w:val="0"/>
              <w:spacing w:line="240" w:lineRule="auto"/>
              <w:jc w:val="center"/>
              <w:rPr>
                <w:rFonts w:eastAsia="Times New Roman"/>
                <w:spacing w:val="0"/>
                <w:w w:val="100"/>
                <w:kern w:val="0"/>
                <w:sz w:val="16"/>
                <w:szCs w:val="16"/>
                <w:lang w:val="en-US"/>
              </w:rPr>
            </w:pPr>
            <w:proofErr w:type="spellStart"/>
            <w:r w:rsidRPr="000C7324">
              <w:rPr>
                <w:rFonts w:eastAsia="Times New Roman"/>
                <w:spacing w:val="0"/>
                <w:w w:val="100"/>
                <w:kern w:val="0"/>
                <w:sz w:val="16"/>
                <w:szCs w:val="16"/>
                <w:lang w:val="en-US"/>
              </w:rPr>
              <w:t>Règles</w:t>
            </w:r>
            <w:proofErr w:type="spellEnd"/>
            <w:r w:rsidRPr="000C7324">
              <w:rPr>
                <w:rFonts w:eastAsia="Times New Roman"/>
                <w:spacing w:val="0"/>
                <w:w w:val="100"/>
                <w:kern w:val="0"/>
                <w:sz w:val="16"/>
                <w:szCs w:val="16"/>
                <w:lang w:val="en-US"/>
              </w:rPr>
              <w:t xml:space="preserve"> de </w:t>
            </w:r>
            <w:proofErr w:type="spellStart"/>
            <w:r w:rsidRPr="000C7324">
              <w:rPr>
                <w:rFonts w:eastAsia="Times New Roman"/>
                <w:spacing w:val="0"/>
                <w:w w:val="100"/>
                <w:kern w:val="0"/>
                <w:sz w:val="16"/>
                <w:szCs w:val="16"/>
                <w:lang w:val="en-US"/>
              </w:rPr>
              <w:t>procédure</w:t>
            </w:r>
            <w:proofErr w:type="spellEnd"/>
            <w:r w:rsidRPr="000C7324">
              <w:rPr>
                <w:rFonts w:eastAsia="Times New Roman"/>
                <w:spacing w:val="0"/>
                <w:w w:val="100"/>
                <w:kern w:val="0"/>
                <w:sz w:val="16"/>
                <w:szCs w:val="16"/>
                <w:lang w:val="en-US"/>
              </w:rPr>
              <w:t xml:space="preserve"> (2 </w:t>
            </w:r>
            <w:proofErr w:type="spellStart"/>
            <w:r w:rsidRPr="000C7324">
              <w:rPr>
                <w:rFonts w:eastAsia="Times New Roman"/>
                <w:spacing w:val="0"/>
                <w:w w:val="100"/>
                <w:kern w:val="0"/>
                <w:sz w:val="16"/>
                <w:szCs w:val="16"/>
                <w:lang w:val="en-US"/>
              </w:rPr>
              <w:t>jours</w:t>
            </w:r>
            <w:proofErr w:type="spellEnd"/>
            <w:r w:rsidRPr="000C7324">
              <w:rPr>
                <w:rFonts w:eastAsia="Times New Roman"/>
                <w:spacing w:val="0"/>
                <w:w w:val="100"/>
                <w:kern w:val="0"/>
                <w:sz w:val="16"/>
                <w:szCs w:val="16"/>
                <w:lang w:val="en-US"/>
              </w:rPr>
              <w:t>)</w:t>
            </w:r>
          </w:p>
        </w:tc>
        <w:tc>
          <w:tcPr>
            <w:tcW w:w="590" w:type="pct"/>
            <w:tcBorders>
              <w:top w:val="single" w:sz="4" w:space="0" w:color="auto"/>
              <w:left w:val="nil"/>
              <w:bottom w:val="single" w:sz="4" w:space="0" w:color="auto"/>
              <w:right w:val="single" w:sz="8" w:space="0" w:color="auto"/>
            </w:tcBorders>
            <w:shd w:val="clear" w:color="000000" w:fill="DDEBF7"/>
            <w:vAlign w:val="center"/>
            <w:hideMark/>
          </w:tcPr>
          <w:p w14:paraId="75370A79"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123" w:type="pct"/>
            <w:tcBorders>
              <w:top w:val="nil"/>
              <w:left w:val="nil"/>
              <w:bottom w:val="nil"/>
              <w:right w:val="nil"/>
            </w:tcBorders>
            <w:shd w:val="clear" w:color="auto" w:fill="auto"/>
            <w:noWrap/>
            <w:vAlign w:val="center"/>
            <w:hideMark/>
          </w:tcPr>
          <w:p w14:paraId="5B99B77F"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p>
        </w:tc>
      </w:tr>
      <w:tr w:rsidR="00CC19BA" w:rsidRPr="000C7324" w14:paraId="172E2F57" w14:textId="77777777" w:rsidTr="00CC19BA">
        <w:trPr>
          <w:trHeight w:val="540"/>
        </w:trPr>
        <w:tc>
          <w:tcPr>
            <w:tcW w:w="190" w:type="pct"/>
            <w:vMerge/>
            <w:tcBorders>
              <w:top w:val="nil"/>
              <w:left w:val="single" w:sz="8" w:space="0" w:color="auto"/>
              <w:bottom w:val="single" w:sz="8" w:space="0" w:color="000000"/>
              <w:right w:val="single" w:sz="8" w:space="0" w:color="auto"/>
            </w:tcBorders>
            <w:vAlign w:val="center"/>
            <w:hideMark/>
          </w:tcPr>
          <w:p w14:paraId="2282AE49" w14:textId="77777777" w:rsidR="00CC19BA" w:rsidRPr="000C7324" w:rsidRDefault="00CC19BA" w:rsidP="00CC19BA">
            <w:pPr>
              <w:suppressAutoHyphens w:val="0"/>
              <w:spacing w:line="240" w:lineRule="auto"/>
              <w:rPr>
                <w:rFonts w:eastAsia="Times New Roman"/>
                <w:b/>
                <w:bCs/>
                <w:spacing w:val="0"/>
                <w:w w:val="100"/>
                <w:kern w:val="0"/>
                <w:sz w:val="16"/>
                <w:szCs w:val="16"/>
                <w:lang w:val="en-US"/>
              </w:rPr>
            </w:pPr>
          </w:p>
        </w:tc>
        <w:tc>
          <w:tcPr>
            <w:tcW w:w="660" w:type="pct"/>
            <w:tcBorders>
              <w:top w:val="nil"/>
              <w:left w:val="nil"/>
              <w:bottom w:val="single" w:sz="4" w:space="0" w:color="auto"/>
              <w:right w:val="single" w:sz="8" w:space="0" w:color="auto"/>
            </w:tcBorders>
            <w:shd w:val="clear" w:color="auto" w:fill="auto"/>
            <w:noWrap/>
            <w:vAlign w:val="center"/>
            <w:hideMark/>
          </w:tcPr>
          <w:p w14:paraId="0A64F9EB"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Inter-Session #48</w:t>
            </w:r>
          </w:p>
        </w:tc>
        <w:tc>
          <w:tcPr>
            <w:tcW w:w="394" w:type="pct"/>
            <w:tcBorders>
              <w:top w:val="nil"/>
              <w:left w:val="nil"/>
              <w:bottom w:val="single" w:sz="4" w:space="0" w:color="auto"/>
              <w:right w:val="single" w:sz="4" w:space="0" w:color="auto"/>
            </w:tcBorders>
            <w:shd w:val="clear" w:color="auto" w:fill="auto"/>
            <w:vAlign w:val="center"/>
            <w:hideMark/>
          </w:tcPr>
          <w:p w14:paraId="5ED46637"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nil"/>
              <w:left w:val="nil"/>
              <w:bottom w:val="single" w:sz="4" w:space="0" w:color="auto"/>
              <w:right w:val="single" w:sz="4" w:space="0" w:color="auto"/>
            </w:tcBorders>
            <w:shd w:val="clear" w:color="auto" w:fill="auto"/>
            <w:vAlign w:val="center"/>
            <w:hideMark/>
          </w:tcPr>
          <w:p w14:paraId="15622E84"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xml:space="preserve">Réunion inter-session (2 </w:t>
            </w:r>
            <w:proofErr w:type="spellStart"/>
            <w:r w:rsidRPr="000C7324">
              <w:rPr>
                <w:rFonts w:eastAsia="Times New Roman"/>
                <w:spacing w:val="0"/>
                <w:w w:val="100"/>
                <w:kern w:val="0"/>
                <w:sz w:val="16"/>
                <w:szCs w:val="16"/>
                <w:lang w:val="en-US"/>
              </w:rPr>
              <w:t>jours</w:t>
            </w:r>
            <w:proofErr w:type="spellEnd"/>
            <w:r w:rsidRPr="000C7324">
              <w:rPr>
                <w:rFonts w:eastAsia="Times New Roman"/>
                <w:spacing w:val="0"/>
                <w:w w:val="100"/>
                <w:kern w:val="0"/>
                <w:sz w:val="16"/>
                <w:szCs w:val="16"/>
                <w:lang w:val="en-US"/>
              </w:rPr>
              <w:t>)</w:t>
            </w:r>
          </w:p>
        </w:tc>
        <w:tc>
          <w:tcPr>
            <w:tcW w:w="490" w:type="pct"/>
            <w:tcBorders>
              <w:top w:val="nil"/>
              <w:left w:val="nil"/>
              <w:bottom w:val="single" w:sz="4" w:space="0" w:color="auto"/>
              <w:right w:val="single" w:sz="4" w:space="0" w:color="auto"/>
            </w:tcBorders>
            <w:shd w:val="clear" w:color="auto" w:fill="auto"/>
            <w:vAlign w:val="center"/>
            <w:hideMark/>
          </w:tcPr>
          <w:p w14:paraId="729F2BF5"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823" w:type="pct"/>
            <w:tcBorders>
              <w:top w:val="nil"/>
              <w:left w:val="nil"/>
              <w:bottom w:val="single" w:sz="4" w:space="0" w:color="auto"/>
              <w:right w:val="single" w:sz="4" w:space="0" w:color="auto"/>
            </w:tcBorders>
            <w:shd w:val="clear" w:color="auto" w:fill="auto"/>
            <w:vAlign w:val="center"/>
            <w:hideMark/>
          </w:tcPr>
          <w:p w14:paraId="5F664412"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nil"/>
              <w:left w:val="nil"/>
              <w:bottom w:val="nil"/>
              <w:right w:val="nil"/>
            </w:tcBorders>
            <w:shd w:val="clear" w:color="auto" w:fill="auto"/>
            <w:noWrap/>
            <w:vAlign w:val="bottom"/>
            <w:hideMark/>
          </w:tcPr>
          <w:p w14:paraId="714E604B"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p>
        </w:tc>
        <w:tc>
          <w:tcPr>
            <w:tcW w:w="394" w:type="pct"/>
            <w:tcBorders>
              <w:top w:val="nil"/>
              <w:left w:val="single" w:sz="4" w:space="0" w:color="auto"/>
              <w:bottom w:val="single" w:sz="4" w:space="0" w:color="auto"/>
              <w:right w:val="single" w:sz="4" w:space="0" w:color="auto"/>
            </w:tcBorders>
            <w:shd w:val="clear" w:color="auto" w:fill="auto"/>
            <w:vAlign w:val="center"/>
            <w:hideMark/>
          </w:tcPr>
          <w:p w14:paraId="66D123D1"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xml:space="preserve">Groupe de </w:t>
            </w:r>
            <w:proofErr w:type="spellStart"/>
            <w:r w:rsidRPr="000C7324">
              <w:rPr>
                <w:rFonts w:eastAsia="Times New Roman"/>
                <w:spacing w:val="0"/>
                <w:w w:val="100"/>
                <w:kern w:val="0"/>
                <w:sz w:val="16"/>
                <w:szCs w:val="16"/>
                <w:lang w:val="en-US"/>
              </w:rPr>
              <w:t>rédaction</w:t>
            </w:r>
            <w:proofErr w:type="spellEnd"/>
            <w:r w:rsidRPr="000C7324">
              <w:rPr>
                <w:rFonts w:eastAsia="Times New Roman"/>
                <w:spacing w:val="0"/>
                <w:w w:val="100"/>
                <w:kern w:val="0"/>
                <w:sz w:val="16"/>
                <w:szCs w:val="16"/>
                <w:lang w:val="en-US"/>
              </w:rPr>
              <w:t xml:space="preserve"> (2 </w:t>
            </w:r>
            <w:proofErr w:type="spellStart"/>
            <w:r w:rsidRPr="000C7324">
              <w:rPr>
                <w:rFonts w:eastAsia="Times New Roman"/>
                <w:spacing w:val="0"/>
                <w:w w:val="100"/>
                <w:kern w:val="0"/>
                <w:sz w:val="16"/>
                <w:szCs w:val="16"/>
                <w:lang w:val="en-US"/>
              </w:rPr>
              <w:t>jours</w:t>
            </w:r>
            <w:proofErr w:type="spellEnd"/>
            <w:r w:rsidRPr="000C7324">
              <w:rPr>
                <w:rFonts w:eastAsia="Times New Roman"/>
                <w:spacing w:val="0"/>
                <w:w w:val="100"/>
                <w:kern w:val="0"/>
                <w:sz w:val="16"/>
                <w:szCs w:val="16"/>
                <w:lang w:val="en-US"/>
              </w:rPr>
              <w:t>)</w:t>
            </w:r>
          </w:p>
        </w:tc>
        <w:tc>
          <w:tcPr>
            <w:tcW w:w="548" w:type="pct"/>
            <w:tcBorders>
              <w:top w:val="nil"/>
              <w:left w:val="nil"/>
              <w:bottom w:val="single" w:sz="4" w:space="0" w:color="auto"/>
              <w:right w:val="single" w:sz="4" w:space="0" w:color="auto"/>
            </w:tcBorders>
            <w:shd w:val="clear" w:color="auto" w:fill="auto"/>
            <w:vAlign w:val="center"/>
            <w:hideMark/>
          </w:tcPr>
          <w:p w14:paraId="0057EB76"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xml:space="preserve">Groupe de </w:t>
            </w:r>
            <w:proofErr w:type="spellStart"/>
            <w:r w:rsidRPr="000C7324">
              <w:rPr>
                <w:rFonts w:eastAsia="Times New Roman"/>
                <w:spacing w:val="0"/>
                <w:w w:val="100"/>
                <w:kern w:val="0"/>
                <w:sz w:val="16"/>
                <w:szCs w:val="16"/>
                <w:lang w:val="en-US"/>
              </w:rPr>
              <w:t>rédaction</w:t>
            </w:r>
            <w:proofErr w:type="spellEnd"/>
            <w:r w:rsidRPr="000C7324">
              <w:rPr>
                <w:rFonts w:eastAsia="Times New Roman"/>
                <w:spacing w:val="0"/>
                <w:w w:val="100"/>
                <w:kern w:val="0"/>
                <w:sz w:val="16"/>
                <w:szCs w:val="16"/>
                <w:lang w:val="en-US"/>
              </w:rPr>
              <w:t xml:space="preserve"> (2 </w:t>
            </w:r>
            <w:proofErr w:type="spellStart"/>
            <w:r w:rsidRPr="000C7324">
              <w:rPr>
                <w:rFonts w:eastAsia="Times New Roman"/>
                <w:spacing w:val="0"/>
                <w:w w:val="100"/>
                <w:kern w:val="0"/>
                <w:sz w:val="16"/>
                <w:szCs w:val="16"/>
                <w:lang w:val="en-US"/>
              </w:rPr>
              <w:t>jours</w:t>
            </w:r>
            <w:proofErr w:type="spellEnd"/>
            <w:r w:rsidRPr="000C7324">
              <w:rPr>
                <w:rFonts w:eastAsia="Times New Roman"/>
                <w:spacing w:val="0"/>
                <w:w w:val="100"/>
                <w:kern w:val="0"/>
                <w:sz w:val="16"/>
                <w:szCs w:val="16"/>
                <w:lang w:val="en-US"/>
              </w:rPr>
              <w:t>)</w:t>
            </w:r>
          </w:p>
        </w:tc>
        <w:tc>
          <w:tcPr>
            <w:tcW w:w="590" w:type="pct"/>
            <w:tcBorders>
              <w:top w:val="nil"/>
              <w:left w:val="nil"/>
              <w:bottom w:val="single" w:sz="4" w:space="0" w:color="auto"/>
              <w:right w:val="single" w:sz="8" w:space="0" w:color="auto"/>
            </w:tcBorders>
            <w:shd w:val="clear" w:color="auto" w:fill="auto"/>
            <w:vAlign w:val="center"/>
            <w:hideMark/>
          </w:tcPr>
          <w:p w14:paraId="47F0BBDF"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123" w:type="pct"/>
            <w:tcBorders>
              <w:top w:val="nil"/>
              <w:left w:val="nil"/>
              <w:bottom w:val="nil"/>
              <w:right w:val="nil"/>
            </w:tcBorders>
            <w:shd w:val="clear" w:color="auto" w:fill="auto"/>
            <w:noWrap/>
            <w:vAlign w:val="center"/>
            <w:hideMark/>
          </w:tcPr>
          <w:p w14:paraId="79644814"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p>
        </w:tc>
      </w:tr>
      <w:tr w:rsidR="00CC19BA" w:rsidRPr="000C7324" w14:paraId="22D4469F" w14:textId="77777777" w:rsidTr="00CC19BA">
        <w:trPr>
          <w:trHeight w:val="540"/>
        </w:trPr>
        <w:tc>
          <w:tcPr>
            <w:tcW w:w="190" w:type="pct"/>
            <w:vMerge/>
            <w:tcBorders>
              <w:top w:val="nil"/>
              <w:left w:val="single" w:sz="8" w:space="0" w:color="auto"/>
              <w:bottom w:val="single" w:sz="8" w:space="0" w:color="000000"/>
              <w:right w:val="single" w:sz="8" w:space="0" w:color="auto"/>
            </w:tcBorders>
            <w:vAlign w:val="center"/>
            <w:hideMark/>
          </w:tcPr>
          <w:p w14:paraId="61DACAAF" w14:textId="77777777" w:rsidR="00CC19BA" w:rsidRPr="000C7324" w:rsidRDefault="00CC19BA" w:rsidP="00CC19BA">
            <w:pPr>
              <w:suppressAutoHyphens w:val="0"/>
              <w:spacing w:line="240" w:lineRule="auto"/>
              <w:rPr>
                <w:rFonts w:eastAsia="Times New Roman"/>
                <w:b/>
                <w:bCs/>
                <w:spacing w:val="0"/>
                <w:w w:val="100"/>
                <w:kern w:val="0"/>
                <w:sz w:val="16"/>
                <w:szCs w:val="16"/>
                <w:lang w:val="en-US"/>
              </w:rPr>
            </w:pPr>
          </w:p>
        </w:tc>
        <w:tc>
          <w:tcPr>
            <w:tcW w:w="660" w:type="pct"/>
            <w:tcBorders>
              <w:top w:val="nil"/>
              <w:left w:val="nil"/>
              <w:bottom w:val="single" w:sz="4" w:space="0" w:color="auto"/>
              <w:right w:val="single" w:sz="8" w:space="0" w:color="auto"/>
            </w:tcBorders>
            <w:shd w:val="clear" w:color="000000" w:fill="DDEBF7"/>
            <w:noWrap/>
            <w:vAlign w:val="center"/>
            <w:hideMark/>
          </w:tcPr>
          <w:p w14:paraId="219E909D"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Groupe de travail #49</w:t>
            </w:r>
          </w:p>
        </w:tc>
        <w:tc>
          <w:tcPr>
            <w:tcW w:w="394" w:type="pct"/>
            <w:tcBorders>
              <w:top w:val="nil"/>
              <w:left w:val="nil"/>
              <w:bottom w:val="single" w:sz="4" w:space="0" w:color="auto"/>
              <w:right w:val="single" w:sz="4" w:space="0" w:color="auto"/>
            </w:tcBorders>
            <w:shd w:val="clear" w:color="000000" w:fill="DDEBF7"/>
            <w:vAlign w:val="center"/>
            <w:hideMark/>
          </w:tcPr>
          <w:p w14:paraId="5B1EA63C"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nil"/>
              <w:left w:val="nil"/>
              <w:bottom w:val="single" w:sz="4" w:space="0" w:color="auto"/>
              <w:right w:val="single" w:sz="4" w:space="0" w:color="auto"/>
            </w:tcBorders>
            <w:shd w:val="clear" w:color="000000" w:fill="DDEBF7"/>
            <w:vAlign w:val="center"/>
            <w:hideMark/>
          </w:tcPr>
          <w:p w14:paraId="41DC2569"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490" w:type="pct"/>
            <w:tcBorders>
              <w:top w:val="nil"/>
              <w:left w:val="nil"/>
              <w:bottom w:val="single" w:sz="4" w:space="0" w:color="auto"/>
              <w:right w:val="single" w:sz="4" w:space="0" w:color="auto"/>
            </w:tcBorders>
            <w:shd w:val="clear" w:color="000000" w:fill="DDEBF7"/>
            <w:vAlign w:val="center"/>
            <w:hideMark/>
          </w:tcPr>
          <w:p w14:paraId="35941047"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823" w:type="pct"/>
            <w:tcBorders>
              <w:top w:val="nil"/>
              <w:left w:val="nil"/>
              <w:bottom w:val="single" w:sz="4" w:space="0" w:color="auto"/>
              <w:right w:val="single" w:sz="4" w:space="0" w:color="auto"/>
            </w:tcBorders>
            <w:shd w:val="clear" w:color="000000" w:fill="DDEBF7"/>
            <w:vAlign w:val="center"/>
            <w:hideMark/>
          </w:tcPr>
          <w:p w14:paraId="0C413330"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single" w:sz="4" w:space="0" w:color="auto"/>
              <w:left w:val="nil"/>
              <w:bottom w:val="single" w:sz="4" w:space="0" w:color="auto"/>
              <w:right w:val="single" w:sz="4" w:space="0" w:color="auto"/>
            </w:tcBorders>
            <w:shd w:val="clear" w:color="000000" w:fill="DDEBF7"/>
            <w:vAlign w:val="center"/>
            <w:hideMark/>
          </w:tcPr>
          <w:p w14:paraId="3C555F2D"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proofErr w:type="spellStart"/>
            <w:r w:rsidRPr="000C7324">
              <w:rPr>
                <w:rFonts w:eastAsia="Times New Roman"/>
                <w:spacing w:val="0"/>
                <w:w w:val="100"/>
                <w:kern w:val="0"/>
                <w:sz w:val="16"/>
                <w:szCs w:val="16"/>
                <w:lang w:val="en-US"/>
              </w:rPr>
              <w:t>Seconde</w:t>
            </w:r>
            <w:proofErr w:type="spellEnd"/>
            <w:r w:rsidRPr="000C7324">
              <w:rPr>
                <w:rFonts w:eastAsia="Times New Roman"/>
                <w:spacing w:val="0"/>
                <w:w w:val="100"/>
                <w:kern w:val="0"/>
                <w:sz w:val="16"/>
                <w:szCs w:val="16"/>
                <w:lang w:val="en-US"/>
              </w:rPr>
              <w:t xml:space="preserve"> lecture (3 </w:t>
            </w:r>
            <w:proofErr w:type="spellStart"/>
            <w:r w:rsidRPr="000C7324">
              <w:rPr>
                <w:rFonts w:eastAsia="Times New Roman"/>
                <w:spacing w:val="0"/>
                <w:w w:val="100"/>
                <w:kern w:val="0"/>
                <w:sz w:val="16"/>
                <w:szCs w:val="16"/>
                <w:lang w:val="en-US"/>
              </w:rPr>
              <w:t>jours</w:t>
            </w:r>
            <w:proofErr w:type="spellEnd"/>
            <w:r w:rsidRPr="000C7324">
              <w:rPr>
                <w:rFonts w:eastAsia="Times New Roman"/>
                <w:spacing w:val="0"/>
                <w:w w:val="100"/>
                <w:kern w:val="0"/>
                <w:sz w:val="16"/>
                <w:szCs w:val="16"/>
                <w:lang w:val="en-US"/>
              </w:rPr>
              <w:t>)</w:t>
            </w:r>
          </w:p>
        </w:tc>
        <w:tc>
          <w:tcPr>
            <w:tcW w:w="394" w:type="pct"/>
            <w:tcBorders>
              <w:top w:val="nil"/>
              <w:left w:val="nil"/>
              <w:bottom w:val="single" w:sz="4" w:space="0" w:color="auto"/>
              <w:right w:val="single" w:sz="4" w:space="0" w:color="auto"/>
            </w:tcBorders>
            <w:shd w:val="clear" w:color="000000" w:fill="DDEBF7"/>
            <w:vAlign w:val="center"/>
            <w:hideMark/>
          </w:tcPr>
          <w:p w14:paraId="323117AB"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548" w:type="pct"/>
            <w:tcBorders>
              <w:top w:val="nil"/>
              <w:left w:val="nil"/>
              <w:bottom w:val="single" w:sz="4" w:space="0" w:color="auto"/>
              <w:right w:val="single" w:sz="4" w:space="0" w:color="auto"/>
            </w:tcBorders>
            <w:shd w:val="clear" w:color="000000" w:fill="DDEBF7"/>
            <w:vAlign w:val="center"/>
            <w:hideMark/>
          </w:tcPr>
          <w:p w14:paraId="2065B831"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590" w:type="pct"/>
            <w:tcBorders>
              <w:top w:val="nil"/>
              <w:left w:val="nil"/>
              <w:bottom w:val="single" w:sz="4" w:space="0" w:color="auto"/>
              <w:right w:val="single" w:sz="8" w:space="0" w:color="auto"/>
            </w:tcBorders>
            <w:shd w:val="clear" w:color="000000" w:fill="DDEBF7"/>
            <w:vAlign w:val="center"/>
            <w:hideMark/>
          </w:tcPr>
          <w:p w14:paraId="7957E4B2"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Instructions (1 jour)</w:t>
            </w:r>
          </w:p>
        </w:tc>
        <w:tc>
          <w:tcPr>
            <w:tcW w:w="123" w:type="pct"/>
            <w:tcBorders>
              <w:top w:val="nil"/>
              <w:left w:val="nil"/>
              <w:bottom w:val="nil"/>
              <w:right w:val="nil"/>
            </w:tcBorders>
            <w:shd w:val="clear" w:color="auto" w:fill="auto"/>
            <w:noWrap/>
            <w:vAlign w:val="center"/>
            <w:hideMark/>
          </w:tcPr>
          <w:p w14:paraId="3BED8A02"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p>
        </w:tc>
      </w:tr>
      <w:tr w:rsidR="00CC19BA" w:rsidRPr="000C7324" w14:paraId="2850B7A4" w14:textId="77777777" w:rsidTr="00CC19BA">
        <w:trPr>
          <w:trHeight w:val="540"/>
        </w:trPr>
        <w:tc>
          <w:tcPr>
            <w:tcW w:w="190" w:type="pct"/>
            <w:vMerge/>
            <w:tcBorders>
              <w:top w:val="nil"/>
              <w:left w:val="single" w:sz="8" w:space="0" w:color="auto"/>
              <w:bottom w:val="single" w:sz="8" w:space="0" w:color="000000"/>
              <w:right w:val="single" w:sz="8" w:space="0" w:color="auto"/>
            </w:tcBorders>
            <w:vAlign w:val="center"/>
            <w:hideMark/>
          </w:tcPr>
          <w:p w14:paraId="44A5F7B6" w14:textId="77777777" w:rsidR="00CC19BA" w:rsidRPr="000C7324" w:rsidRDefault="00CC19BA" w:rsidP="00CC19BA">
            <w:pPr>
              <w:suppressAutoHyphens w:val="0"/>
              <w:spacing w:line="240" w:lineRule="auto"/>
              <w:rPr>
                <w:rFonts w:eastAsia="Times New Roman"/>
                <w:b/>
                <w:bCs/>
                <w:spacing w:val="0"/>
                <w:w w:val="100"/>
                <w:kern w:val="0"/>
                <w:sz w:val="16"/>
                <w:szCs w:val="16"/>
                <w:lang w:val="en-US"/>
              </w:rPr>
            </w:pPr>
          </w:p>
        </w:tc>
        <w:tc>
          <w:tcPr>
            <w:tcW w:w="660" w:type="pct"/>
            <w:tcBorders>
              <w:top w:val="nil"/>
              <w:left w:val="nil"/>
              <w:bottom w:val="single" w:sz="8" w:space="0" w:color="auto"/>
              <w:right w:val="single" w:sz="8" w:space="0" w:color="auto"/>
            </w:tcBorders>
            <w:shd w:val="clear" w:color="auto" w:fill="auto"/>
            <w:noWrap/>
            <w:vAlign w:val="center"/>
            <w:hideMark/>
          </w:tcPr>
          <w:p w14:paraId="2E1CD291"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Inter-Session #49</w:t>
            </w:r>
          </w:p>
        </w:tc>
        <w:tc>
          <w:tcPr>
            <w:tcW w:w="394" w:type="pct"/>
            <w:tcBorders>
              <w:top w:val="nil"/>
              <w:left w:val="nil"/>
              <w:bottom w:val="single" w:sz="8" w:space="0" w:color="auto"/>
              <w:right w:val="single" w:sz="4" w:space="0" w:color="auto"/>
            </w:tcBorders>
            <w:shd w:val="clear" w:color="auto" w:fill="auto"/>
            <w:vAlign w:val="center"/>
            <w:hideMark/>
          </w:tcPr>
          <w:p w14:paraId="22C6C92A"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nil"/>
              <w:left w:val="nil"/>
              <w:bottom w:val="single" w:sz="8" w:space="0" w:color="auto"/>
              <w:right w:val="single" w:sz="4" w:space="0" w:color="auto"/>
            </w:tcBorders>
            <w:shd w:val="clear" w:color="auto" w:fill="auto"/>
            <w:vAlign w:val="center"/>
            <w:hideMark/>
          </w:tcPr>
          <w:p w14:paraId="3F20047C"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xml:space="preserve">Groupe de </w:t>
            </w:r>
            <w:proofErr w:type="spellStart"/>
            <w:r w:rsidRPr="000C7324">
              <w:rPr>
                <w:rFonts w:eastAsia="Times New Roman"/>
                <w:spacing w:val="0"/>
                <w:w w:val="100"/>
                <w:kern w:val="0"/>
                <w:sz w:val="16"/>
                <w:szCs w:val="16"/>
                <w:lang w:val="en-US"/>
              </w:rPr>
              <w:t>rédaction</w:t>
            </w:r>
            <w:proofErr w:type="spellEnd"/>
            <w:r w:rsidRPr="000C7324">
              <w:rPr>
                <w:rFonts w:eastAsia="Times New Roman"/>
                <w:spacing w:val="0"/>
                <w:w w:val="100"/>
                <w:kern w:val="0"/>
                <w:sz w:val="16"/>
                <w:szCs w:val="16"/>
                <w:lang w:val="en-US"/>
              </w:rPr>
              <w:t xml:space="preserve"> (1 jour)</w:t>
            </w:r>
          </w:p>
        </w:tc>
        <w:tc>
          <w:tcPr>
            <w:tcW w:w="490" w:type="pct"/>
            <w:tcBorders>
              <w:top w:val="nil"/>
              <w:left w:val="nil"/>
              <w:bottom w:val="single" w:sz="8" w:space="0" w:color="auto"/>
              <w:right w:val="single" w:sz="4" w:space="0" w:color="auto"/>
            </w:tcBorders>
            <w:shd w:val="clear" w:color="auto" w:fill="auto"/>
            <w:vAlign w:val="center"/>
            <w:hideMark/>
          </w:tcPr>
          <w:p w14:paraId="4A58D3AD"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823" w:type="pct"/>
            <w:tcBorders>
              <w:top w:val="nil"/>
              <w:left w:val="nil"/>
              <w:bottom w:val="single" w:sz="8" w:space="0" w:color="auto"/>
              <w:right w:val="single" w:sz="4" w:space="0" w:color="auto"/>
            </w:tcBorders>
            <w:shd w:val="clear" w:color="auto" w:fill="auto"/>
            <w:vAlign w:val="center"/>
            <w:hideMark/>
          </w:tcPr>
          <w:p w14:paraId="4CBD6A64"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nil"/>
              <w:left w:val="nil"/>
              <w:bottom w:val="single" w:sz="8" w:space="0" w:color="auto"/>
              <w:right w:val="single" w:sz="4" w:space="0" w:color="auto"/>
            </w:tcBorders>
            <w:shd w:val="clear" w:color="auto" w:fill="auto"/>
            <w:vAlign w:val="center"/>
            <w:hideMark/>
          </w:tcPr>
          <w:p w14:paraId="19A7504D"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nil"/>
              <w:left w:val="nil"/>
              <w:bottom w:val="single" w:sz="8" w:space="0" w:color="auto"/>
              <w:right w:val="single" w:sz="4" w:space="0" w:color="auto"/>
            </w:tcBorders>
            <w:shd w:val="clear" w:color="auto" w:fill="auto"/>
            <w:vAlign w:val="center"/>
            <w:hideMark/>
          </w:tcPr>
          <w:p w14:paraId="42C068DF"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548" w:type="pct"/>
            <w:tcBorders>
              <w:top w:val="nil"/>
              <w:left w:val="nil"/>
              <w:bottom w:val="single" w:sz="8" w:space="0" w:color="auto"/>
              <w:right w:val="single" w:sz="4" w:space="0" w:color="auto"/>
            </w:tcBorders>
            <w:shd w:val="clear" w:color="auto" w:fill="auto"/>
            <w:vAlign w:val="center"/>
            <w:hideMark/>
          </w:tcPr>
          <w:p w14:paraId="6A84171D"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590" w:type="pct"/>
            <w:tcBorders>
              <w:top w:val="nil"/>
              <w:left w:val="nil"/>
              <w:bottom w:val="single" w:sz="8" w:space="0" w:color="auto"/>
              <w:right w:val="single" w:sz="8" w:space="0" w:color="auto"/>
            </w:tcBorders>
            <w:shd w:val="clear" w:color="auto" w:fill="auto"/>
            <w:vAlign w:val="center"/>
            <w:hideMark/>
          </w:tcPr>
          <w:p w14:paraId="6877A726"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xml:space="preserve">Groupe de </w:t>
            </w:r>
            <w:proofErr w:type="spellStart"/>
            <w:r w:rsidRPr="000C7324">
              <w:rPr>
                <w:rFonts w:eastAsia="Times New Roman"/>
                <w:spacing w:val="0"/>
                <w:w w:val="100"/>
                <w:kern w:val="0"/>
                <w:sz w:val="16"/>
                <w:szCs w:val="16"/>
                <w:lang w:val="en-US"/>
              </w:rPr>
              <w:t>rédaction</w:t>
            </w:r>
            <w:proofErr w:type="spellEnd"/>
            <w:r w:rsidRPr="000C7324">
              <w:rPr>
                <w:rFonts w:eastAsia="Times New Roman"/>
                <w:spacing w:val="0"/>
                <w:w w:val="100"/>
                <w:kern w:val="0"/>
                <w:sz w:val="16"/>
                <w:szCs w:val="16"/>
                <w:lang w:val="en-US"/>
              </w:rPr>
              <w:t xml:space="preserve"> (3 </w:t>
            </w:r>
            <w:proofErr w:type="spellStart"/>
            <w:r w:rsidRPr="000C7324">
              <w:rPr>
                <w:rFonts w:eastAsia="Times New Roman"/>
                <w:spacing w:val="0"/>
                <w:w w:val="100"/>
                <w:kern w:val="0"/>
                <w:sz w:val="16"/>
                <w:szCs w:val="16"/>
                <w:lang w:val="en-US"/>
              </w:rPr>
              <w:t>jours</w:t>
            </w:r>
            <w:proofErr w:type="spellEnd"/>
            <w:r w:rsidRPr="000C7324">
              <w:rPr>
                <w:rFonts w:eastAsia="Times New Roman"/>
                <w:spacing w:val="0"/>
                <w:w w:val="100"/>
                <w:kern w:val="0"/>
                <w:sz w:val="16"/>
                <w:szCs w:val="16"/>
                <w:lang w:val="en-US"/>
              </w:rPr>
              <w:t>)</w:t>
            </w:r>
          </w:p>
        </w:tc>
        <w:tc>
          <w:tcPr>
            <w:tcW w:w="123" w:type="pct"/>
            <w:tcBorders>
              <w:top w:val="nil"/>
              <w:left w:val="nil"/>
              <w:bottom w:val="nil"/>
              <w:right w:val="nil"/>
            </w:tcBorders>
            <w:shd w:val="clear" w:color="auto" w:fill="auto"/>
            <w:noWrap/>
            <w:vAlign w:val="center"/>
            <w:hideMark/>
          </w:tcPr>
          <w:p w14:paraId="5154410F"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p>
        </w:tc>
      </w:tr>
      <w:tr w:rsidR="00CC19BA" w:rsidRPr="000C7324" w14:paraId="09F77F94" w14:textId="77777777" w:rsidTr="00CC19BA">
        <w:trPr>
          <w:trHeight w:val="540"/>
        </w:trPr>
        <w:tc>
          <w:tcPr>
            <w:tcW w:w="19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BA1C43A"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2024</w:t>
            </w:r>
          </w:p>
        </w:tc>
        <w:tc>
          <w:tcPr>
            <w:tcW w:w="660" w:type="pct"/>
            <w:tcBorders>
              <w:top w:val="nil"/>
              <w:left w:val="nil"/>
              <w:bottom w:val="single" w:sz="4" w:space="0" w:color="auto"/>
              <w:right w:val="single" w:sz="8" w:space="0" w:color="auto"/>
            </w:tcBorders>
            <w:shd w:val="clear" w:color="000000" w:fill="DDEBF7"/>
            <w:noWrap/>
            <w:vAlign w:val="center"/>
            <w:hideMark/>
          </w:tcPr>
          <w:p w14:paraId="47F1C102" w14:textId="345CE23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Groupe de travail #50</w:t>
            </w:r>
          </w:p>
        </w:tc>
        <w:tc>
          <w:tcPr>
            <w:tcW w:w="394" w:type="pct"/>
            <w:tcBorders>
              <w:top w:val="single" w:sz="8" w:space="0" w:color="auto"/>
              <w:left w:val="nil"/>
              <w:bottom w:val="single" w:sz="4" w:space="0" w:color="auto"/>
              <w:right w:val="single" w:sz="4" w:space="0" w:color="auto"/>
            </w:tcBorders>
            <w:shd w:val="clear" w:color="000000" w:fill="DDEBF7"/>
            <w:vAlign w:val="center"/>
            <w:hideMark/>
          </w:tcPr>
          <w:p w14:paraId="20863EB3"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single" w:sz="8" w:space="0" w:color="auto"/>
              <w:left w:val="nil"/>
              <w:bottom w:val="single" w:sz="4" w:space="0" w:color="auto"/>
              <w:right w:val="single" w:sz="4" w:space="0" w:color="auto"/>
            </w:tcBorders>
            <w:shd w:val="clear" w:color="000000" w:fill="DDEBF7"/>
            <w:vAlign w:val="center"/>
            <w:hideMark/>
          </w:tcPr>
          <w:p w14:paraId="59200BC1"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Première lecture (1 jour)</w:t>
            </w:r>
          </w:p>
        </w:tc>
        <w:tc>
          <w:tcPr>
            <w:tcW w:w="490" w:type="pct"/>
            <w:tcBorders>
              <w:top w:val="single" w:sz="8" w:space="0" w:color="auto"/>
              <w:left w:val="nil"/>
              <w:bottom w:val="single" w:sz="4" w:space="0" w:color="auto"/>
              <w:right w:val="single" w:sz="4" w:space="0" w:color="auto"/>
            </w:tcBorders>
            <w:shd w:val="clear" w:color="000000" w:fill="DDEBF7"/>
            <w:vAlign w:val="center"/>
            <w:hideMark/>
          </w:tcPr>
          <w:p w14:paraId="3D6FC3D4"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823" w:type="pct"/>
            <w:tcBorders>
              <w:top w:val="single" w:sz="8" w:space="0" w:color="auto"/>
              <w:left w:val="nil"/>
              <w:bottom w:val="single" w:sz="4" w:space="0" w:color="auto"/>
              <w:right w:val="single" w:sz="4" w:space="0" w:color="auto"/>
            </w:tcBorders>
            <w:shd w:val="clear" w:color="000000" w:fill="DDEBF7"/>
            <w:vAlign w:val="center"/>
            <w:hideMark/>
          </w:tcPr>
          <w:p w14:paraId="03B87842"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single" w:sz="8" w:space="0" w:color="auto"/>
              <w:left w:val="nil"/>
              <w:bottom w:val="single" w:sz="4" w:space="0" w:color="auto"/>
              <w:right w:val="single" w:sz="4" w:space="0" w:color="auto"/>
            </w:tcBorders>
            <w:shd w:val="clear" w:color="000000" w:fill="DDEBF7"/>
            <w:vAlign w:val="center"/>
            <w:hideMark/>
          </w:tcPr>
          <w:p w14:paraId="56EA2017"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single" w:sz="8" w:space="0" w:color="auto"/>
              <w:left w:val="nil"/>
              <w:bottom w:val="single" w:sz="4" w:space="0" w:color="auto"/>
              <w:right w:val="single" w:sz="4" w:space="0" w:color="auto"/>
            </w:tcBorders>
            <w:shd w:val="clear" w:color="000000" w:fill="DDEBF7"/>
            <w:vAlign w:val="center"/>
            <w:hideMark/>
          </w:tcPr>
          <w:p w14:paraId="6EDE0152"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548" w:type="pct"/>
            <w:tcBorders>
              <w:top w:val="single" w:sz="8" w:space="0" w:color="auto"/>
              <w:left w:val="nil"/>
              <w:bottom w:val="single" w:sz="4" w:space="0" w:color="auto"/>
              <w:right w:val="single" w:sz="4" w:space="0" w:color="auto"/>
            </w:tcBorders>
            <w:shd w:val="clear" w:color="000000" w:fill="DDEBF7"/>
            <w:vAlign w:val="center"/>
            <w:hideMark/>
          </w:tcPr>
          <w:p w14:paraId="55E5A75D"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proofErr w:type="spellStart"/>
            <w:r w:rsidRPr="000C7324">
              <w:rPr>
                <w:rFonts w:eastAsia="Times New Roman"/>
                <w:spacing w:val="0"/>
                <w:w w:val="100"/>
                <w:kern w:val="0"/>
                <w:sz w:val="16"/>
                <w:szCs w:val="16"/>
                <w:lang w:val="en-US"/>
              </w:rPr>
              <w:t>Seconde</w:t>
            </w:r>
            <w:proofErr w:type="spellEnd"/>
            <w:r w:rsidRPr="000C7324">
              <w:rPr>
                <w:rFonts w:eastAsia="Times New Roman"/>
                <w:spacing w:val="0"/>
                <w:w w:val="100"/>
                <w:kern w:val="0"/>
                <w:sz w:val="16"/>
                <w:szCs w:val="16"/>
                <w:lang w:val="en-US"/>
              </w:rPr>
              <w:t xml:space="preserve"> lecture (3 </w:t>
            </w:r>
            <w:proofErr w:type="spellStart"/>
            <w:r w:rsidRPr="000C7324">
              <w:rPr>
                <w:rFonts w:eastAsia="Times New Roman"/>
                <w:spacing w:val="0"/>
                <w:w w:val="100"/>
                <w:kern w:val="0"/>
                <w:sz w:val="16"/>
                <w:szCs w:val="16"/>
                <w:lang w:val="en-US"/>
              </w:rPr>
              <w:t>jours</w:t>
            </w:r>
            <w:proofErr w:type="spellEnd"/>
            <w:r w:rsidRPr="000C7324">
              <w:rPr>
                <w:rFonts w:eastAsia="Times New Roman"/>
                <w:spacing w:val="0"/>
                <w:w w:val="100"/>
                <w:kern w:val="0"/>
                <w:sz w:val="16"/>
                <w:szCs w:val="16"/>
                <w:lang w:val="en-US"/>
              </w:rPr>
              <w:t>)</w:t>
            </w:r>
          </w:p>
        </w:tc>
        <w:tc>
          <w:tcPr>
            <w:tcW w:w="590" w:type="pct"/>
            <w:tcBorders>
              <w:top w:val="single" w:sz="8" w:space="0" w:color="auto"/>
              <w:left w:val="nil"/>
              <w:bottom w:val="single" w:sz="4" w:space="0" w:color="auto"/>
              <w:right w:val="single" w:sz="8" w:space="0" w:color="auto"/>
            </w:tcBorders>
            <w:shd w:val="clear" w:color="000000" w:fill="DDEBF7"/>
            <w:vAlign w:val="center"/>
            <w:hideMark/>
          </w:tcPr>
          <w:p w14:paraId="66528F4C"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123" w:type="pct"/>
            <w:tcBorders>
              <w:top w:val="nil"/>
              <w:left w:val="nil"/>
              <w:bottom w:val="nil"/>
              <w:right w:val="nil"/>
            </w:tcBorders>
            <w:shd w:val="clear" w:color="auto" w:fill="auto"/>
            <w:vAlign w:val="center"/>
            <w:hideMark/>
          </w:tcPr>
          <w:p w14:paraId="085041C3"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p>
        </w:tc>
      </w:tr>
      <w:tr w:rsidR="00CC19BA" w:rsidRPr="000C7324" w14:paraId="558E6478" w14:textId="77777777" w:rsidTr="00CC19BA">
        <w:trPr>
          <w:trHeight w:val="540"/>
        </w:trPr>
        <w:tc>
          <w:tcPr>
            <w:tcW w:w="190" w:type="pct"/>
            <w:vMerge/>
            <w:tcBorders>
              <w:top w:val="nil"/>
              <w:left w:val="single" w:sz="8" w:space="0" w:color="auto"/>
              <w:bottom w:val="single" w:sz="8" w:space="0" w:color="000000"/>
              <w:right w:val="single" w:sz="8" w:space="0" w:color="auto"/>
            </w:tcBorders>
            <w:vAlign w:val="center"/>
            <w:hideMark/>
          </w:tcPr>
          <w:p w14:paraId="76E60AE8" w14:textId="77777777" w:rsidR="00CC19BA" w:rsidRPr="000C7324" w:rsidRDefault="00CC19BA" w:rsidP="00CC19BA">
            <w:pPr>
              <w:suppressAutoHyphens w:val="0"/>
              <w:spacing w:line="240" w:lineRule="auto"/>
              <w:rPr>
                <w:rFonts w:eastAsia="Times New Roman"/>
                <w:b/>
                <w:bCs/>
                <w:spacing w:val="0"/>
                <w:w w:val="100"/>
                <w:kern w:val="0"/>
                <w:sz w:val="16"/>
                <w:szCs w:val="16"/>
                <w:lang w:val="en-US"/>
              </w:rPr>
            </w:pPr>
          </w:p>
        </w:tc>
        <w:tc>
          <w:tcPr>
            <w:tcW w:w="660" w:type="pct"/>
            <w:tcBorders>
              <w:top w:val="nil"/>
              <w:left w:val="nil"/>
              <w:bottom w:val="single" w:sz="4" w:space="0" w:color="auto"/>
              <w:right w:val="single" w:sz="8" w:space="0" w:color="auto"/>
            </w:tcBorders>
            <w:shd w:val="clear" w:color="auto" w:fill="auto"/>
            <w:noWrap/>
            <w:vAlign w:val="center"/>
            <w:hideMark/>
          </w:tcPr>
          <w:p w14:paraId="723D64AF"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Inter-Session #50</w:t>
            </w:r>
          </w:p>
        </w:tc>
        <w:tc>
          <w:tcPr>
            <w:tcW w:w="394" w:type="pct"/>
            <w:tcBorders>
              <w:top w:val="nil"/>
              <w:left w:val="nil"/>
              <w:bottom w:val="single" w:sz="4" w:space="0" w:color="auto"/>
              <w:right w:val="single" w:sz="4" w:space="0" w:color="auto"/>
            </w:tcBorders>
            <w:shd w:val="clear" w:color="auto" w:fill="auto"/>
            <w:vAlign w:val="center"/>
            <w:hideMark/>
          </w:tcPr>
          <w:p w14:paraId="384C77E6"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nil"/>
              <w:left w:val="nil"/>
              <w:bottom w:val="single" w:sz="4" w:space="0" w:color="auto"/>
              <w:right w:val="single" w:sz="4" w:space="0" w:color="auto"/>
            </w:tcBorders>
            <w:shd w:val="clear" w:color="auto" w:fill="auto"/>
            <w:vAlign w:val="center"/>
            <w:hideMark/>
          </w:tcPr>
          <w:p w14:paraId="68A082CD"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xml:space="preserve">Groupe de </w:t>
            </w:r>
            <w:proofErr w:type="spellStart"/>
            <w:r w:rsidRPr="000C7324">
              <w:rPr>
                <w:rFonts w:eastAsia="Times New Roman"/>
                <w:spacing w:val="0"/>
                <w:w w:val="100"/>
                <w:kern w:val="0"/>
                <w:sz w:val="16"/>
                <w:szCs w:val="16"/>
                <w:lang w:val="en-US"/>
              </w:rPr>
              <w:t>rédaction</w:t>
            </w:r>
            <w:proofErr w:type="spellEnd"/>
            <w:r w:rsidRPr="000C7324">
              <w:rPr>
                <w:rFonts w:eastAsia="Times New Roman"/>
                <w:spacing w:val="0"/>
                <w:w w:val="100"/>
                <w:kern w:val="0"/>
                <w:sz w:val="16"/>
                <w:szCs w:val="16"/>
                <w:lang w:val="en-US"/>
              </w:rPr>
              <w:t xml:space="preserve"> (2 </w:t>
            </w:r>
            <w:proofErr w:type="spellStart"/>
            <w:r w:rsidRPr="000C7324">
              <w:rPr>
                <w:rFonts w:eastAsia="Times New Roman"/>
                <w:spacing w:val="0"/>
                <w:w w:val="100"/>
                <w:kern w:val="0"/>
                <w:sz w:val="16"/>
                <w:szCs w:val="16"/>
                <w:lang w:val="en-US"/>
              </w:rPr>
              <w:t>jours</w:t>
            </w:r>
            <w:proofErr w:type="spellEnd"/>
            <w:r w:rsidRPr="000C7324">
              <w:rPr>
                <w:rFonts w:eastAsia="Times New Roman"/>
                <w:spacing w:val="0"/>
                <w:w w:val="100"/>
                <w:kern w:val="0"/>
                <w:sz w:val="16"/>
                <w:szCs w:val="16"/>
                <w:lang w:val="en-US"/>
              </w:rPr>
              <w:t>)</w:t>
            </w:r>
          </w:p>
        </w:tc>
        <w:tc>
          <w:tcPr>
            <w:tcW w:w="490" w:type="pct"/>
            <w:tcBorders>
              <w:top w:val="nil"/>
              <w:left w:val="nil"/>
              <w:bottom w:val="single" w:sz="4" w:space="0" w:color="auto"/>
              <w:right w:val="single" w:sz="4" w:space="0" w:color="auto"/>
            </w:tcBorders>
            <w:shd w:val="clear" w:color="auto" w:fill="auto"/>
            <w:vAlign w:val="center"/>
            <w:hideMark/>
          </w:tcPr>
          <w:p w14:paraId="70C6E0EA"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823" w:type="pct"/>
            <w:tcBorders>
              <w:top w:val="nil"/>
              <w:left w:val="nil"/>
              <w:bottom w:val="single" w:sz="4" w:space="0" w:color="auto"/>
              <w:right w:val="single" w:sz="4" w:space="0" w:color="auto"/>
            </w:tcBorders>
            <w:shd w:val="clear" w:color="auto" w:fill="auto"/>
            <w:vAlign w:val="center"/>
            <w:hideMark/>
          </w:tcPr>
          <w:p w14:paraId="18AF672C"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nil"/>
              <w:left w:val="nil"/>
              <w:bottom w:val="single" w:sz="4" w:space="0" w:color="auto"/>
              <w:right w:val="single" w:sz="4" w:space="0" w:color="auto"/>
            </w:tcBorders>
            <w:shd w:val="clear" w:color="auto" w:fill="auto"/>
            <w:vAlign w:val="center"/>
            <w:hideMark/>
          </w:tcPr>
          <w:p w14:paraId="1C15C7B2"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nil"/>
              <w:left w:val="nil"/>
              <w:bottom w:val="single" w:sz="4" w:space="0" w:color="auto"/>
              <w:right w:val="single" w:sz="4" w:space="0" w:color="auto"/>
            </w:tcBorders>
            <w:shd w:val="clear" w:color="auto" w:fill="auto"/>
            <w:vAlign w:val="center"/>
            <w:hideMark/>
          </w:tcPr>
          <w:p w14:paraId="0A9AC0CC"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548" w:type="pct"/>
            <w:tcBorders>
              <w:top w:val="nil"/>
              <w:left w:val="nil"/>
              <w:bottom w:val="single" w:sz="4" w:space="0" w:color="auto"/>
              <w:right w:val="single" w:sz="4" w:space="0" w:color="auto"/>
            </w:tcBorders>
            <w:shd w:val="clear" w:color="auto" w:fill="auto"/>
            <w:vAlign w:val="center"/>
            <w:hideMark/>
          </w:tcPr>
          <w:p w14:paraId="6DE3105F"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590" w:type="pct"/>
            <w:tcBorders>
              <w:top w:val="nil"/>
              <w:left w:val="nil"/>
              <w:bottom w:val="single" w:sz="4" w:space="0" w:color="auto"/>
              <w:right w:val="single" w:sz="8" w:space="0" w:color="auto"/>
            </w:tcBorders>
            <w:shd w:val="clear" w:color="auto" w:fill="auto"/>
            <w:vAlign w:val="center"/>
            <w:hideMark/>
          </w:tcPr>
          <w:p w14:paraId="3AF80A8B"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xml:space="preserve">Groupe de </w:t>
            </w:r>
            <w:proofErr w:type="spellStart"/>
            <w:r w:rsidRPr="000C7324">
              <w:rPr>
                <w:rFonts w:eastAsia="Times New Roman"/>
                <w:spacing w:val="0"/>
                <w:w w:val="100"/>
                <w:kern w:val="0"/>
                <w:sz w:val="16"/>
                <w:szCs w:val="16"/>
                <w:lang w:val="en-US"/>
              </w:rPr>
              <w:t>rédaction</w:t>
            </w:r>
            <w:proofErr w:type="spellEnd"/>
            <w:r w:rsidRPr="000C7324">
              <w:rPr>
                <w:rFonts w:eastAsia="Times New Roman"/>
                <w:spacing w:val="0"/>
                <w:w w:val="100"/>
                <w:kern w:val="0"/>
                <w:sz w:val="16"/>
                <w:szCs w:val="16"/>
                <w:lang w:val="en-US"/>
              </w:rPr>
              <w:t xml:space="preserve"> (3 </w:t>
            </w:r>
            <w:proofErr w:type="spellStart"/>
            <w:r w:rsidRPr="000C7324">
              <w:rPr>
                <w:rFonts w:eastAsia="Times New Roman"/>
                <w:spacing w:val="0"/>
                <w:w w:val="100"/>
                <w:kern w:val="0"/>
                <w:sz w:val="16"/>
                <w:szCs w:val="16"/>
                <w:lang w:val="en-US"/>
              </w:rPr>
              <w:t>jours</w:t>
            </w:r>
            <w:proofErr w:type="spellEnd"/>
            <w:r w:rsidRPr="000C7324">
              <w:rPr>
                <w:rFonts w:eastAsia="Times New Roman"/>
                <w:spacing w:val="0"/>
                <w:w w:val="100"/>
                <w:kern w:val="0"/>
                <w:sz w:val="16"/>
                <w:szCs w:val="16"/>
                <w:lang w:val="en-US"/>
              </w:rPr>
              <w:t>)</w:t>
            </w:r>
          </w:p>
        </w:tc>
        <w:tc>
          <w:tcPr>
            <w:tcW w:w="123" w:type="pct"/>
            <w:tcBorders>
              <w:top w:val="nil"/>
              <w:left w:val="nil"/>
              <w:bottom w:val="nil"/>
              <w:right w:val="nil"/>
            </w:tcBorders>
            <w:shd w:val="clear" w:color="auto" w:fill="auto"/>
            <w:noWrap/>
            <w:vAlign w:val="center"/>
            <w:hideMark/>
          </w:tcPr>
          <w:p w14:paraId="58B93E0D"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p>
        </w:tc>
      </w:tr>
      <w:tr w:rsidR="00CC19BA" w:rsidRPr="000C7324" w14:paraId="2864E98E" w14:textId="77777777" w:rsidTr="00CC19BA">
        <w:trPr>
          <w:trHeight w:val="540"/>
        </w:trPr>
        <w:tc>
          <w:tcPr>
            <w:tcW w:w="190" w:type="pct"/>
            <w:vMerge/>
            <w:tcBorders>
              <w:top w:val="nil"/>
              <w:left w:val="single" w:sz="8" w:space="0" w:color="auto"/>
              <w:bottom w:val="single" w:sz="8" w:space="0" w:color="000000"/>
              <w:right w:val="single" w:sz="8" w:space="0" w:color="auto"/>
            </w:tcBorders>
            <w:vAlign w:val="center"/>
            <w:hideMark/>
          </w:tcPr>
          <w:p w14:paraId="52B13113" w14:textId="77777777" w:rsidR="00CC19BA" w:rsidRPr="000C7324" w:rsidRDefault="00CC19BA" w:rsidP="00CC19BA">
            <w:pPr>
              <w:suppressAutoHyphens w:val="0"/>
              <w:spacing w:line="240" w:lineRule="auto"/>
              <w:rPr>
                <w:rFonts w:eastAsia="Times New Roman"/>
                <w:b/>
                <w:bCs/>
                <w:spacing w:val="0"/>
                <w:w w:val="100"/>
                <w:kern w:val="0"/>
                <w:sz w:val="16"/>
                <w:szCs w:val="16"/>
                <w:lang w:val="en-US"/>
              </w:rPr>
            </w:pPr>
          </w:p>
        </w:tc>
        <w:tc>
          <w:tcPr>
            <w:tcW w:w="660" w:type="pct"/>
            <w:tcBorders>
              <w:top w:val="nil"/>
              <w:left w:val="nil"/>
              <w:bottom w:val="single" w:sz="4" w:space="0" w:color="auto"/>
              <w:right w:val="single" w:sz="8" w:space="0" w:color="auto"/>
            </w:tcBorders>
            <w:shd w:val="clear" w:color="000000" w:fill="DDEBF7"/>
            <w:noWrap/>
            <w:vAlign w:val="center"/>
            <w:hideMark/>
          </w:tcPr>
          <w:p w14:paraId="72B48BCD" w14:textId="607A3D4C"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Groupe de travail #51</w:t>
            </w:r>
          </w:p>
        </w:tc>
        <w:tc>
          <w:tcPr>
            <w:tcW w:w="394" w:type="pct"/>
            <w:tcBorders>
              <w:top w:val="single" w:sz="4" w:space="0" w:color="auto"/>
              <w:left w:val="nil"/>
              <w:bottom w:val="single" w:sz="4" w:space="0" w:color="auto"/>
              <w:right w:val="single" w:sz="4" w:space="0" w:color="auto"/>
            </w:tcBorders>
            <w:shd w:val="clear" w:color="000000" w:fill="DDEBF7"/>
            <w:vAlign w:val="center"/>
            <w:hideMark/>
          </w:tcPr>
          <w:p w14:paraId="136438E0"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nil"/>
              <w:left w:val="nil"/>
              <w:bottom w:val="single" w:sz="4" w:space="0" w:color="auto"/>
              <w:right w:val="single" w:sz="4" w:space="0" w:color="auto"/>
            </w:tcBorders>
            <w:shd w:val="clear" w:color="000000" w:fill="DDEBF7"/>
            <w:vAlign w:val="center"/>
            <w:hideMark/>
          </w:tcPr>
          <w:p w14:paraId="06E6B787"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490" w:type="pct"/>
            <w:tcBorders>
              <w:top w:val="nil"/>
              <w:left w:val="nil"/>
              <w:bottom w:val="single" w:sz="4" w:space="0" w:color="auto"/>
              <w:right w:val="single" w:sz="4" w:space="0" w:color="auto"/>
            </w:tcBorders>
            <w:shd w:val="clear" w:color="000000" w:fill="DDEBF7"/>
            <w:vAlign w:val="center"/>
            <w:hideMark/>
          </w:tcPr>
          <w:p w14:paraId="5C1B7AD3"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823" w:type="pct"/>
            <w:tcBorders>
              <w:top w:val="nil"/>
              <w:left w:val="nil"/>
              <w:bottom w:val="single" w:sz="4" w:space="0" w:color="auto"/>
              <w:right w:val="single" w:sz="4" w:space="0" w:color="auto"/>
            </w:tcBorders>
            <w:shd w:val="clear" w:color="000000" w:fill="DDEBF7"/>
            <w:vAlign w:val="center"/>
            <w:hideMark/>
          </w:tcPr>
          <w:p w14:paraId="2543E71E"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nil"/>
              <w:left w:val="nil"/>
              <w:bottom w:val="single" w:sz="4" w:space="0" w:color="auto"/>
              <w:right w:val="single" w:sz="4" w:space="0" w:color="auto"/>
            </w:tcBorders>
            <w:shd w:val="clear" w:color="000000" w:fill="DDEBF7"/>
            <w:vAlign w:val="center"/>
            <w:hideMark/>
          </w:tcPr>
          <w:p w14:paraId="3906240B"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nil"/>
              <w:left w:val="nil"/>
              <w:bottom w:val="single" w:sz="4" w:space="0" w:color="auto"/>
              <w:right w:val="single" w:sz="4" w:space="0" w:color="auto"/>
            </w:tcBorders>
            <w:shd w:val="clear" w:color="000000" w:fill="DDEBF7"/>
            <w:vAlign w:val="center"/>
            <w:hideMark/>
          </w:tcPr>
          <w:p w14:paraId="3BA1920A"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proofErr w:type="spellStart"/>
            <w:r w:rsidRPr="000C7324">
              <w:rPr>
                <w:rFonts w:eastAsia="Times New Roman"/>
                <w:spacing w:val="0"/>
                <w:w w:val="100"/>
                <w:kern w:val="0"/>
                <w:sz w:val="16"/>
                <w:szCs w:val="16"/>
                <w:lang w:val="en-US"/>
              </w:rPr>
              <w:t>Seconde</w:t>
            </w:r>
            <w:proofErr w:type="spellEnd"/>
            <w:r w:rsidRPr="000C7324">
              <w:rPr>
                <w:rFonts w:eastAsia="Times New Roman"/>
                <w:spacing w:val="0"/>
                <w:w w:val="100"/>
                <w:kern w:val="0"/>
                <w:sz w:val="16"/>
                <w:szCs w:val="16"/>
                <w:lang w:val="en-US"/>
              </w:rPr>
              <w:t xml:space="preserve"> lecture (3 </w:t>
            </w:r>
            <w:proofErr w:type="spellStart"/>
            <w:r w:rsidRPr="000C7324">
              <w:rPr>
                <w:rFonts w:eastAsia="Times New Roman"/>
                <w:spacing w:val="0"/>
                <w:w w:val="100"/>
                <w:kern w:val="0"/>
                <w:sz w:val="16"/>
                <w:szCs w:val="16"/>
                <w:lang w:val="en-US"/>
              </w:rPr>
              <w:t>jours</w:t>
            </w:r>
            <w:proofErr w:type="spellEnd"/>
            <w:r w:rsidRPr="000C7324">
              <w:rPr>
                <w:rFonts w:eastAsia="Times New Roman"/>
                <w:spacing w:val="0"/>
                <w:w w:val="100"/>
                <w:kern w:val="0"/>
                <w:sz w:val="16"/>
                <w:szCs w:val="16"/>
                <w:lang w:val="en-US"/>
              </w:rPr>
              <w:t>)</w:t>
            </w:r>
          </w:p>
        </w:tc>
        <w:tc>
          <w:tcPr>
            <w:tcW w:w="548" w:type="pct"/>
            <w:tcBorders>
              <w:top w:val="nil"/>
              <w:left w:val="nil"/>
              <w:bottom w:val="single" w:sz="4" w:space="0" w:color="auto"/>
              <w:right w:val="single" w:sz="4" w:space="0" w:color="auto"/>
            </w:tcBorders>
            <w:shd w:val="clear" w:color="000000" w:fill="DDEBF7"/>
            <w:vAlign w:val="center"/>
            <w:hideMark/>
          </w:tcPr>
          <w:p w14:paraId="406C4D85"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590" w:type="pct"/>
            <w:tcBorders>
              <w:top w:val="nil"/>
              <w:left w:val="nil"/>
              <w:bottom w:val="single" w:sz="4" w:space="0" w:color="auto"/>
              <w:right w:val="single" w:sz="8" w:space="0" w:color="auto"/>
            </w:tcBorders>
            <w:shd w:val="clear" w:color="000000" w:fill="DDEBF7"/>
            <w:vAlign w:val="center"/>
            <w:hideMark/>
          </w:tcPr>
          <w:p w14:paraId="15E6B086"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Première lecture (1 jour)</w:t>
            </w:r>
          </w:p>
        </w:tc>
        <w:tc>
          <w:tcPr>
            <w:tcW w:w="123" w:type="pct"/>
            <w:tcBorders>
              <w:top w:val="nil"/>
              <w:left w:val="nil"/>
              <w:bottom w:val="nil"/>
              <w:right w:val="nil"/>
            </w:tcBorders>
            <w:shd w:val="clear" w:color="auto" w:fill="auto"/>
            <w:noWrap/>
            <w:vAlign w:val="center"/>
            <w:hideMark/>
          </w:tcPr>
          <w:p w14:paraId="4E0EC9EA"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p>
        </w:tc>
      </w:tr>
      <w:tr w:rsidR="00CC19BA" w:rsidRPr="000C7324" w14:paraId="32FEFAA5" w14:textId="77777777" w:rsidTr="00CC19BA">
        <w:trPr>
          <w:trHeight w:val="540"/>
        </w:trPr>
        <w:tc>
          <w:tcPr>
            <w:tcW w:w="190" w:type="pct"/>
            <w:vMerge/>
            <w:tcBorders>
              <w:top w:val="nil"/>
              <w:left w:val="single" w:sz="8" w:space="0" w:color="auto"/>
              <w:bottom w:val="single" w:sz="8" w:space="0" w:color="000000"/>
              <w:right w:val="single" w:sz="8" w:space="0" w:color="auto"/>
            </w:tcBorders>
            <w:vAlign w:val="center"/>
            <w:hideMark/>
          </w:tcPr>
          <w:p w14:paraId="4260B45E" w14:textId="77777777" w:rsidR="00CC19BA" w:rsidRPr="000C7324" w:rsidRDefault="00CC19BA" w:rsidP="00CC19BA">
            <w:pPr>
              <w:suppressAutoHyphens w:val="0"/>
              <w:spacing w:line="240" w:lineRule="auto"/>
              <w:rPr>
                <w:rFonts w:eastAsia="Times New Roman"/>
                <w:b/>
                <w:bCs/>
                <w:spacing w:val="0"/>
                <w:w w:val="100"/>
                <w:kern w:val="0"/>
                <w:sz w:val="16"/>
                <w:szCs w:val="16"/>
                <w:lang w:val="en-US"/>
              </w:rPr>
            </w:pPr>
          </w:p>
        </w:tc>
        <w:tc>
          <w:tcPr>
            <w:tcW w:w="660" w:type="pct"/>
            <w:vMerge w:val="restart"/>
            <w:tcBorders>
              <w:top w:val="nil"/>
              <w:left w:val="single" w:sz="8" w:space="0" w:color="auto"/>
              <w:bottom w:val="single" w:sz="4" w:space="0" w:color="000000"/>
              <w:right w:val="single" w:sz="8" w:space="0" w:color="auto"/>
            </w:tcBorders>
            <w:shd w:val="clear" w:color="auto" w:fill="auto"/>
            <w:noWrap/>
            <w:vAlign w:val="center"/>
            <w:hideMark/>
          </w:tcPr>
          <w:p w14:paraId="12F45471"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Inter-Session #51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14:paraId="425821CE"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nil"/>
              <w:left w:val="nil"/>
              <w:bottom w:val="single" w:sz="4" w:space="0" w:color="auto"/>
              <w:right w:val="single" w:sz="4" w:space="0" w:color="auto"/>
            </w:tcBorders>
            <w:shd w:val="clear" w:color="auto" w:fill="auto"/>
            <w:vAlign w:val="center"/>
            <w:hideMark/>
          </w:tcPr>
          <w:p w14:paraId="4A15C2DD"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490" w:type="pct"/>
            <w:tcBorders>
              <w:top w:val="nil"/>
              <w:left w:val="nil"/>
              <w:bottom w:val="single" w:sz="4" w:space="0" w:color="auto"/>
              <w:right w:val="single" w:sz="4" w:space="0" w:color="auto"/>
            </w:tcBorders>
            <w:shd w:val="clear" w:color="auto" w:fill="auto"/>
            <w:vAlign w:val="center"/>
            <w:hideMark/>
          </w:tcPr>
          <w:p w14:paraId="3FE168C2"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823" w:type="pct"/>
            <w:tcBorders>
              <w:top w:val="nil"/>
              <w:left w:val="nil"/>
              <w:bottom w:val="single" w:sz="4" w:space="0" w:color="auto"/>
              <w:right w:val="single" w:sz="4" w:space="0" w:color="auto"/>
            </w:tcBorders>
            <w:shd w:val="clear" w:color="auto" w:fill="auto"/>
            <w:vAlign w:val="center"/>
            <w:hideMark/>
          </w:tcPr>
          <w:p w14:paraId="457CB776"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nil"/>
              <w:left w:val="nil"/>
              <w:bottom w:val="single" w:sz="4" w:space="0" w:color="auto"/>
              <w:right w:val="single" w:sz="4" w:space="0" w:color="auto"/>
            </w:tcBorders>
            <w:shd w:val="clear" w:color="auto" w:fill="auto"/>
            <w:vAlign w:val="center"/>
            <w:hideMark/>
          </w:tcPr>
          <w:p w14:paraId="5C9713AA"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nil"/>
              <w:left w:val="nil"/>
              <w:bottom w:val="single" w:sz="4" w:space="0" w:color="auto"/>
              <w:right w:val="single" w:sz="4" w:space="0" w:color="auto"/>
            </w:tcBorders>
            <w:shd w:val="clear" w:color="auto" w:fill="auto"/>
            <w:vAlign w:val="center"/>
            <w:hideMark/>
          </w:tcPr>
          <w:p w14:paraId="2ADA4CE2"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548" w:type="pct"/>
            <w:tcBorders>
              <w:top w:val="nil"/>
              <w:left w:val="nil"/>
              <w:bottom w:val="single" w:sz="4" w:space="0" w:color="auto"/>
              <w:right w:val="single" w:sz="4" w:space="0" w:color="auto"/>
            </w:tcBorders>
            <w:shd w:val="clear" w:color="auto" w:fill="auto"/>
            <w:vAlign w:val="center"/>
            <w:hideMark/>
          </w:tcPr>
          <w:p w14:paraId="13C431B4"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590" w:type="pct"/>
            <w:tcBorders>
              <w:top w:val="nil"/>
              <w:left w:val="nil"/>
              <w:bottom w:val="single" w:sz="4" w:space="0" w:color="auto"/>
              <w:right w:val="single" w:sz="8" w:space="0" w:color="auto"/>
            </w:tcBorders>
            <w:shd w:val="clear" w:color="auto" w:fill="auto"/>
            <w:vAlign w:val="center"/>
            <w:hideMark/>
          </w:tcPr>
          <w:p w14:paraId="68B37153"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xml:space="preserve">Groupe de </w:t>
            </w:r>
            <w:proofErr w:type="spellStart"/>
            <w:r w:rsidRPr="000C7324">
              <w:rPr>
                <w:rFonts w:eastAsia="Times New Roman"/>
                <w:spacing w:val="0"/>
                <w:w w:val="100"/>
                <w:kern w:val="0"/>
                <w:sz w:val="16"/>
                <w:szCs w:val="16"/>
                <w:lang w:val="en-US"/>
              </w:rPr>
              <w:t>rédaction</w:t>
            </w:r>
            <w:proofErr w:type="spellEnd"/>
            <w:r w:rsidRPr="000C7324">
              <w:rPr>
                <w:rFonts w:eastAsia="Times New Roman"/>
                <w:spacing w:val="0"/>
                <w:w w:val="100"/>
                <w:kern w:val="0"/>
                <w:sz w:val="16"/>
                <w:szCs w:val="16"/>
                <w:lang w:val="en-US"/>
              </w:rPr>
              <w:t xml:space="preserve"> (1 jour)</w:t>
            </w:r>
          </w:p>
        </w:tc>
        <w:tc>
          <w:tcPr>
            <w:tcW w:w="123" w:type="pct"/>
            <w:tcBorders>
              <w:top w:val="nil"/>
              <w:left w:val="nil"/>
              <w:bottom w:val="nil"/>
              <w:right w:val="nil"/>
            </w:tcBorders>
            <w:shd w:val="clear" w:color="auto" w:fill="auto"/>
            <w:noWrap/>
            <w:vAlign w:val="center"/>
            <w:hideMark/>
          </w:tcPr>
          <w:p w14:paraId="470F5A10"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p>
        </w:tc>
      </w:tr>
      <w:tr w:rsidR="00CC19BA" w:rsidRPr="000C7324" w14:paraId="51901746" w14:textId="77777777" w:rsidTr="00CC19BA">
        <w:trPr>
          <w:trHeight w:val="660"/>
        </w:trPr>
        <w:tc>
          <w:tcPr>
            <w:tcW w:w="190" w:type="pct"/>
            <w:vMerge/>
            <w:tcBorders>
              <w:top w:val="nil"/>
              <w:left w:val="single" w:sz="8" w:space="0" w:color="auto"/>
              <w:bottom w:val="single" w:sz="8" w:space="0" w:color="000000"/>
              <w:right w:val="single" w:sz="8" w:space="0" w:color="auto"/>
            </w:tcBorders>
            <w:vAlign w:val="center"/>
            <w:hideMark/>
          </w:tcPr>
          <w:p w14:paraId="7AE255D1" w14:textId="77777777" w:rsidR="00CC19BA" w:rsidRPr="000C7324" w:rsidRDefault="00CC19BA" w:rsidP="00CC19BA">
            <w:pPr>
              <w:suppressAutoHyphens w:val="0"/>
              <w:spacing w:line="240" w:lineRule="auto"/>
              <w:rPr>
                <w:rFonts w:eastAsia="Times New Roman"/>
                <w:b/>
                <w:bCs/>
                <w:spacing w:val="0"/>
                <w:w w:val="100"/>
                <w:kern w:val="0"/>
                <w:sz w:val="16"/>
                <w:szCs w:val="16"/>
                <w:lang w:val="en-US"/>
              </w:rPr>
            </w:pPr>
          </w:p>
        </w:tc>
        <w:tc>
          <w:tcPr>
            <w:tcW w:w="660" w:type="pct"/>
            <w:vMerge/>
            <w:tcBorders>
              <w:top w:val="nil"/>
              <w:left w:val="single" w:sz="8" w:space="0" w:color="auto"/>
              <w:bottom w:val="single" w:sz="4" w:space="0" w:color="000000"/>
              <w:right w:val="single" w:sz="8" w:space="0" w:color="auto"/>
            </w:tcBorders>
            <w:vAlign w:val="center"/>
            <w:hideMark/>
          </w:tcPr>
          <w:p w14:paraId="580336E0" w14:textId="77777777" w:rsidR="00CC19BA" w:rsidRPr="000C7324" w:rsidRDefault="00CC19BA" w:rsidP="00CC19BA">
            <w:pPr>
              <w:suppressAutoHyphens w:val="0"/>
              <w:spacing w:line="240" w:lineRule="auto"/>
              <w:rPr>
                <w:rFonts w:eastAsia="Times New Roman"/>
                <w:b/>
                <w:bCs/>
                <w:spacing w:val="0"/>
                <w:w w:val="100"/>
                <w:kern w:val="0"/>
                <w:sz w:val="16"/>
                <w:szCs w:val="16"/>
                <w:lang w:val="en-US"/>
              </w:rPr>
            </w:pPr>
          </w:p>
        </w:tc>
        <w:tc>
          <w:tcPr>
            <w:tcW w:w="4026" w:type="pct"/>
            <w:gridSpan w:val="8"/>
            <w:tcBorders>
              <w:top w:val="single" w:sz="4" w:space="0" w:color="auto"/>
              <w:left w:val="nil"/>
              <w:bottom w:val="nil"/>
              <w:right w:val="single" w:sz="8" w:space="0" w:color="000000"/>
            </w:tcBorders>
            <w:shd w:val="clear" w:color="000000" w:fill="E2EFDA"/>
            <w:vAlign w:val="center"/>
            <w:hideMark/>
          </w:tcPr>
          <w:p w14:paraId="0E5D0446"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fr-FR"/>
              </w:rPr>
            </w:pPr>
            <w:r w:rsidRPr="000C7324">
              <w:rPr>
                <w:rFonts w:eastAsia="Times New Roman"/>
                <w:b/>
                <w:bCs/>
                <w:spacing w:val="0"/>
                <w:w w:val="100"/>
                <w:kern w:val="0"/>
                <w:sz w:val="16"/>
                <w:szCs w:val="16"/>
                <w:lang w:val="fr-FR"/>
              </w:rPr>
              <w:t xml:space="preserve">Commission #57- Approbation de principe des réformes concernant la création d'un centre consultatif multilatéral, d'un </w:t>
            </w:r>
            <w:proofErr w:type="spellStart"/>
            <w:r w:rsidRPr="000C7324">
              <w:rPr>
                <w:rFonts w:eastAsia="Times New Roman"/>
                <w:b/>
                <w:bCs/>
                <w:spacing w:val="0"/>
                <w:w w:val="100"/>
                <w:kern w:val="0"/>
                <w:sz w:val="16"/>
                <w:szCs w:val="16"/>
                <w:lang w:val="fr-FR"/>
              </w:rPr>
              <w:t>méchanisme</w:t>
            </w:r>
            <w:proofErr w:type="spellEnd"/>
            <w:r w:rsidRPr="000C7324">
              <w:rPr>
                <w:rFonts w:eastAsia="Times New Roman"/>
                <w:b/>
                <w:bCs/>
                <w:spacing w:val="0"/>
                <w:w w:val="100"/>
                <w:kern w:val="0"/>
                <w:sz w:val="16"/>
                <w:szCs w:val="16"/>
                <w:lang w:val="fr-FR"/>
              </w:rPr>
              <w:t xml:space="preserve"> d'appel et d'une cour multilatérale et permanente d'investissement</w:t>
            </w:r>
          </w:p>
        </w:tc>
        <w:tc>
          <w:tcPr>
            <w:tcW w:w="123" w:type="pct"/>
            <w:tcBorders>
              <w:top w:val="nil"/>
              <w:left w:val="nil"/>
              <w:bottom w:val="nil"/>
              <w:right w:val="nil"/>
            </w:tcBorders>
            <w:shd w:val="clear" w:color="auto" w:fill="auto"/>
            <w:noWrap/>
            <w:vAlign w:val="center"/>
            <w:hideMark/>
          </w:tcPr>
          <w:p w14:paraId="21799D31"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fr-FR"/>
              </w:rPr>
            </w:pPr>
          </w:p>
        </w:tc>
      </w:tr>
      <w:tr w:rsidR="00CC19BA" w:rsidRPr="000C7324" w14:paraId="6460B9E3" w14:textId="77777777" w:rsidTr="00CC19BA">
        <w:trPr>
          <w:trHeight w:val="540"/>
        </w:trPr>
        <w:tc>
          <w:tcPr>
            <w:tcW w:w="190" w:type="pct"/>
            <w:vMerge/>
            <w:tcBorders>
              <w:top w:val="nil"/>
              <w:left w:val="single" w:sz="8" w:space="0" w:color="auto"/>
              <w:bottom w:val="single" w:sz="8" w:space="0" w:color="000000"/>
              <w:right w:val="single" w:sz="8" w:space="0" w:color="auto"/>
            </w:tcBorders>
            <w:vAlign w:val="center"/>
            <w:hideMark/>
          </w:tcPr>
          <w:p w14:paraId="1FD9B44B" w14:textId="77777777" w:rsidR="00CC19BA" w:rsidRPr="000C7324" w:rsidRDefault="00CC19BA" w:rsidP="00CC19BA">
            <w:pPr>
              <w:suppressAutoHyphens w:val="0"/>
              <w:spacing w:line="240" w:lineRule="auto"/>
              <w:rPr>
                <w:rFonts w:eastAsia="Times New Roman"/>
                <w:b/>
                <w:bCs/>
                <w:spacing w:val="0"/>
                <w:w w:val="100"/>
                <w:kern w:val="0"/>
                <w:sz w:val="16"/>
                <w:szCs w:val="16"/>
                <w:lang w:val="fr-FR"/>
              </w:rPr>
            </w:pPr>
          </w:p>
        </w:tc>
        <w:tc>
          <w:tcPr>
            <w:tcW w:w="660" w:type="pct"/>
            <w:tcBorders>
              <w:top w:val="nil"/>
              <w:left w:val="nil"/>
              <w:bottom w:val="single" w:sz="4" w:space="0" w:color="auto"/>
              <w:right w:val="single" w:sz="8" w:space="0" w:color="auto"/>
            </w:tcBorders>
            <w:shd w:val="clear" w:color="000000" w:fill="DDEBF7"/>
            <w:noWrap/>
            <w:vAlign w:val="center"/>
            <w:hideMark/>
          </w:tcPr>
          <w:p w14:paraId="7DE66F3E"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Groupe de travail #52</w:t>
            </w:r>
          </w:p>
        </w:tc>
        <w:tc>
          <w:tcPr>
            <w:tcW w:w="394" w:type="pct"/>
            <w:tcBorders>
              <w:top w:val="single" w:sz="4" w:space="0" w:color="auto"/>
              <w:left w:val="nil"/>
              <w:bottom w:val="single" w:sz="4" w:space="0" w:color="auto"/>
              <w:right w:val="single" w:sz="4" w:space="0" w:color="auto"/>
            </w:tcBorders>
            <w:shd w:val="clear" w:color="000000" w:fill="DDEBF7"/>
            <w:vAlign w:val="center"/>
            <w:hideMark/>
          </w:tcPr>
          <w:p w14:paraId="0C46A11A"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single" w:sz="4" w:space="0" w:color="auto"/>
              <w:left w:val="nil"/>
              <w:bottom w:val="single" w:sz="4" w:space="0" w:color="auto"/>
              <w:right w:val="single" w:sz="4" w:space="0" w:color="auto"/>
            </w:tcBorders>
            <w:shd w:val="clear" w:color="000000" w:fill="DDEBF7"/>
            <w:vAlign w:val="center"/>
            <w:hideMark/>
          </w:tcPr>
          <w:p w14:paraId="0C9F146D"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proofErr w:type="spellStart"/>
            <w:r w:rsidRPr="000C7324">
              <w:rPr>
                <w:rFonts w:eastAsia="Times New Roman"/>
                <w:spacing w:val="0"/>
                <w:w w:val="100"/>
                <w:kern w:val="0"/>
                <w:sz w:val="16"/>
                <w:szCs w:val="16"/>
                <w:lang w:val="en-US"/>
              </w:rPr>
              <w:t>Seconde</w:t>
            </w:r>
            <w:proofErr w:type="spellEnd"/>
            <w:r w:rsidRPr="000C7324">
              <w:rPr>
                <w:rFonts w:eastAsia="Times New Roman"/>
                <w:spacing w:val="0"/>
                <w:w w:val="100"/>
                <w:kern w:val="0"/>
                <w:sz w:val="16"/>
                <w:szCs w:val="16"/>
                <w:lang w:val="en-US"/>
              </w:rPr>
              <w:t xml:space="preserve"> lecture (2 </w:t>
            </w:r>
            <w:proofErr w:type="spellStart"/>
            <w:r w:rsidRPr="000C7324">
              <w:rPr>
                <w:rFonts w:eastAsia="Times New Roman"/>
                <w:spacing w:val="0"/>
                <w:w w:val="100"/>
                <w:kern w:val="0"/>
                <w:sz w:val="16"/>
                <w:szCs w:val="16"/>
                <w:lang w:val="en-US"/>
              </w:rPr>
              <w:t>jours</w:t>
            </w:r>
            <w:proofErr w:type="spellEnd"/>
            <w:r w:rsidRPr="000C7324">
              <w:rPr>
                <w:rFonts w:eastAsia="Times New Roman"/>
                <w:spacing w:val="0"/>
                <w:w w:val="100"/>
                <w:kern w:val="0"/>
                <w:sz w:val="16"/>
                <w:szCs w:val="16"/>
                <w:lang w:val="en-US"/>
              </w:rPr>
              <w:t>)</w:t>
            </w:r>
          </w:p>
        </w:tc>
        <w:tc>
          <w:tcPr>
            <w:tcW w:w="490" w:type="pct"/>
            <w:tcBorders>
              <w:top w:val="single" w:sz="4" w:space="0" w:color="auto"/>
              <w:left w:val="nil"/>
              <w:bottom w:val="single" w:sz="4" w:space="0" w:color="auto"/>
              <w:right w:val="single" w:sz="4" w:space="0" w:color="auto"/>
            </w:tcBorders>
            <w:shd w:val="clear" w:color="000000" w:fill="DDEBF7"/>
            <w:vAlign w:val="center"/>
            <w:hideMark/>
          </w:tcPr>
          <w:p w14:paraId="4DDF52FE"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823" w:type="pct"/>
            <w:tcBorders>
              <w:top w:val="single" w:sz="4" w:space="0" w:color="auto"/>
              <w:left w:val="nil"/>
              <w:bottom w:val="single" w:sz="4" w:space="0" w:color="auto"/>
              <w:right w:val="single" w:sz="4" w:space="0" w:color="auto"/>
            </w:tcBorders>
            <w:shd w:val="clear" w:color="000000" w:fill="DDEBF7"/>
            <w:vAlign w:val="center"/>
            <w:hideMark/>
          </w:tcPr>
          <w:p w14:paraId="0B7FB95C"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single" w:sz="4" w:space="0" w:color="auto"/>
              <w:left w:val="nil"/>
              <w:bottom w:val="single" w:sz="4" w:space="0" w:color="auto"/>
              <w:right w:val="single" w:sz="4" w:space="0" w:color="auto"/>
            </w:tcBorders>
            <w:shd w:val="clear" w:color="000000" w:fill="DDEBF7"/>
            <w:vAlign w:val="center"/>
            <w:hideMark/>
          </w:tcPr>
          <w:p w14:paraId="3DF6C528"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single" w:sz="4" w:space="0" w:color="auto"/>
              <w:left w:val="nil"/>
              <w:bottom w:val="single" w:sz="4" w:space="0" w:color="auto"/>
              <w:right w:val="single" w:sz="4" w:space="0" w:color="auto"/>
            </w:tcBorders>
            <w:shd w:val="clear" w:color="000000" w:fill="DDEBF7"/>
            <w:vAlign w:val="center"/>
            <w:hideMark/>
          </w:tcPr>
          <w:p w14:paraId="3EF654FD"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548" w:type="pct"/>
            <w:tcBorders>
              <w:top w:val="single" w:sz="4" w:space="0" w:color="auto"/>
              <w:left w:val="nil"/>
              <w:bottom w:val="single" w:sz="4" w:space="0" w:color="auto"/>
              <w:right w:val="single" w:sz="4" w:space="0" w:color="auto"/>
            </w:tcBorders>
            <w:shd w:val="clear" w:color="000000" w:fill="DDEBF7"/>
            <w:vAlign w:val="center"/>
            <w:hideMark/>
          </w:tcPr>
          <w:p w14:paraId="0B27565D"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590" w:type="pct"/>
            <w:tcBorders>
              <w:top w:val="single" w:sz="4" w:space="0" w:color="auto"/>
              <w:left w:val="nil"/>
              <w:bottom w:val="single" w:sz="4" w:space="0" w:color="auto"/>
              <w:right w:val="single" w:sz="8" w:space="0" w:color="auto"/>
            </w:tcBorders>
            <w:shd w:val="clear" w:color="000000" w:fill="DDEBF7"/>
            <w:vAlign w:val="center"/>
            <w:hideMark/>
          </w:tcPr>
          <w:p w14:paraId="7F28E933"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xml:space="preserve">Première lecture (reprise) (2 </w:t>
            </w:r>
            <w:proofErr w:type="spellStart"/>
            <w:r w:rsidRPr="000C7324">
              <w:rPr>
                <w:rFonts w:eastAsia="Times New Roman"/>
                <w:spacing w:val="0"/>
                <w:w w:val="100"/>
                <w:kern w:val="0"/>
                <w:sz w:val="16"/>
                <w:szCs w:val="16"/>
                <w:lang w:val="en-US"/>
              </w:rPr>
              <w:t>jours</w:t>
            </w:r>
            <w:proofErr w:type="spellEnd"/>
            <w:r w:rsidRPr="000C7324">
              <w:rPr>
                <w:rFonts w:eastAsia="Times New Roman"/>
                <w:spacing w:val="0"/>
                <w:w w:val="100"/>
                <w:kern w:val="0"/>
                <w:sz w:val="16"/>
                <w:szCs w:val="16"/>
                <w:lang w:val="en-US"/>
              </w:rPr>
              <w:t>)</w:t>
            </w:r>
          </w:p>
        </w:tc>
        <w:tc>
          <w:tcPr>
            <w:tcW w:w="123" w:type="pct"/>
            <w:tcBorders>
              <w:top w:val="nil"/>
              <w:left w:val="nil"/>
              <w:bottom w:val="nil"/>
              <w:right w:val="nil"/>
            </w:tcBorders>
            <w:shd w:val="clear" w:color="auto" w:fill="auto"/>
            <w:noWrap/>
            <w:vAlign w:val="center"/>
            <w:hideMark/>
          </w:tcPr>
          <w:p w14:paraId="5F874B4D"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p>
        </w:tc>
      </w:tr>
      <w:tr w:rsidR="00CC19BA" w:rsidRPr="000C7324" w14:paraId="5A7AC38A" w14:textId="77777777" w:rsidTr="00CC19BA">
        <w:trPr>
          <w:trHeight w:val="540"/>
        </w:trPr>
        <w:tc>
          <w:tcPr>
            <w:tcW w:w="190" w:type="pct"/>
            <w:vMerge/>
            <w:tcBorders>
              <w:top w:val="nil"/>
              <w:left w:val="single" w:sz="8" w:space="0" w:color="auto"/>
              <w:bottom w:val="single" w:sz="8" w:space="0" w:color="000000"/>
              <w:right w:val="single" w:sz="8" w:space="0" w:color="auto"/>
            </w:tcBorders>
            <w:vAlign w:val="center"/>
            <w:hideMark/>
          </w:tcPr>
          <w:p w14:paraId="6DC82F66" w14:textId="77777777" w:rsidR="00CC19BA" w:rsidRPr="000C7324" w:rsidRDefault="00CC19BA" w:rsidP="00CC19BA">
            <w:pPr>
              <w:suppressAutoHyphens w:val="0"/>
              <w:spacing w:line="240" w:lineRule="auto"/>
              <w:rPr>
                <w:rFonts w:eastAsia="Times New Roman"/>
                <w:b/>
                <w:bCs/>
                <w:spacing w:val="0"/>
                <w:w w:val="100"/>
                <w:kern w:val="0"/>
                <w:sz w:val="16"/>
                <w:szCs w:val="16"/>
                <w:lang w:val="en-US"/>
              </w:rPr>
            </w:pPr>
          </w:p>
        </w:tc>
        <w:tc>
          <w:tcPr>
            <w:tcW w:w="660" w:type="pct"/>
            <w:tcBorders>
              <w:top w:val="nil"/>
              <w:left w:val="nil"/>
              <w:bottom w:val="nil"/>
              <w:right w:val="single" w:sz="8" w:space="0" w:color="auto"/>
            </w:tcBorders>
            <w:shd w:val="clear" w:color="000000" w:fill="FFFFFF"/>
            <w:noWrap/>
            <w:vAlign w:val="center"/>
            <w:hideMark/>
          </w:tcPr>
          <w:p w14:paraId="33CF5883"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Inter-Session #52</w:t>
            </w:r>
          </w:p>
        </w:tc>
        <w:tc>
          <w:tcPr>
            <w:tcW w:w="394" w:type="pct"/>
            <w:tcBorders>
              <w:top w:val="single" w:sz="4" w:space="0" w:color="auto"/>
              <w:left w:val="nil"/>
              <w:bottom w:val="nil"/>
              <w:right w:val="single" w:sz="4" w:space="0" w:color="auto"/>
            </w:tcBorders>
            <w:shd w:val="clear" w:color="000000" w:fill="FFFFFF"/>
            <w:vAlign w:val="center"/>
            <w:hideMark/>
          </w:tcPr>
          <w:p w14:paraId="34836831"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nil"/>
              <w:left w:val="nil"/>
              <w:bottom w:val="nil"/>
              <w:right w:val="single" w:sz="4" w:space="0" w:color="auto"/>
            </w:tcBorders>
            <w:shd w:val="clear" w:color="000000" w:fill="FFFFFF"/>
            <w:vAlign w:val="center"/>
            <w:hideMark/>
          </w:tcPr>
          <w:p w14:paraId="3040E808"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490" w:type="pct"/>
            <w:tcBorders>
              <w:top w:val="nil"/>
              <w:left w:val="nil"/>
              <w:bottom w:val="nil"/>
              <w:right w:val="single" w:sz="4" w:space="0" w:color="auto"/>
            </w:tcBorders>
            <w:shd w:val="clear" w:color="000000" w:fill="FFFFFF"/>
            <w:vAlign w:val="center"/>
            <w:hideMark/>
          </w:tcPr>
          <w:p w14:paraId="451258A4"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823" w:type="pct"/>
            <w:tcBorders>
              <w:top w:val="nil"/>
              <w:left w:val="nil"/>
              <w:bottom w:val="single" w:sz="4" w:space="0" w:color="auto"/>
              <w:right w:val="single" w:sz="4" w:space="0" w:color="auto"/>
            </w:tcBorders>
            <w:shd w:val="clear" w:color="000000" w:fill="FFFFFF"/>
            <w:vAlign w:val="center"/>
            <w:hideMark/>
          </w:tcPr>
          <w:p w14:paraId="6BDF6E55"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nil"/>
              <w:left w:val="nil"/>
              <w:bottom w:val="single" w:sz="4" w:space="0" w:color="auto"/>
              <w:right w:val="single" w:sz="4" w:space="0" w:color="auto"/>
            </w:tcBorders>
            <w:shd w:val="clear" w:color="000000" w:fill="FFFFFF"/>
            <w:vAlign w:val="center"/>
            <w:hideMark/>
          </w:tcPr>
          <w:p w14:paraId="75989C26"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nil"/>
              <w:left w:val="nil"/>
              <w:bottom w:val="nil"/>
              <w:right w:val="single" w:sz="4" w:space="0" w:color="auto"/>
            </w:tcBorders>
            <w:shd w:val="clear" w:color="000000" w:fill="FFFFFF"/>
            <w:vAlign w:val="center"/>
            <w:hideMark/>
          </w:tcPr>
          <w:p w14:paraId="7AAB65F2"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548" w:type="pct"/>
            <w:tcBorders>
              <w:top w:val="nil"/>
              <w:left w:val="nil"/>
              <w:bottom w:val="nil"/>
              <w:right w:val="single" w:sz="4" w:space="0" w:color="auto"/>
            </w:tcBorders>
            <w:shd w:val="clear" w:color="000000" w:fill="FFFFFF"/>
            <w:vAlign w:val="center"/>
            <w:hideMark/>
          </w:tcPr>
          <w:p w14:paraId="1C72F6C4"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590" w:type="pct"/>
            <w:tcBorders>
              <w:top w:val="nil"/>
              <w:left w:val="nil"/>
              <w:bottom w:val="nil"/>
              <w:right w:val="single" w:sz="8" w:space="0" w:color="auto"/>
            </w:tcBorders>
            <w:shd w:val="clear" w:color="000000" w:fill="FFFFFF"/>
            <w:vAlign w:val="center"/>
            <w:hideMark/>
          </w:tcPr>
          <w:p w14:paraId="01718ECE"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xml:space="preserve">Groupe de </w:t>
            </w:r>
            <w:proofErr w:type="spellStart"/>
            <w:r w:rsidRPr="000C7324">
              <w:rPr>
                <w:rFonts w:eastAsia="Times New Roman"/>
                <w:spacing w:val="0"/>
                <w:w w:val="100"/>
                <w:kern w:val="0"/>
                <w:sz w:val="16"/>
                <w:szCs w:val="16"/>
                <w:lang w:val="en-US"/>
              </w:rPr>
              <w:t>rédaction</w:t>
            </w:r>
            <w:proofErr w:type="spellEnd"/>
            <w:r w:rsidRPr="000C7324">
              <w:rPr>
                <w:rFonts w:eastAsia="Times New Roman"/>
                <w:spacing w:val="0"/>
                <w:w w:val="100"/>
                <w:kern w:val="0"/>
                <w:sz w:val="16"/>
                <w:szCs w:val="16"/>
                <w:lang w:val="en-US"/>
              </w:rPr>
              <w:t xml:space="preserve"> (3 </w:t>
            </w:r>
            <w:proofErr w:type="spellStart"/>
            <w:r w:rsidRPr="000C7324">
              <w:rPr>
                <w:rFonts w:eastAsia="Times New Roman"/>
                <w:spacing w:val="0"/>
                <w:w w:val="100"/>
                <w:kern w:val="0"/>
                <w:sz w:val="16"/>
                <w:szCs w:val="16"/>
                <w:lang w:val="en-US"/>
              </w:rPr>
              <w:t>jours</w:t>
            </w:r>
            <w:proofErr w:type="spellEnd"/>
            <w:r w:rsidRPr="000C7324">
              <w:rPr>
                <w:rFonts w:eastAsia="Times New Roman"/>
                <w:spacing w:val="0"/>
                <w:w w:val="100"/>
                <w:kern w:val="0"/>
                <w:sz w:val="16"/>
                <w:szCs w:val="16"/>
                <w:lang w:val="en-US"/>
              </w:rPr>
              <w:t>)</w:t>
            </w:r>
          </w:p>
        </w:tc>
        <w:tc>
          <w:tcPr>
            <w:tcW w:w="123" w:type="pct"/>
            <w:tcBorders>
              <w:top w:val="nil"/>
              <w:left w:val="nil"/>
              <w:bottom w:val="nil"/>
              <w:right w:val="nil"/>
            </w:tcBorders>
            <w:shd w:val="clear" w:color="auto" w:fill="auto"/>
            <w:noWrap/>
            <w:vAlign w:val="center"/>
            <w:hideMark/>
          </w:tcPr>
          <w:p w14:paraId="7C8020E4"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p>
        </w:tc>
      </w:tr>
      <w:tr w:rsidR="00CC19BA" w:rsidRPr="000C7324" w14:paraId="48D4A670" w14:textId="77777777" w:rsidTr="00CC19BA">
        <w:trPr>
          <w:trHeight w:val="540"/>
        </w:trPr>
        <w:tc>
          <w:tcPr>
            <w:tcW w:w="190" w:type="pct"/>
            <w:vMerge/>
            <w:tcBorders>
              <w:top w:val="nil"/>
              <w:left w:val="single" w:sz="8" w:space="0" w:color="auto"/>
              <w:bottom w:val="single" w:sz="8" w:space="0" w:color="000000"/>
              <w:right w:val="single" w:sz="8" w:space="0" w:color="auto"/>
            </w:tcBorders>
            <w:vAlign w:val="center"/>
            <w:hideMark/>
          </w:tcPr>
          <w:p w14:paraId="32AC5C20" w14:textId="77777777" w:rsidR="00CC19BA" w:rsidRPr="000C7324" w:rsidRDefault="00CC19BA" w:rsidP="00CC19BA">
            <w:pPr>
              <w:suppressAutoHyphens w:val="0"/>
              <w:spacing w:line="240" w:lineRule="auto"/>
              <w:rPr>
                <w:rFonts w:eastAsia="Times New Roman"/>
                <w:b/>
                <w:bCs/>
                <w:spacing w:val="0"/>
                <w:w w:val="100"/>
                <w:kern w:val="0"/>
                <w:sz w:val="16"/>
                <w:szCs w:val="16"/>
                <w:lang w:val="en-US"/>
              </w:rPr>
            </w:pPr>
          </w:p>
        </w:tc>
        <w:tc>
          <w:tcPr>
            <w:tcW w:w="660" w:type="pct"/>
            <w:tcBorders>
              <w:top w:val="single" w:sz="4" w:space="0" w:color="auto"/>
              <w:left w:val="nil"/>
              <w:bottom w:val="nil"/>
              <w:right w:val="single" w:sz="8" w:space="0" w:color="auto"/>
            </w:tcBorders>
            <w:shd w:val="clear" w:color="000000" w:fill="DDEBF7"/>
            <w:noWrap/>
            <w:vAlign w:val="center"/>
            <w:hideMark/>
          </w:tcPr>
          <w:p w14:paraId="19570D0C"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Groupe de travail #53</w:t>
            </w:r>
          </w:p>
        </w:tc>
        <w:tc>
          <w:tcPr>
            <w:tcW w:w="394" w:type="pct"/>
            <w:tcBorders>
              <w:top w:val="single" w:sz="4" w:space="0" w:color="auto"/>
              <w:left w:val="nil"/>
              <w:bottom w:val="nil"/>
              <w:right w:val="single" w:sz="4" w:space="0" w:color="auto"/>
            </w:tcBorders>
            <w:shd w:val="clear" w:color="000000" w:fill="DDEBF7"/>
            <w:vAlign w:val="center"/>
            <w:hideMark/>
          </w:tcPr>
          <w:p w14:paraId="3B9C3B88"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single" w:sz="4" w:space="0" w:color="auto"/>
              <w:left w:val="nil"/>
              <w:bottom w:val="nil"/>
              <w:right w:val="single" w:sz="4" w:space="0" w:color="auto"/>
            </w:tcBorders>
            <w:shd w:val="clear" w:color="000000" w:fill="DDEBF7"/>
            <w:vAlign w:val="center"/>
            <w:hideMark/>
          </w:tcPr>
          <w:p w14:paraId="73A4B6C1"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490" w:type="pct"/>
            <w:tcBorders>
              <w:top w:val="single" w:sz="4" w:space="0" w:color="auto"/>
              <w:left w:val="nil"/>
              <w:bottom w:val="nil"/>
              <w:right w:val="single" w:sz="4" w:space="0" w:color="auto"/>
            </w:tcBorders>
            <w:shd w:val="clear" w:color="000000" w:fill="DDEBF7"/>
            <w:vAlign w:val="center"/>
            <w:hideMark/>
          </w:tcPr>
          <w:p w14:paraId="11040EF7"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823" w:type="pct"/>
            <w:tcBorders>
              <w:top w:val="nil"/>
              <w:left w:val="nil"/>
              <w:bottom w:val="single" w:sz="4" w:space="0" w:color="auto"/>
              <w:right w:val="single" w:sz="4" w:space="0" w:color="auto"/>
            </w:tcBorders>
            <w:shd w:val="clear" w:color="000000" w:fill="DDEBF7"/>
            <w:vAlign w:val="center"/>
            <w:hideMark/>
          </w:tcPr>
          <w:p w14:paraId="63BECF27"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nil"/>
              <w:left w:val="nil"/>
              <w:bottom w:val="single" w:sz="4" w:space="0" w:color="auto"/>
              <w:right w:val="single" w:sz="4" w:space="0" w:color="auto"/>
            </w:tcBorders>
            <w:shd w:val="clear" w:color="000000" w:fill="DDEBF7"/>
            <w:vAlign w:val="center"/>
            <w:hideMark/>
          </w:tcPr>
          <w:p w14:paraId="2A1DF891"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single" w:sz="4" w:space="0" w:color="auto"/>
              <w:left w:val="nil"/>
              <w:bottom w:val="nil"/>
              <w:right w:val="single" w:sz="4" w:space="0" w:color="auto"/>
            </w:tcBorders>
            <w:shd w:val="clear" w:color="000000" w:fill="DDEBF7"/>
            <w:vAlign w:val="center"/>
            <w:hideMark/>
          </w:tcPr>
          <w:p w14:paraId="5AD58DA5"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548" w:type="pct"/>
            <w:tcBorders>
              <w:top w:val="single" w:sz="4" w:space="0" w:color="auto"/>
              <w:left w:val="nil"/>
              <w:bottom w:val="nil"/>
              <w:right w:val="single" w:sz="4" w:space="0" w:color="auto"/>
            </w:tcBorders>
            <w:shd w:val="clear" w:color="000000" w:fill="DDEBF7"/>
            <w:vAlign w:val="center"/>
            <w:hideMark/>
          </w:tcPr>
          <w:p w14:paraId="4DA7CAE8"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590" w:type="pct"/>
            <w:tcBorders>
              <w:top w:val="single" w:sz="4" w:space="0" w:color="auto"/>
              <w:left w:val="nil"/>
              <w:bottom w:val="nil"/>
              <w:right w:val="single" w:sz="8" w:space="0" w:color="auto"/>
            </w:tcBorders>
            <w:shd w:val="clear" w:color="000000" w:fill="DDEBF7"/>
            <w:vAlign w:val="center"/>
            <w:hideMark/>
          </w:tcPr>
          <w:p w14:paraId="39200990"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proofErr w:type="spellStart"/>
            <w:r w:rsidRPr="000C7324">
              <w:rPr>
                <w:rFonts w:eastAsia="Times New Roman"/>
                <w:spacing w:val="0"/>
                <w:w w:val="100"/>
                <w:kern w:val="0"/>
                <w:sz w:val="16"/>
                <w:szCs w:val="16"/>
                <w:lang w:val="en-US"/>
              </w:rPr>
              <w:t>Seconde</w:t>
            </w:r>
            <w:proofErr w:type="spellEnd"/>
            <w:r w:rsidRPr="000C7324">
              <w:rPr>
                <w:rFonts w:eastAsia="Times New Roman"/>
                <w:spacing w:val="0"/>
                <w:w w:val="100"/>
                <w:kern w:val="0"/>
                <w:sz w:val="16"/>
                <w:szCs w:val="16"/>
                <w:lang w:val="en-US"/>
              </w:rPr>
              <w:t xml:space="preserve"> lecture (4 </w:t>
            </w:r>
            <w:proofErr w:type="spellStart"/>
            <w:r w:rsidRPr="000C7324">
              <w:rPr>
                <w:rFonts w:eastAsia="Times New Roman"/>
                <w:spacing w:val="0"/>
                <w:w w:val="100"/>
                <w:kern w:val="0"/>
                <w:sz w:val="16"/>
                <w:szCs w:val="16"/>
                <w:lang w:val="en-US"/>
              </w:rPr>
              <w:t>jours</w:t>
            </w:r>
            <w:proofErr w:type="spellEnd"/>
            <w:r w:rsidRPr="000C7324">
              <w:rPr>
                <w:rFonts w:eastAsia="Times New Roman"/>
                <w:spacing w:val="0"/>
                <w:w w:val="100"/>
                <w:kern w:val="0"/>
                <w:sz w:val="16"/>
                <w:szCs w:val="16"/>
                <w:lang w:val="en-US"/>
              </w:rPr>
              <w:t>)</w:t>
            </w:r>
          </w:p>
        </w:tc>
        <w:tc>
          <w:tcPr>
            <w:tcW w:w="123" w:type="pct"/>
            <w:tcBorders>
              <w:top w:val="nil"/>
              <w:left w:val="nil"/>
              <w:bottom w:val="nil"/>
              <w:right w:val="nil"/>
            </w:tcBorders>
            <w:shd w:val="clear" w:color="auto" w:fill="auto"/>
            <w:noWrap/>
            <w:vAlign w:val="center"/>
            <w:hideMark/>
          </w:tcPr>
          <w:p w14:paraId="1D1BA6A4"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p>
        </w:tc>
      </w:tr>
      <w:tr w:rsidR="00CC19BA" w:rsidRPr="000C7324" w14:paraId="666C2B1F" w14:textId="77777777" w:rsidTr="00CC19BA">
        <w:trPr>
          <w:trHeight w:val="540"/>
        </w:trPr>
        <w:tc>
          <w:tcPr>
            <w:tcW w:w="190" w:type="pct"/>
            <w:vMerge/>
            <w:tcBorders>
              <w:top w:val="nil"/>
              <w:left w:val="single" w:sz="8" w:space="0" w:color="auto"/>
              <w:bottom w:val="single" w:sz="8" w:space="0" w:color="000000"/>
              <w:right w:val="single" w:sz="8" w:space="0" w:color="auto"/>
            </w:tcBorders>
            <w:vAlign w:val="center"/>
            <w:hideMark/>
          </w:tcPr>
          <w:p w14:paraId="2101EDC2" w14:textId="77777777" w:rsidR="00CC19BA" w:rsidRPr="000C7324" w:rsidRDefault="00CC19BA" w:rsidP="00CC19BA">
            <w:pPr>
              <w:suppressAutoHyphens w:val="0"/>
              <w:spacing w:line="240" w:lineRule="auto"/>
              <w:rPr>
                <w:rFonts w:eastAsia="Times New Roman"/>
                <w:b/>
                <w:bCs/>
                <w:spacing w:val="0"/>
                <w:w w:val="100"/>
                <w:kern w:val="0"/>
                <w:sz w:val="16"/>
                <w:szCs w:val="16"/>
                <w:lang w:val="en-US"/>
              </w:rPr>
            </w:pPr>
          </w:p>
        </w:tc>
        <w:tc>
          <w:tcPr>
            <w:tcW w:w="660" w:type="pct"/>
            <w:tcBorders>
              <w:top w:val="single" w:sz="4" w:space="0" w:color="auto"/>
              <w:left w:val="nil"/>
              <w:bottom w:val="single" w:sz="8" w:space="0" w:color="auto"/>
              <w:right w:val="single" w:sz="8" w:space="0" w:color="auto"/>
            </w:tcBorders>
            <w:shd w:val="clear" w:color="auto" w:fill="auto"/>
            <w:noWrap/>
            <w:vAlign w:val="center"/>
            <w:hideMark/>
          </w:tcPr>
          <w:p w14:paraId="620AE180"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Inter-Session #53</w:t>
            </w:r>
          </w:p>
        </w:tc>
        <w:tc>
          <w:tcPr>
            <w:tcW w:w="394" w:type="pct"/>
            <w:tcBorders>
              <w:top w:val="single" w:sz="4" w:space="0" w:color="auto"/>
              <w:left w:val="nil"/>
              <w:bottom w:val="single" w:sz="8" w:space="0" w:color="auto"/>
              <w:right w:val="single" w:sz="4" w:space="0" w:color="auto"/>
            </w:tcBorders>
            <w:shd w:val="clear" w:color="auto" w:fill="auto"/>
            <w:vAlign w:val="center"/>
            <w:hideMark/>
          </w:tcPr>
          <w:p w14:paraId="5679C3EA"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single" w:sz="4" w:space="0" w:color="auto"/>
              <w:left w:val="nil"/>
              <w:bottom w:val="single" w:sz="8" w:space="0" w:color="auto"/>
              <w:right w:val="single" w:sz="4" w:space="0" w:color="auto"/>
            </w:tcBorders>
            <w:shd w:val="clear" w:color="auto" w:fill="auto"/>
            <w:vAlign w:val="center"/>
            <w:hideMark/>
          </w:tcPr>
          <w:p w14:paraId="185DCEBD"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490" w:type="pct"/>
            <w:tcBorders>
              <w:top w:val="single" w:sz="4" w:space="0" w:color="auto"/>
              <w:left w:val="nil"/>
              <w:bottom w:val="single" w:sz="8" w:space="0" w:color="auto"/>
              <w:right w:val="single" w:sz="4" w:space="0" w:color="auto"/>
            </w:tcBorders>
            <w:shd w:val="clear" w:color="auto" w:fill="auto"/>
            <w:vAlign w:val="center"/>
            <w:hideMark/>
          </w:tcPr>
          <w:p w14:paraId="61D0DD42"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823" w:type="pct"/>
            <w:tcBorders>
              <w:top w:val="nil"/>
              <w:left w:val="nil"/>
              <w:bottom w:val="single" w:sz="8" w:space="0" w:color="auto"/>
              <w:right w:val="single" w:sz="4" w:space="0" w:color="auto"/>
            </w:tcBorders>
            <w:shd w:val="clear" w:color="auto" w:fill="auto"/>
            <w:vAlign w:val="center"/>
            <w:hideMark/>
          </w:tcPr>
          <w:p w14:paraId="24C51A73"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nil"/>
              <w:left w:val="nil"/>
              <w:bottom w:val="single" w:sz="8" w:space="0" w:color="auto"/>
              <w:right w:val="single" w:sz="4" w:space="0" w:color="auto"/>
            </w:tcBorders>
            <w:shd w:val="clear" w:color="auto" w:fill="auto"/>
            <w:vAlign w:val="center"/>
            <w:hideMark/>
          </w:tcPr>
          <w:p w14:paraId="38946FB7"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single" w:sz="4" w:space="0" w:color="auto"/>
              <w:left w:val="nil"/>
              <w:bottom w:val="single" w:sz="8" w:space="0" w:color="auto"/>
              <w:right w:val="single" w:sz="4" w:space="0" w:color="auto"/>
            </w:tcBorders>
            <w:shd w:val="clear" w:color="auto" w:fill="auto"/>
            <w:vAlign w:val="center"/>
            <w:hideMark/>
          </w:tcPr>
          <w:p w14:paraId="318E9354"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548" w:type="pct"/>
            <w:tcBorders>
              <w:top w:val="single" w:sz="4" w:space="0" w:color="auto"/>
              <w:left w:val="nil"/>
              <w:bottom w:val="single" w:sz="8" w:space="0" w:color="auto"/>
              <w:right w:val="single" w:sz="4" w:space="0" w:color="auto"/>
            </w:tcBorders>
            <w:shd w:val="clear" w:color="auto" w:fill="auto"/>
            <w:vAlign w:val="center"/>
            <w:hideMark/>
          </w:tcPr>
          <w:p w14:paraId="45B6BACF"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590" w:type="pct"/>
            <w:tcBorders>
              <w:top w:val="single" w:sz="4" w:space="0" w:color="auto"/>
              <w:left w:val="nil"/>
              <w:bottom w:val="single" w:sz="8" w:space="0" w:color="auto"/>
              <w:right w:val="single" w:sz="8" w:space="0" w:color="auto"/>
            </w:tcBorders>
            <w:shd w:val="clear" w:color="auto" w:fill="auto"/>
            <w:vAlign w:val="center"/>
            <w:hideMark/>
          </w:tcPr>
          <w:p w14:paraId="0E296102"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123" w:type="pct"/>
            <w:tcBorders>
              <w:top w:val="nil"/>
              <w:left w:val="nil"/>
              <w:bottom w:val="nil"/>
              <w:right w:val="nil"/>
            </w:tcBorders>
            <w:shd w:val="clear" w:color="auto" w:fill="auto"/>
            <w:noWrap/>
            <w:vAlign w:val="center"/>
            <w:hideMark/>
          </w:tcPr>
          <w:p w14:paraId="647B39FA"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p>
        </w:tc>
      </w:tr>
      <w:tr w:rsidR="00CC19BA" w:rsidRPr="000C7324" w14:paraId="2D1DFBAF" w14:textId="77777777" w:rsidTr="00CC19BA">
        <w:trPr>
          <w:trHeight w:val="540"/>
        </w:trPr>
        <w:tc>
          <w:tcPr>
            <w:tcW w:w="19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EBF3567"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2025</w:t>
            </w:r>
          </w:p>
        </w:tc>
        <w:tc>
          <w:tcPr>
            <w:tcW w:w="660" w:type="pct"/>
            <w:tcBorders>
              <w:top w:val="nil"/>
              <w:left w:val="nil"/>
              <w:bottom w:val="single" w:sz="4" w:space="0" w:color="auto"/>
              <w:right w:val="single" w:sz="8" w:space="0" w:color="auto"/>
            </w:tcBorders>
            <w:shd w:val="clear" w:color="000000" w:fill="DDEBF7"/>
            <w:noWrap/>
            <w:vAlign w:val="center"/>
            <w:hideMark/>
          </w:tcPr>
          <w:p w14:paraId="687094E5"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Groupe de travail #54</w:t>
            </w:r>
          </w:p>
        </w:tc>
        <w:tc>
          <w:tcPr>
            <w:tcW w:w="4026" w:type="pct"/>
            <w:gridSpan w:val="8"/>
            <w:tcBorders>
              <w:top w:val="nil"/>
              <w:left w:val="nil"/>
              <w:bottom w:val="single" w:sz="4" w:space="0" w:color="auto"/>
              <w:right w:val="single" w:sz="8" w:space="0" w:color="000000"/>
            </w:tcBorders>
            <w:shd w:val="clear" w:color="000000" w:fill="DDEBF7"/>
            <w:noWrap/>
            <w:vAlign w:val="center"/>
            <w:hideMark/>
          </w:tcPr>
          <w:p w14:paraId="420D0549"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proofErr w:type="spellStart"/>
            <w:r w:rsidRPr="000C7324">
              <w:rPr>
                <w:rFonts w:eastAsia="Times New Roman"/>
                <w:b/>
                <w:bCs/>
                <w:spacing w:val="0"/>
                <w:w w:val="100"/>
                <w:kern w:val="0"/>
                <w:sz w:val="16"/>
                <w:szCs w:val="16"/>
                <w:lang w:val="en-US"/>
              </w:rPr>
              <w:t>Gardé</w:t>
            </w:r>
            <w:proofErr w:type="spellEnd"/>
            <w:r w:rsidRPr="000C7324">
              <w:rPr>
                <w:rFonts w:eastAsia="Times New Roman"/>
                <w:b/>
                <w:bCs/>
                <w:spacing w:val="0"/>
                <w:w w:val="100"/>
                <w:kern w:val="0"/>
                <w:sz w:val="16"/>
                <w:szCs w:val="16"/>
                <w:lang w:val="en-US"/>
              </w:rPr>
              <w:t xml:space="preserve"> en </w:t>
            </w:r>
            <w:proofErr w:type="spellStart"/>
            <w:r w:rsidRPr="000C7324">
              <w:rPr>
                <w:rFonts w:eastAsia="Times New Roman"/>
                <w:b/>
                <w:bCs/>
                <w:spacing w:val="0"/>
                <w:w w:val="100"/>
                <w:kern w:val="0"/>
                <w:sz w:val="16"/>
                <w:szCs w:val="16"/>
                <w:lang w:val="en-US"/>
              </w:rPr>
              <w:t>réserve</w:t>
            </w:r>
            <w:proofErr w:type="spellEnd"/>
          </w:p>
        </w:tc>
        <w:tc>
          <w:tcPr>
            <w:tcW w:w="123" w:type="pct"/>
            <w:tcBorders>
              <w:top w:val="nil"/>
              <w:left w:val="nil"/>
              <w:bottom w:val="nil"/>
              <w:right w:val="nil"/>
            </w:tcBorders>
            <w:shd w:val="clear" w:color="auto" w:fill="auto"/>
            <w:noWrap/>
            <w:vAlign w:val="center"/>
            <w:hideMark/>
          </w:tcPr>
          <w:p w14:paraId="0890912C"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p>
        </w:tc>
      </w:tr>
      <w:tr w:rsidR="00CC19BA" w:rsidRPr="000C7324" w14:paraId="21661342" w14:textId="77777777" w:rsidTr="00CC19BA">
        <w:trPr>
          <w:trHeight w:val="540"/>
        </w:trPr>
        <w:tc>
          <w:tcPr>
            <w:tcW w:w="190" w:type="pct"/>
            <w:vMerge/>
            <w:tcBorders>
              <w:top w:val="nil"/>
              <w:left w:val="single" w:sz="8" w:space="0" w:color="auto"/>
              <w:bottom w:val="single" w:sz="8" w:space="0" w:color="000000"/>
              <w:right w:val="single" w:sz="8" w:space="0" w:color="auto"/>
            </w:tcBorders>
            <w:vAlign w:val="center"/>
            <w:hideMark/>
          </w:tcPr>
          <w:p w14:paraId="724D32FA" w14:textId="77777777" w:rsidR="00CC19BA" w:rsidRPr="000C7324" w:rsidRDefault="00CC19BA" w:rsidP="00CC19BA">
            <w:pPr>
              <w:suppressAutoHyphens w:val="0"/>
              <w:spacing w:line="240" w:lineRule="auto"/>
              <w:rPr>
                <w:rFonts w:eastAsia="Times New Roman"/>
                <w:b/>
                <w:bCs/>
                <w:spacing w:val="0"/>
                <w:w w:val="100"/>
                <w:kern w:val="0"/>
                <w:sz w:val="16"/>
                <w:szCs w:val="16"/>
                <w:lang w:val="en-US"/>
              </w:rPr>
            </w:pPr>
          </w:p>
        </w:tc>
        <w:tc>
          <w:tcPr>
            <w:tcW w:w="660" w:type="pct"/>
            <w:tcBorders>
              <w:top w:val="nil"/>
              <w:left w:val="nil"/>
              <w:bottom w:val="single" w:sz="4" w:space="0" w:color="auto"/>
              <w:right w:val="single" w:sz="8" w:space="0" w:color="auto"/>
            </w:tcBorders>
            <w:shd w:val="clear" w:color="auto" w:fill="auto"/>
            <w:noWrap/>
            <w:vAlign w:val="center"/>
            <w:hideMark/>
          </w:tcPr>
          <w:p w14:paraId="16A988D3"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Inter-Session #54</w:t>
            </w:r>
          </w:p>
        </w:tc>
        <w:tc>
          <w:tcPr>
            <w:tcW w:w="394" w:type="pct"/>
            <w:tcBorders>
              <w:top w:val="nil"/>
              <w:left w:val="nil"/>
              <w:bottom w:val="single" w:sz="4" w:space="0" w:color="auto"/>
              <w:right w:val="single" w:sz="4" w:space="0" w:color="auto"/>
            </w:tcBorders>
            <w:shd w:val="clear" w:color="auto" w:fill="auto"/>
            <w:vAlign w:val="center"/>
            <w:hideMark/>
          </w:tcPr>
          <w:p w14:paraId="00F2BEA1"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nil"/>
              <w:left w:val="nil"/>
              <w:bottom w:val="single" w:sz="4" w:space="0" w:color="auto"/>
              <w:right w:val="single" w:sz="4" w:space="0" w:color="auto"/>
            </w:tcBorders>
            <w:shd w:val="clear" w:color="auto" w:fill="auto"/>
            <w:vAlign w:val="center"/>
            <w:hideMark/>
          </w:tcPr>
          <w:p w14:paraId="7B87CDE6"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490" w:type="pct"/>
            <w:tcBorders>
              <w:top w:val="nil"/>
              <w:left w:val="nil"/>
              <w:bottom w:val="single" w:sz="4" w:space="0" w:color="auto"/>
              <w:right w:val="single" w:sz="4" w:space="0" w:color="auto"/>
            </w:tcBorders>
            <w:shd w:val="clear" w:color="auto" w:fill="auto"/>
            <w:vAlign w:val="center"/>
            <w:hideMark/>
          </w:tcPr>
          <w:p w14:paraId="23F2DF3A"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823" w:type="pct"/>
            <w:tcBorders>
              <w:top w:val="nil"/>
              <w:left w:val="nil"/>
              <w:bottom w:val="single" w:sz="4" w:space="0" w:color="auto"/>
              <w:right w:val="nil"/>
            </w:tcBorders>
            <w:shd w:val="clear" w:color="auto" w:fill="auto"/>
            <w:vAlign w:val="center"/>
            <w:hideMark/>
          </w:tcPr>
          <w:p w14:paraId="376A7E06"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nil"/>
              <w:left w:val="single" w:sz="4" w:space="0" w:color="auto"/>
              <w:bottom w:val="single" w:sz="4" w:space="0" w:color="auto"/>
              <w:right w:val="single" w:sz="4" w:space="0" w:color="auto"/>
            </w:tcBorders>
            <w:shd w:val="clear" w:color="auto" w:fill="auto"/>
            <w:vAlign w:val="center"/>
            <w:hideMark/>
          </w:tcPr>
          <w:p w14:paraId="0B7190BD"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394" w:type="pct"/>
            <w:tcBorders>
              <w:top w:val="nil"/>
              <w:left w:val="nil"/>
              <w:bottom w:val="single" w:sz="4" w:space="0" w:color="auto"/>
              <w:right w:val="single" w:sz="4" w:space="0" w:color="auto"/>
            </w:tcBorders>
            <w:shd w:val="clear" w:color="auto" w:fill="auto"/>
            <w:vAlign w:val="center"/>
            <w:hideMark/>
          </w:tcPr>
          <w:p w14:paraId="1ECA4CFF"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548" w:type="pct"/>
            <w:tcBorders>
              <w:top w:val="nil"/>
              <w:left w:val="nil"/>
              <w:bottom w:val="single" w:sz="4" w:space="0" w:color="auto"/>
              <w:right w:val="single" w:sz="4" w:space="0" w:color="auto"/>
            </w:tcBorders>
            <w:shd w:val="clear" w:color="auto" w:fill="auto"/>
            <w:vAlign w:val="center"/>
            <w:hideMark/>
          </w:tcPr>
          <w:p w14:paraId="51F89E2A"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590" w:type="pct"/>
            <w:tcBorders>
              <w:top w:val="nil"/>
              <w:left w:val="nil"/>
              <w:bottom w:val="single" w:sz="4" w:space="0" w:color="auto"/>
              <w:right w:val="single" w:sz="8" w:space="0" w:color="auto"/>
            </w:tcBorders>
            <w:shd w:val="clear" w:color="auto" w:fill="auto"/>
            <w:vAlign w:val="center"/>
            <w:hideMark/>
          </w:tcPr>
          <w:p w14:paraId="49D88EB1"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r w:rsidRPr="000C7324">
              <w:rPr>
                <w:rFonts w:eastAsia="Times New Roman"/>
                <w:spacing w:val="0"/>
                <w:w w:val="100"/>
                <w:kern w:val="0"/>
                <w:sz w:val="16"/>
                <w:szCs w:val="16"/>
                <w:lang w:val="en-US"/>
              </w:rPr>
              <w:t> </w:t>
            </w:r>
          </w:p>
        </w:tc>
        <w:tc>
          <w:tcPr>
            <w:tcW w:w="123" w:type="pct"/>
            <w:tcBorders>
              <w:top w:val="nil"/>
              <w:left w:val="nil"/>
              <w:bottom w:val="nil"/>
              <w:right w:val="nil"/>
            </w:tcBorders>
            <w:shd w:val="clear" w:color="auto" w:fill="auto"/>
            <w:noWrap/>
            <w:vAlign w:val="center"/>
            <w:hideMark/>
          </w:tcPr>
          <w:p w14:paraId="13E7098D" w14:textId="77777777" w:rsidR="00CC19BA" w:rsidRPr="000C7324" w:rsidRDefault="00CC19BA" w:rsidP="00CC19BA">
            <w:pPr>
              <w:suppressAutoHyphens w:val="0"/>
              <w:spacing w:line="240" w:lineRule="auto"/>
              <w:jc w:val="center"/>
              <w:rPr>
                <w:rFonts w:eastAsia="Times New Roman"/>
                <w:spacing w:val="0"/>
                <w:w w:val="100"/>
                <w:kern w:val="0"/>
                <w:sz w:val="16"/>
                <w:szCs w:val="16"/>
                <w:lang w:val="en-US"/>
              </w:rPr>
            </w:pPr>
          </w:p>
        </w:tc>
      </w:tr>
      <w:tr w:rsidR="00CC19BA" w:rsidRPr="000C7324" w14:paraId="5C10B9C4" w14:textId="77777777" w:rsidTr="00CC19BA">
        <w:trPr>
          <w:trHeight w:val="540"/>
        </w:trPr>
        <w:tc>
          <w:tcPr>
            <w:tcW w:w="190" w:type="pct"/>
            <w:vMerge/>
            <w:tcBorders>
              <w:top w:val="nil"/>
              <w:left w:val="single" w:sz="8" w:space="0" w:color="auto"/>
              <w:bottom w:val="single" w:sz="8" w:space="0" w:color="000000"/>
              <w:right w:val="single" w:sz="8" w:space="0" w:color="auto"/>
            </w:tcBorders>
            <w:vAlign w:val="center"/>
            <w:hideMark/>
          </w:tcPr>
          <w:p w14:paraId="63FD84D2" w14:textId="77777777" w:rsidR="00CC19BA" w:rsidRPr="000C7324" w:rsidRDefault="00CC19BA" w:rsidP="00CC19BA">
            <w:pPr>
              <w:suppressAutoHyphens w:val="0"/>
              <w:spacing w:line="240" w:lineRule="auto"/>
              <w:rPr>
                <w:rFonts w:eastAsia="Times New Roman"/>
                <w:b/>
                <w:bCs/>
                <w:spacing w:val="0"/>
                <w:w w:val="100"/>
                <w:kern w:val="0"/>
                <w:sz w:val="16"/>
                <w:szCs w:val="16"/>
                <w:lang w:val="en-US"/>
              </w:rPr>
            </w:pPr>
          </w:p>
        </w:tc>
        <w:tc>
          <w:tcPr>
            <w:tcW w:w="660" w:type="pct"/>
            <w:tcBorders>
              <w:top w:val="nil"/>
              <w:left w:val="nil"/>
              <w:bottom w:val="single" w:sz="8" w:space="0" w:color="auto"/>
              <w:right w:val="single" w:sz="8" w:space="0" w:color="auto"/>
            </w:tcBorders>
            <w:shd w:val="clear" w:color="auto" w:fill="auto"/>
            <w:noWrap/>
            <w:vAlign w:val="center"/>
            <w:hideMark/>
          </w:tcPr>
          <w:p w14:paraId="0FDD4ED3"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 </w:t>
            </w:r>
          </w:p>
        </w:tc>
        <w:tc>
          <w:tcPr>
            <w:tcW w:w="4026" w:type="pct"/>
            <w:gridSpan w:val="8"/>
            <w:tcBorders>
              <w:top w:val="single" w:sz="4" w:space="0" w:color="auto"/>
              <w:left w:val="nil"/>
              <w:bottom w:val="single" w:sz="8" w:space="0" w:color="auto"/>
              <w:right w:val="single" w:sz="8" w:space="0" w:color="000000"/>
            </w:tcBorders>
            <w:shd w:val="clear" w:color="000000" w:fill="E2EFDA"/>
            <w:vAlign w:val="center"/>
            <w:hideMark/>
          </w:tcPr>
          <w:p w14:paraId="3825A2A9"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fr-FR"/>
              </w:rPr>
            </w:pPr>
            <w:r w:rsidRPr="000C7324">
              <w:rPr>
                <w:rFonts w:eastAsia="Times New Roman"/>
                <w:b/>
                <w:bCs/>
                <w:spacing w:val="0"/>
                <w:w w:val="100"/>
                <w:kern w:val="0"/>
                <w:sz w:val="16"/>
                <w:szCs w:val="16"/>
                <w:lang w:val="fr-FR"/>
              </w:rPr>
              <w:t xml:space="preserve">Commission #58 -Approbation formelle de toutes les réformes </w:t>
            </w:r>
          </w:p>
        </w:tc>
        <w:tc>
          <w:tcPr>
            <w:tcW w:w="123" w:type="pct"/>
            <w:tcBorders>
              <w:top w:val="nil"/>
              <w:left w:val="nil"/>
              <w:bottom w:val="nil"/>
              <w:right w:val="nil"/>
            </w:tcBorders>
            <w:shd w:val="clear" w:color="auto" w:fill="auto"/>
            <w:noWrap/>
            <w:vAlign w:val="center"/>
            <w:hideMark/>
          </w:tcPr>
          <w:p w14:paraId="16DDF51B"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fr-FR"/>
              </w:rPr>
            </w:pPr>
          </w:p>
        </w:tc>
      </w:tr>
      <w:tr w:rsidR="00CC19BA" w:rsidRPr="000C7324" w14:paraId="04171702" w14:textId="77777777" w:rsidTr="00CC19BA">
        <w:trPr>
          <w:trHeight w:val="500"/>
        </w:trPr>
        <w:tc>
          <w:tcPr>
            <w:tcW w:w="190" w:type="pct"/>
            <w:tcBorders>
              <w:top w:val="nil"/>
              <w:left w:val="nil"/>
              <w:bottom w:val="nil"/>
              <w:right w:val="nil"/>
            </w:tcBorders>
            <w:shd w:val="clear" w:color="auto" w:fill="auto"/>
            <w:noWrap/>
            <w:vAlign w:val="bottom"/>
            <w:hideMark/>
          </w:tcPr>
          <w:p w14:paraId="32A52174" w14:textId="77777777" w:rsidR="00CC19BA" w:rsidRPr="000C7324" w:rsidRDefault="00CC19BA" w:rsidP="00CC19BA">
            <w:pPr>
              <w:suppressAutoHyphens w:val="0"/>
              <w:spacing w:line="240" w:lineRule="auto"/>
              <w:jc w:val="center"/>
              <w:rPr>
                <w:rFonts w:eastAsia="Times New Roman"/>
                <w:spacing w:val="0"/>
                <w:w w:val="100"/>
                <w:kern w:val="0"/>
                <w:sz w:val="16"/>
                <w:szCs w:val="16"/>
                <w:lang w:val="fr-FR"/>
              </w:rPr>
            </w:pPr>
          </w:p>
        </w:tc>
        <w:tc>
          <w:tcPr>
            <w:tcW w:w="660" w:type="pct"/>
            <w:tcBorders>
              <w:top w:val="nil"/>
              <w:left w:val="nil"/>
              <w:bottom w:val="nil"/>
              <w:right w:val="nil"/>
            </w:tcBorders>
            <w:shd w:val="clear" w:color="auto" w:fill="auto"/>
            <w:noWrap/>
            <w:vAlign w:val="center"/>
            <w:hideMark/>
          </w:tcPr>
          <w:p w14:paraId="04012341" w14:textId="77777777" w:rsidR="00CC19BA" w:rsidRPr="000C7324" w:rsidRDefault="00CC19BA" w:rsidP="00CC19BA">
            <w:pPr>
              <w:suppressAutoHyphens w:val="0"/>
              <w:spacing w:line="240" w:lineRule="auto"/>
              <w:rPr>
                <w:rFonts w:eastAsia="Times New Roman"/>
                <w:spacing w:val="0"/>
                <w:w w:val="100"/>
                <w:kern w:val="0"/>
                <w:sz w:val="16"/>
                <w:szCs w:val="16"/>
                <w:lang w:val="fr-FR"/>
              </w:rPr>
            </w:pPr>
          </w:p>
        </w:tc>
        <w:tc>
          <w:tcPr>
            <w:tcW w:w="394" w:type="pct"/>
            <w:tcBorders>
              <w:top w:val="nil"/>
              <w:left w:val="nil"/>
              <w:bottom w:val="nil"/>
              <w:right w:val="nil"/>
            </w:tcBorders>
            <w:shd w:val="clear" w:color="auto" w:fill="auto"/>
            <w:noWrap/>
            <w:vAlign w:val="center"/>
            <w:hideMark/>
          </w:tcPr>
          <w:p w14:paraId="3AB22C5C" w14:textId="77777777" w:rsidR="00CC19BA" w:rsidRPr="000C7324" w:rsidRDefault="00CC19BA" w:rsidP="00CC19BA">
            <w:pPr>
              <w:suppressAutoHyphens w:val="0"/>
              <w:spacing w:line="240" w:lineRule="auto"/>
              <w:jc w:val="center"/>
              <w:rPr>
                <w:rFonts w:eastAsia="Times New Roman"/>
                <w:spacing w:val="0"/>
                <w:w w:val="100"/>
                <w:kern w:val="0"/>
                <w:sz w:val="16"/>
                <w:szCs w:val="16"/>
                <w:lang w:val="fr-FR"/>
              </w:rPr>
            </w:pPr>
          </w:p>
        </w:tc>
        <w:tc>
          <w:tcPr>
            <w:tcW w:w="394" w:type="pct"/>
            <w:tcBorders>
              <w:top w:val="nil"/>
              <w:left w:val="nil"/>
              <w:bottom w:val="nil"/>
              <w:right w:val="nil"/>
            </w:tcBorders>
            <w:shd w:val="clear" w:color="auto" w:fill="auto"/>
            <w:noWrap/>
            <w:vAlign w:val="center"/>
            <w:hideMark/>
          </w:tcPr>
          <w:p w14:paraId="605CA4A7" w14:textId="77777777" w:rsidR="00CC19BA" w:rsidRPr="000C7324" w:rsidRDefault="00CC19BA" w:rsidP="00CC19BA">
            <w:pPr>
              <w:suppressAutoHyphens w:val="0"/>
              <w:spacing w:line="240" w:lineRule="auto"/>
              <w:jc w:val="center"/>
              <w:rPr>
                <w:rFonts w:eastAsia="Times New Roman"/>
                <w:spacing w:val="0"/>
                <w:w w:val="100"/>
                <w:kern w:val="0"/>
                <w:sz w:val="16"/>
                <w:szCs w:val="16"/>
                <w:lang w:val="fr-FR"/>
              </w:rPr>
            </w:pPr>
          </w:p>
        </w:tc>
        <w:tc>
          <w:tcPr>
            <w:tcW w:w="490" w:type="pct"/>
            <w:tcBorders>
              <w:top w:val="nil"/>
              <w:left w:val="nil"/>
              <w:bottom w:val="nil"/>
              <w:right w:val="nil"/>
            </w:tcBorders>
            <w:shd w:val="clear" w:color="auto" w:fill="auto"/>
            <w:noWrap/>
            <w:vAlign w:val="center"/>
            <w:hideMark/>
          </w:tcPr>
          <w:p w14:paraId="5D2595B3" w14:textId="77777777" w:rsidR="00CC19BA" w:rsidRPr="000C7324" w:rsidRDefault="00CC19BA" w:rsidP="00CC19BA">
            <w:pPr>
              <w:suppressAutoHyphens w:val="0"/>
              <w:spacing w:line="240" w:lineRule="auto"/>
              <w:jc w:val="center"/>
              <w:rPr>
                <w:rFonts w:eastAsia="Times New Roman"/>
                <w:spacing w:val="0"/>
                <w:w w:val="100"/>
                <w:kern w:val="0"/>
                <w:sz w:val="16"/>
                <w:szCs w:val="16"/>
                <w:lang w:val="fr-FR"/>
              </w:rPr>
            </w:pPr>
          </w:p>
        </w:tc>
        <w:tc>
          <w:tcPr>
            <w:tcW w:w="823" w:type="pct"/>
            <w:tcBorders>
              <w:top w:val="nil"/>
              <w:left w:val="nil"/>
              <w:bottom w:val="nil"/>
              <w:right w:val="nil"/>
            </w:tcBorders>
            <w:shd w:val="clear" w:color="auto" w:fill="auto"/>
            <w:noWrap/>
            <w:vAlign w:val="center"/>
            <w:hideMark/>
          </w:tcPr>
          <w:p w14:paraId="05ECD79C" w14:textId="77777777" w:rsidR="00CC19BA" w:rsidRPr="000C7324" w:rsidRDefault="00CC19BA" w:rsidP="00CC19BA">
            <w:pPr>
              <w:suppressAutoHyphens w:val="0"/>
              <w:spacing w:line="240" w:lineRule="auto"/>
              <w:jc w:val="center"/>
              <w:rPr>
                <w:rFonts w:eastAsia="Times New Roman"/>
                <w:spacing w:val="0"/>
                <w:w w:val="100"/>
                <w:kern w:val="0"/>
                <w:sz w:val="16"/>
                <w:szCs w:val="16"/>
                <w:lang w:val="fr-FR"/>
              </w:rPr>
            </w:pPr>
          </w:p>
        </w:tc>
        <w:tc>
          <w:tcPr>
            <w:tcW w:w="394" w:type="pct"/>
            <w:tcBorders>
              <w:top w:val="nil"/>
              <w:left w:val="nil"/>
              <w:bottom w:val="nil"/>
              <w:right w:val="nil"/>
            </w:tcBorders>
            <w:shd w:val="clear" w:color="auto" w:fill="auto"/>
            <w:noWrap/>
            <w:vAlign w:val="center"/>
            <w:hideMark/>
          </w:tcPr>
          <w:p w14:paraId="6A183E81" w14:textId="77777777" w:rsidR="00CC19BA" w:rsidRPr="000C7324" w:rsidRDefault="00CC19BA" w:rsidP="00CC19BA">
            <w:pPr>
              <w:suppressAutoHyphens w:val="0"/>
              <w:spacing w:line="240" w:lineRule="auto"/>
              <w:jc w:val="center"/>
              <w:rPr>
                <w:rFonts w:eastAsia="Times New Roman"/>
                <w:spacing w:val="0"/>
                <w:w w:val="100"/>
                <w:kern w:val="0"/>
                <w:sz w:val="16"/>
                <w:szCs w:val="16"/>
                <w:lang w:val="fr-FR"/>
              </w:rPr>
            </w:pPr>
          </w:p>
        </w:tc>
        <w:tc>
          <w:tcPr>
            <w:tcW w:w="394" w:type="pct"/>
            <w:tcBorders>
              <w:top w:val="nil"/>
              <w:left w:val="nil"/>
              <w:bottom w:val="nil"/>
              <w:right w:val="nil"/>
            </w:tcBorders>
            <w:shd w:val="clear" w:color="auto" w:fill="auto"/>
            <w:noWrap/>
            <w:vAlign w:val="center"/>
            <w:hideMark/>
          </w:tcPr>
          <w:p w14:paraId="3F22DBF7" w14:textId="77777777" w:rsidR="00CC19BA" w:rsidRPr="000C7324" w:rsidRDefault="00CC19BA" w:rsidP="00CC19BA">
            <w:pPr>
              <w:suppressAutoHyphens w:val="0"/>
              <w:spacing w:line="240" w:lineRule="auto"/>
              <w:jc w:val="center"/>
              <w:rPr>
                <w:rFonts w:eastAsia="Times New Roman"/>
                <w:spacing w:val="0"/>
                <w:w w:val="100"/>
                <w:kern w:val="0"/>
                <w:sz w:val="16"/>
                <w:szCs w:val="16"/>
                <w:lang w:val="fr-FR"/>
              </w:rPr>
            </w:pPr>
          </w:p>
        </w:tc>
        <w:tc>
          <w:tcPr>
            <w:tcW w:w="548" w:type="pct"/>
            <w:tcBorders>
              <w:top w:val="nil"/>
              <w:left w:val="nil"/>
              <w:bottom w:val="nil"/>
              <w:right w:val="nil"/>
            </w:tcBorders>
            <w:shd w:val="clear" w:color="auto" w:fill="auto"/>
            <w:noWrap/>
            <w:vAlign w:val="center"/>
            <w:hideMark/>
          </w:tcPr>
          <w:p w14:paraId="375D6B4C" w14:textId="77777777" w:rsidR="00CC19BA" w:rsidRPr="000C7324" w:rsidRDefault="00CC19BA" w:rsidP="00CC19BA">
            <w:pPr>
              <w:suppressAutoHyphens w:val="0"/>
              <w:spacing w:line="240" w:lineRule="auto"/>
              <w:jc w:val="center"/>
              <w:rPr>
                <w:rFonts w:eastAsia="Times New Roman"/>
                <w:spacing w:val="0"/>
                <w:w w:val="100"/>
                <w:kern w:val="0"/>
                <w:sz w:val="16"/>
                <w:szCs w:val="16"/>
                <w:lang w:val="fr-FR"/>
              </w:rPr>
            </w:pPr>
          </w:p>
        </w:tc>
        <w:tc>
          <w:tcPr>
            <w:tcW w:w="590" w:type="pct"/>
            <w:tcBorders>
              <w:top w:val="nil"/>
              <w:left w:val="nil"/>
              <w:bottom w:val="nil"/>
              <w:right w:val="nil"/>
            </w:tcBorders>
            <w:shd w:val="clear" w:color="auto" w:fill="auto"/>
            <w:noWrap/>
            <w:vAlign w:val="center"/>
            <w:hideMark/>
          </w:tcPr>
          <w:p w14:paraId="15EA10EA" w14:textId="77777777" w:rsidR="00CC19BA" w:rsidRPr="000C7324" w:rsidRDefault="00CC19BA" w:rsidP="00CC19BA">
            <w:pPr>
              <w:suppressAutoHyphens w:val="0"/>
              <w:spacing w:line="240" w:lineRule="auto"/>
              <w:jc w:val="center"/>
              <w:rPr>
                <w:rFonts w:eastAsia="Times New Roman"/>
                <w:spacing w:val="0"/>
                <w:w w:val="100"/>
                <w:kern w:val="0"/>
                <w:sz w:val="16"/>
                <w:szCs w:val="16"/>
                <w:lang w:val="fr-FR"/>
              </w:rPr>
            </w:pPr>
          </w:p>
        </w:tc>
        <w:tc>
          <w:tcPr>
            <w:tcW w:w="123" w:type="pct"/>
            <w:tcBorders>
              <w:top w:val="single" w:sz="8" w:space="0" w:color="auto"/>
              <w:left w:val="single" w:sz="8" w:space="0" w:color="auto"/>
              <w:bottom w:val="nil"/>
              <w:right w:val="single" w:sz="8" w:space="0" w:color="auto"/>
            </w:tcBorders>
            <w:shd w:val="clear" w:color="000000" w:fill="F2F2F2"/>
            <w:noWrap/>
            <w:vAlign w:val="center"/>
            <w:hideMark/>
          </w:tcPr>
          <w:p w14:paraId="4F978D5D"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Total</w:t>
            </w:r>
          </w:p>
        </w:tc>
      </w:tr>
      <w:tr w:rsidR="00CC19BA" w:rsidRPr="000C7324" w14:paraId="513F208E" w14:textId="77777777" w:rsidTr="00CC19BA">
        <w:trPr>
          <w:trHeight w:val="540"/>
        </w:trPr>
        <w:tc>
          <w:tcPr>
            <w:tcW w:w="190" w:type="pct"/>
            <w:tcBorders>
              <w:top w:val="nil"/>
              <w:left w:val="nil"/>
              <w:bottom w:val="nil"/>
              <w:right w:val="nil"/>
            </w:tcBorders>
            <w:shd w:val="clear" w:color="auto" w:fill="auto"/>
            <w:noWrap/>
            <w:vAlign w:val="bottom"/>
            <w:hideMark/>
          </w:tcPr>
          <w:p w14:paraId="04DA62A0"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p>
        </w:tc>
        <w:tc>
          <w:tcPr>
            <w:tcW w:w="660" w:type="pct"/>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49063EC2"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 xml:space="preserve"> </w:t>
            </w:r>
            <w:proofErr w:type="spellStart"/>
            <w:r w:rsidRPr="000C7324">
              <w:rPr>
                <w:rFonts w:eastAsia="Times New Roman"/>
                <w:b/>
                <w:bCs/>
                <w:spacing w:val="0"/>
                <w:w w:val="100"/>
                <w:kern w:val="0"/>
                <w:sz w:val="16"/>
                <w:szCs w:val="16"/>
                <w:lang w:val="en-US"/>
              </w:rPr>
              <w:t>Jours</w:t>
            </w:r>
            <w:proofErr w:type="spellEnd"/>
            <w:r w:rsidRPr="000C7324">
              <w:rPr>
                <w:rFonts w:eastAsia="Times New Roman"/>
                <w:b/>
                <w:bCs/>
                <w:spacing w:val="0"/>
                <w:w w:val="100"/>
                <w:kern w:val="0"/>
                <w:sz w:val="16"/>
                <w:szCs w:val="16"/>
                <w:lang w:val="en-US"/>
              </w:rPr>
              <w:t xml:space="preserve"> - Groupe de travail</w:t>
            </w:r>
          </w:p>
        </w:tc>
        <w:tc>
          <w:tcPr>
            <w:tcW w:w="394" w:type="pct"/>
            <w:tcBorders>
              <w:top w:val="single" w:sz="8" w:space="0" w:color="auto"/>
              <w:left w:val="nil"/>
              <w:bottom w:val="single" w:sz="4" w:space="0" w:color="auto"/>
              <w:right w:val="single" w:sz="4" w:space="0" w:color="auto"/>
            </w:tcBorders>
            <w:shd w:val="clear" w:color="auto" w:fill="auto"/>
            <w:noWrap/>
            <w:vAlign w:val="center"/>
            <w:hideMark/>
          </w:tcPr>
          <w:p w14:paraId="0FA27FE2"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5</w:t>
            </w:r>
          </w:p>
        </w:tc>
        <w:tc>
          <w:tcPr>
            <w:tcW w:w="394" w:type="pct"/>
            <w:tcBorders>
              <w:top w:val="single" w:sz="8" w:space="0" w:color="auto"/>
              <w:left w:val="nil"/>
              <w:bottom w:val="single" w:sz="4" w:space="0" w:color="auto"/>
              <w:right w:val="single" w:sz="4" w:space="0" w:color="auto"/>
            </w:tcBorders>
            <w:shd w:val="clear" w:color="auto" w:fill="auto"/>
            <w:noWrap/>
            <w:vAlign w:val="center"/>
            <w:hideMark/>
          </w:tcPr>
          <w:p w14:paraId="6810A7B0"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4</w:t>
            </w:r>
          </w:p>
        </w:tc>
        <w:tc>
          <w:tcPr>
            <w:tcW w:w="490" w:type="pct"/>
            <w:tcBorders>
              <w:top w:val="single" w:sz="8" w:space="0" w:color="auto"/>
              <w:left w:val="nil"/>
              <w:bottom w:val="single" w:sz="4" w:space="0" w:color="auto"/>
              <w:right w:val="single" w:sz="4" w:space="0" w:color="auto"/>
            </w:tcBorders>
            <w:shd w:val="clear" w:color="auto" w:fill="auto"/>
            <w:vAlign w:val="center"/>
            <w:hideMark/>
          </w:tcPr>
          <w:p w14:paraId="61FDF9AE"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4</w:t>
            </w:r>
          </w:p>
        </w:tc>
        <w:tc>
          <w:tcPr>
            <w:tcW w:w="823" w:type="pct"/>
            <w:tcBorders>
              <w:top w:val="single" w:sz="8" w:space="0" w:color="auto"/>
              <w:left w:val="nil"/>
              <w:bottom w:val="single" w:sz="4" w:space="0" w:color="auto"/>
              <w:right w:val="single" w:sz="4" w:space="0" w:color="auto"/>
            </w:tcBorders>
            <w:shd w:val="clear" w:color="auto" w:fill="auto"/>
            <w:vAlign w:val="center"/>
            <w:hideMark/>
          </w:tcPr>
          <w:p w14:paraId="676073E1"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9</w:t>
            </w:r>
          </w:p>
        </w:tc>
        <w:tc>
          <w:tcPr>
            <w:tcW w:w="394" w:type="pct"/>
            <w:tcBorders>
              <w:top w:val="single" w:sz="8" w:space="0" w:color="auto"/>
              <w:left w:val="nil"/>
              <w:bottom w:val="single" w:sz="4" w:space="0" w:color="auto"/>
              <w:right w:val="single" w:sz="4" w:space="0" w:color="auto"/>
            </w:tcBorders>
            <w:shd w:val="clear" w:color="auto" w:fill="auto"/>
            <w:vAlign w:val="center"/>
            <w:hideMark/>
          </w:tcPr>
          <w:p w14:paraId="7A4A7F9D"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6</w:t>
            </w:r>
          </w:p>
        </w:tc>
        <w:tc>
          <w:tcPr>
            <w:tcW w:w="394" w:type="pct"/>
            <w:tcBorders>
              <w:top w:val="single" w:sz="8" w:space="0" w:color="auto"/>
              <w:left w:val="nil"/>
              <w:bottom w:val="single" w:sz="4" w:space="0" w:color="auto"/>
              <w:right w:val="single" w:sz="4" w:space="0" w:color="auto"/>
            </w:tcBorders>
            <w:shd w:val="clear" w:color="auto" w:fill="auto"/>
            <w:vAlign w:val="center"/>
            <w:hideMark/>
          </w:tcPr>
          <w:p w14:paraId="170E9410"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10</w:t>
            </w:r>
          </w:p>
        </w:tc>
        <w:tc>
          <w:tcPr>
            <w:tcW w:w="548" w:type="pct"/>
            <w:tcBorders>
              <w:top w:val="single" w:sz="8" w:space="0" w:color="auto"/>
              <w:left w:val="nil"/>
              <w:bottom w:val="single" w:sz="4" w:space="0" w:color="auto"/>
              <w:right w:val="single" w:sz="4" w:space="0" w:color="auto"/>
            </w:tcBorders>
            <w:shd w:val="clear" w:color="auto" w:fill="auto"/>
            <w:vAlign w:val="center"/>
            <w:hideMark/>
          </w:tcPr>
          <w:p w14:paraId="2552DE30"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10</w:t>
            </w:r>
          </w:p>
        </w:tc>
        <w:tc>
          <w:tcPr>
            <w:tcW w:w="590" w:type="pct"/>
            <w:tcBorders>
              <w:top w:val="single" w:sz="8" w:space="0" w:color="auto"/>
              <w:left w:val="nil"/>
              <w:bottom w:val="single" w:sz="4" w:space="0" w:color="auto"/>
              <w:right w:val="nil"/>
            </w:tcBorders>
            <w:shd w:val="clear" w:color="auto" w:fill="auto"/>
            <w:noWrap/>
            <w:vAlign w:val="center"/>
            <w:hideMark/>
          </w:tcPr>
          <w:p w14:paraId="7722B000"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9</w:t>
            </w:r>
          </w:p>
        </w:tc>
        <w:tc>
          <w:tcPr>
            <w:tcW w:w="123"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08C6E4AB"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57</w:t>
            </w:r>
          </w:p>
        </w:tc>
      </w:tr>
      <w:tr w:rsidR="00CC19BA" w:rsidRPr="000C7324" w14:paraId="4B9CD3D5" w14:textId="77777777" w:rsidTr="00CC19BA">
        <w:trPr>
          <w:trHeight w:val="540"/>
        </w:trPr>
        <w:tc>
          <w:tcPr>
            <w:tcW w:w="190" w:type="pct"/>
            <w:tcBorders>
              <w:top w:val="nil"/>
              <w:left w:val="nil"/>
              <w:bottom w:val="nil"/>
              <w:right w:val="nil"/>
            </w:tcBorders>
            <w:shd w:val="clear" w:color="auto" w:fill="auto"/>
            <w:noWrap/>
            <w:vAlign w:val="bottom"/>
            <w:hideMark/>
          </w:tcPr>
          <w:p w14:paraId="7DD0B668"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p>
        </w:tc>
        <w:tc>
          <w:tcPr>
            <w:tcW w:w="660" w:type="pct"/>
            <w:tcBorders>
              <w:top w:val="nil"/>
              <w:left w:val="single" w:sz="8" w:space="0" w:color="auto"/>
              <w:bottom w:val="double" w:sz="6" w:space="0" w:color="auto"/>
              <w:right w:val="single" w:sz="4" w:space="0" w:color="auto"/>
            </w:tcBorders>
            <w:shd w:val="clear" w:color="000000" w:fill="F2F2F2"/>
            <w:noWrap/>
            <w:vAlign w:val="center"/>
            <w:hideMark/>
          </w:tcPr>
          <w:p w14:paraId="4AF2B748"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 xml:space="preserve"> </w:t>
            </w:r>
            <w:proofErr w:type="spellStart"/>
            <w:r w:rsidRPr="000C7324">
              <w:rPr>
                <w:rFonts w:eastAsia="Times New Roman"/>
                <w:b/>
                <w:bCs/>
                <w:spacing w:val="0"/>
                <w:w w:val="100"/>
                <w:kern w:val="0"/>
                <w:sz w:val="16"/>
                <w:szCs w:val="16"/>
                <w:lang w:val="en-US"/>
              </w:rPr>
              <w:t>Jours</w:t>
            </w:r>
            <w:proofErr w:type="spellEnd"/>
            <w:r w:rsidRPr="000C7324">
              <w:rPr>
                <w:rFonts w:eastAsia="Times New Roman"/>
                <w:b/>
                <w:bCs/>
                <w:spacing w:val="0"/>
                <w:w w:val="100"/>
                <w:kern w:val="0"/>
                <w:sz w:val="16"/>
                <w:szCs w:val="16"/>
                <w:lang w:val="en-US"/>
              </w:rPr>
              <w:t xml:space="preserve"> - </w:t>
            </w:r>
            <w:proofErr w:type="spellStart"/>
            <w:r w:rsidRPr="000C7324">
              <w:rPr>
                <w:rFonts w:eastAsia="Times New Roman"/>
                <w:b/>
                <w:bCs/>
                <w:spacing w:val="0"/>
                <w:w w:val="100"/>
                <w:kern w:val="0"/>
                <w:sz w:val="16"/>
                <w:szCs w:val="16"/>
                <w:lang w:val="en-US"/>
              </w:rPr>
              <w:t>Autres</w:t>
            </w:r>
            <w:proofErr w:type="spellEnd"/>
            <w:r w:rsidRPr="000C7324">
              <w:rPr>
                <w:rFonts w:eastAsia="Times New Roman"/>
                <w:b/>
                <w:bCs/>
                <w:spacing w:val="0"/>
                <w:w w:val="100"/>
                <w:kern w:val="0"/>
                <w:sz w:val="16"/>
                <w:szCs w:val="16"/>
                <w:lang w:val="en-US"/>
              </w:rPr>
              <w:t xml:space="preserve"> </w:t>
            </w:r>
            <w:proofErr w:type="spellStart"/>
            <w:r w:rsidRPr="000C7324">
              <w:rPr>
                <w:rFonts w:eastAsia="Times New Roman"/>
                <w:b/>
                <w:bCs/>
                <w:spacing w:val="0"/>
                <w:w w:val="100"/>
                <w:kern w:val="0"/>
                <w:sz w:val="16"/>
                <w:szCs w:val="16"/>
                <w:lang w:val="en-US"/>
              </w:rPr>
              <w:t>réunions</w:t>
            </w:r>
            <w:proofErr w:type="spellEnd"/>
          </w:p>
        </w:tc>
        <w:tc>
          <w:tcPr>
            <w:tcW w:w="394" w:type="pct"/>
            <w:tcBorders>
              <w:top w:val="nil"/>
              <w:left w:val="nil"/>
              <w:bottom w:val="double" w:sz="6" w:space="0" w:color="auto"/>
              <w:right w:val="single" w:sz="4" w:space="0" w:color="auto"/>
            </w:tcBorders>
            <w:shd w:val="clear" w:color="auto" w:fill="auto"/>
            <w:noWrap/>
            <w:vAlign w:val="center"/>
            <w:hideMark/>
          </w:tcPr>
          <w:p w14:paraId="5C6E169A"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9</w:t>
            </w:r>
          </w:p>
        </w:tc>
        <w:tc>
          <w:tcPr>
            <w:tcW w:w="394" w:type="pct"/>
            <w:tcBorders>
              <w:top w:val="nil"/>
              <w:left w:val="nil"/>
              <w:bottom w:val="double" w:sz="6" w:space="0" w:color="auto"/>
              <w:right w:val="single" w:sz="4" w:space="0" w:color="auto"/>
            </w:tcBorders>
            <w:shd w:val="clear" w:color="auto" w:fill="auto"/>
            <w:noWrap/>
            <w:vAlign w:val="center"/>
            <w:hideMark/>
          </w:tcPr>
          <w:p w14:paraId="0665FCCC"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7</w:t>
            </w:r>
          </w:p>
        </w:tc>
        <w:tc>
          <w:tcPr>
            <w:tcW w:w="490" w:type="pct"/>
            <w:tcBorders>
              <w:top w:val="nil"/>
              <w:left w:val="nil"/>
              <w:bottom w:val="double" w:sz="6" w:space="0" w:color="auto"/>
              <w:right w:val="single" w:sz="4" w:space="0" w:color="auto"/>
            </w:tcBorders>
            <w:shd w:val="clear" w:color="auto" w:fill="auto"/>
            <w:vAlign w:val="center"/>
            <w:hideMark/>
          </w:tcPr>
          <w:p w14:paraId="119FD256"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4</w:t>
            </w:r>
          </w:p>
        </w:tc>
        <w:tc>
          <w:tcPr>
            <w:tcW w:w="823" w:type="pct"/>
            <w:tcBorders>
              <w:top w:val="nil"/>
              <w:left w:val="nil"/>
              <w:bottom w:val="double" w:sz="6" w:space="0" w:color="auto"/>
              <w:right w:val="single" w:sz="4" w:space="0" w:color="auto"/>
            </w:tcBorders>
            <w:shd w:val="clear" w:color="auto" w:fill="auto"/>
            <w:vAlign w:val="center"/>
            <w:hideMark/>
          </w:tcPr>
          <w:p w14:paraId="3B54F7DF"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11</w:t>
            </w:r>
          </w:p>
        </w:tc>
        <w:tc>
          <w:tcPr>
            <w:tcW w:w="394" w:type="pct"/>
            <w:tcBorders>
              <w:top w:val="nil"/>
              <w:left w:val="nil"/>
              <w:bottom w:val="double" w:sz="6" w:space="0" w:color="auto"/>
              <w:right w:val="single" w:sz="4" w:space="0" w:color="auto"/>
            </w:tcBorders>
            <w:shd w:val="clear" w:color="auto" w:fill="auto"/>
            <w:vAlign w:val="center"/>
            <w:hideMark/>
          </w:tcPr>
          <w:p w14:paraId="45B5FC8E"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9</w:t>
            </w:r>
          </w:p>
        </w:tc>
        <w:tc>
          <w:tcPr>
            <w:tcW w:w="394" w:type="pct"/>
            <w:tcBorders>
              <w:top w:val="nil"/>
              <w:left w:val="nil"/>
              <w:bottom w:val="double" w:sz="6" w:space="0" w:color="auto"/>
              <w:right w:val="single" w:sz="4" w:space="0" w:color="auto"/>
            </w:tcBorders>
            <w:shd w:val="clear" w:color="auto" w:fill="auto"/>
            <w:vAlign w:val="center"/>
            <w:hideMark/>
          </w:tcPr>
          <w:p w14:paraId="71A6A58E"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12</w:t>
            </w:r>
          </w:p>
        </w:tc>
        <w:tc>
          <w:tcPr>
            <w:tcW w:w="548" w:type="pct"/>
            <w:tcBorders>
              <w:top w:val="nil"/>
              <w:left w:val="nil"/>
              <w:bottom w:val="double" w:sz="6" w:space="0" w:color="auto"/>
              <w:right w:val="single" w:sz="4" w:space="0" w:color="auto"/>
            </w:tcBorders>
            <w:shd w:val="clear" w:color="auto" w:fill="auto"/>
            <w:vAlign w:val="center"/>
            <w:hideMark/>
          </w:tcPr>
          <w:p w14:paraId="212A2DDA"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12</w:t>
            </w:r>
          </w:p>
        </w:tc>
        <w:tc>
          <w:tcPr>
            <w:tcW w:w="590" w:type="pct"/>
            <w:tcBorders>
              <w:top w:val="nil"/>
              <w:left w:val="nil"/>
              <w:bottom w:val="double" w:sz="6" w:space="0" w:color="auto"/>
              <w:right w:val="nil"/>
            </w:tcBorders>
            <w:shd w:val="clear" w:color="auto" w:fill="auto"/>
            <w:noWrap/>
            <w:vAlign w:val="center"/>
            <w:hideMark/>
          </w:tcPr>
          <w:p w14:paraId="6A2DC202"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14</w:t>
            </w:r>
          </w:p>
        </w:tc>
        <w:tc>
          <w:tcPr>
            <w:tcW w:w="123" w:type="pct"/>
            <w:tcBorders>
              <w:top w:val="nil"/>
              <w:left w:val="single" w:sz="8" w:space="0" w:color="auto"/>
              <w:bottom w:val="double" w:sz="6" w:space="0" w:color="auto"/>
              <w:right w:val="single" w:sz="8" w:space="0" w:color="auto"/>
            </w:tcBorders>
            <w:shd w:val="clear" w:color="auto" w:fill="auto"/>
            <w:vAlign w:val="center"/>
            <w:hideMark/>
          </w:tcPr>
          <w:p w14:paraId="7878C14E"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78</w:t>
            </w:r>
          </w:p>
        </w:tc>
      </w:tr>
      <w:tr w:rsidR="00CC19BA" w:rsidRPr="000C7324" w14:paraId="3CB7BF0F" w14:textId="77777777" w:rsidTr="00CC19BA">
        <w:trPr>
          <w:trHeight w:val="540"/>
        </w:trPr>
        <w:tc>
          <w:tcPr>
            <w:tcW w:w="190" w:type="pct"/>
            <w:tcBorders>
              <w:top w:val="nil"/>
              <w:left w:val="nil"/>
              <w:bottom w:val="nil"/>
              <w:right w:val="nil"/>
            </w:tcBorders>
            <w:shd w:val="clear" w:color="auto" w:fill="auto"/>
            <w:noWrap/>
            <w:vAlign w:val="bottom"/>
            <w:hideMark/>
          </w:tcPr>
          <w:p w14:paraId="5A776E04"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p>
        </w:tc>
        <w:tc>
          <w:tcPr>
            <w:tcW w:w="660" w:type="pct"/>
            <w:tcBorders>
              <w:top w:val="nil"/>
              <w:left w:val="single" w:sz="8" w:space="0" w:color="auto"/>
              <w:bottom w:val="single" w:sz="8" w:space="0" w:color="auto"/>
              <w:right w:val="single" w:sz="4" w:space="0" w:color="auto"/>
            </w:tcBorders>
            <w:shd w:val="clear" w:color="000000" w:fill="F2F2F2"/>
            <w:noWrap/>
            <w:vAlign w:val="center"/>
            <w:hideMark/>
          </w:tcPr>
          <w:p w14:paraId="32C46EEA"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 xml:space="preserve">Sous-total </w:t>
            </w:r>
          </w:p>
        </w:tc>
        <w:tc>
          <w:tcPr>
            <w:tcW w:w="394" w:type="pct"/>
            <w:tcBorders>
              <w:top w:val="nil"/>
              <w:left w:val="nil"/>
              <w:bottom w:val="single" w:sz="8" w:space="0" w:color="auto"/>
              <w:right w:val="single" w:sz="4" w:space="0" w:color="auto"/>
            </w:tcBorders>
            <w:shd w:val="clear" w:color="auto" w:fill="auto"/>
            <w:noWrap/>
            <w:vAlign w:val="center"/>
            <w:hideMark/>
          </w:tcPr>
          <w:p w14:paraId="34DFCA38"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14</w:t>
            </w:r>
          </w:p>
        </w:tc>
        <w:tc>
          <w:tcPr>
            <w:tcW w:w="394" w:type="pct"/>
            <w:tcBorders>
              <w:top w:val="nil"/>
              <w:left w:val="nil"/>
              <w:bottom w:val="single" w:sz="8" w:space="0" w:color="auto"/>
              <w:right w:val="single" w:sz="4" w:space="0" w:color="auto"/>
            </w:tcBorders>
            <w:shd w:val="clear" w:color="auto" w:fill="auto"/>
            <w:noWrap/>
            <w:vAlign w:val="center"/>
            <w:hideMark/>
          </w:tcPr>
          <w:p w14:paraId="085D9D90"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11</w:t>
            </w:r>
          </w:p>
        </w:tc>
        <w:tc>
          <w:tcPr>
            <w:tcW w:w="490" w:type="pct"/>
            <w:tcBorders>
              <w:top w:val="nil"/>
              <w:left w:val="nil"/>
              <w:bottom w:val="single" w:sz="8" w:space="0" w:color="auto"/>
              <w:right w:val="single" w:sz="4" w:space="0" w:color="auto"/>
            </w:tcBorders>
            <w:shd w:val="clear" w:color="auto" w:fill="auto"/>
            <w:noWrap/>
            <w:vAlign w:val="center"/>
            <w:hideMark/>
          </w:tcPr>
          <w:p w14:paraId="0A726147"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8</w:t>
            </w:r>
          </w:p>
        </w:tc>
        <w:tc>
          <w:tcPr>
            <w:tcW w:w="823" w:type="pct"/>
            <w:tcBorders>
              <w:top w:val="nil"/>
              <w:left w:val="nil"/>
              <w:bottom w:val="single" w:sz="8" w:space="0" w:color="auto"/>
              <w:right w:val="single" w:sz="4" w:space="0" w:color="auto"/>
            </w:tcBorders>
            <w:shd w:val="clear" w:color="auto" w:fill="auto"/>
            <w:vAlign w:val="center"/>
            <w:hideMark/>
          </w:tcPr>
          <w:p w14:paraId="610A8A9A"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20</w:t>
            </w:r>
          </w:p>
        </w:tc>
        <w:tc>
          <w:tcPr>
            <w:tcW w:w="394" w:type="pct"/>
            <w:tcBorders>
              <w:top w:val="nil"/>
              <w:left w:val="nil"/>
              <w:bottom w:val="single" w:sz="8" w:space="0" w:color="auto"/>
              <w:right w:val="single" w:sz="4" w:space="0" w:color="auto"/>
            </w:tcBorders>
            <w:shd w:val="clear" w:color="auto" w:fill="auto"/>
            <w:vAlign w:val="center"/>
            <w:hideMark/>
          </w:tcPr>
          <w:p w14:paraId="6C741D6B"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15</w:t>
            </w:r>
          </w:p>
        </w:tc>
        <w:tc>
          <w:tcPr>
            <w:tcW w:w="394" w:type="pct"/>
            <w:tcBorders>
              <w:top w:val="nil"/>
              <w:left w:val="nil"/>
              <w:bottom w:val="single" w:sz="8" w:space="0" w:color="auto"/>
              <w:right w:val="single" w:sz="4" w:space="0" w:color="auto"/>
            </w:tcBorders>
            <w:shd w:val="clear" w:color="auto" w:fill="auto"/>
            <w:vAlign w:val="center"/>
            <w:hideMark/>
          </w:tcPr>
          <w:p w14:paraId="3D998C28"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22</w:t>
            </w:r>
          </w:p>
        </w:tc>
        <w:tc>
          <w:tcPr>
            <w:tcW w:w="548" w:type="pct"/>
            <w:tcBorders>
              <w:top w:val="nil"/>
              <w:left w:val="nil"/>
              <w:bottom w:val="single" w:sz="8" w:space="0" w:color="auto"/>
              <w:right w:val="single" w:sz="4" w:space="0" w:color="auto"/>
            </w:tcBorders>
            <w:shd w:val="clear" w:color="auto" w:fill="auto"/>
            <w:vAlign w:val="center"/>
            <w:hideMark/>
          </w:tcPr>
          <w:p w14:paraId="46A29ECA"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22</w:t>
            </w:r>
          </w:p>
        </w:tc>
        <w:tc>
          <w:tcPr>
            <w:tcW w:w="590" w:type="pct"/>
            <w:tcBorders>
              <w:top w:val="nil"/>
              <w:left w:val="nil"/>
              <w:bottom w:val="single" w:sz="8" w:space="0" w:color="auto"/>
              <w:right w:val="nil"/>
            </w:tcBorders>
            <w:shd w:val="clear" w:color="auto" w:fill="auto"/>
            <w:noWrap/>
            <w:vAlign w:val="center"/>
            <w:hideMark/>
          </w:tcPr>
          <w:p w14:paraId="67B2976D"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23</w:t>
            </w:r>
          </w:p>
        </w:tc>
        <w:tc>
          <w:tcPr>
            <w:tcW w:w="123" w:type="pct"/>
            <w:tcBorders>
              <w:top w:val="nil"/>
              <w:left w:val="single" w:sz="8" w:space="0" w:color="auto"/>
              <w:bottom w:val="single" w:sz="8" w:space="0" w:color="auto"/>
              <w:right w:val="single" w:sz="8" w:space="0" w:color="auto"/>
            </w:tcBorders>
            <w:shd w:val="clear" w:color="auto" w:fill="auto"/>
            <w:vAlign w:val="center"/>
            <w:hideMark/>
          </w:tcPr>
          <w:p w14:paraId="49682DF4" w14:textId="77777777" w:rsidR="00CC19BA" w:rsidRPr="000C7324" w:rsidRDefault="00CC19BA" w:rsidP="00CC19BA">
            <w:pPr>
              <w:suppressAutoHyphens w:val="0"/>
              <w:spacing w:line="240" w:lineRule="auto"/>
              <w:jc w:val="center"/>
              <w:rPr>
                <w:rFonts w:eastAsia="Times New Roman"/>
                <w:b/>
                <w:bCs/>
                <w:spacing w:val="0"/>
                <w:w w:val="100"/>
                <w:kern w:val="0"/>
                <w:sz w:val="16"/>
                <w:szCs w:val="16"/>
                <w:lang w:val="en-US"/>
              </w:rPr>
            </w:pPr>
            <w:r w:rsidRPr="000C7324">
              <w:rPr>
                <w:rFonts w:eastAsia="Times New Roman"/>
                <w:b/>
                <w:bCs/>
                <w:spacing w:val="0"/>
                <w:w w:val="100"/>
                <w:kern w:val="0"/>
                <w:sz w:val="16"/>
                <w:szCs w:val="16"/>
                <w:lang w:val="en-US"/>
              </w:rPr>
              <w:t>135</w:t>
            </w:r>
          </w:p>
        </w:tc>
      </w:tr>
    </w:tbl>
    <w:p w14:paraId="43A408C7" w14:textId="06F19902" w:rsidR="006F67F9" w:rsidRPr="000C7324" w:rsidRDefault="006F67F9" w:rsidP="008E2513">
      <w:pPr>
        <w:pStyle w:val="SingleTxt"/>
        <w:keepNext/>
        <w:keepLines/>
        <w:rPr>
          <w:lang w:val="fr-FR"/>
        </w:rPr>
      </w:pPr>
      <w:bookmarkStart w:id="7" w:name="_Toc39607756"/>
    </w:p>
    <w:p w14:paraId="7D87859D" w14:textId="531DD876" w:rsidR="006F67F9" w:rsidRPr="000C7324" w:rsidRDefault="006F67F9" w:rsidP="008E2513">
      <w:pPr>
        <w:pStyle w:val="SingleTxt"/>
        <w:keepNext/>
        <w:keepLines/>
        <w:rPr>
          <w:lang w:val="fr-FR"/>
        </w:rPr>
      </w:pPr>
    </w:p>
    <w:p w14:paraId="436AE12E" w14:textId="77777777" w:rsidR="006F67F9" w:rsidRPr="000C7324" w:rsidRDefault="006F67F9" w:rsidP="008E2513">
      <w:pPr>
        <w:pStyle w:val="SingleTxt"/>
        <w:keepNext/>
        <w:keepLines/>
        <w:rPr>
          <w:lang w:val="fr-FR"/>
        </w:rPr>
        <w:sectPr w:rsidR="006F67F9" w:rsidRPr="000C7324" w:rsidSect="006F67F9">
          <w:endnotePr>
            <w:numFmt w:val="decimal"/>
          </w:endnotePr>
          <w:pgSz w:w="16834" w:h="11909" w:orient="landscape"/>
          <w:pgMar w:top="1032" w:right="1440" w:bottom="1032" w:left="1151" w:header="432" w:footer="504" w:gutter="0"/>
          <w:cols w:space="720"/>
          <w:noEndnote/>
          <w:docGrid w:linePitch="360"/>
        </w:sectPr>
      </w:pPr>
    </w:p>
    <w:p w14:paraId="59353CEC" w14:textId="592C286A" w:rsidR="006F67F9" w:rsidRPr="000C7324" w:rsidRDefault="00150878" w:rsidP="008E2513">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b/>
          <w:bCs/>
          <w:lang w:val="fr-FR"/>
        </w:rPr>
      </w:pPr>
      <w:r w:rsidRPr="000C7324">
        <w:rPr>
          <w:b/>
          <w:bCs/>
          <w:lang w:val="fr-FR"/>
        </w:rPr>
        <w:lastRenderedPageBreak/>
        <w:t xml:space="preserve">2. </w:t>
      </w:r>
      <w:r w:rsidR="008D539F" w:rsidRPr="000C7324">
        <w:rPr>
          <w:b/>
          <w:bCs/>
          <w:lang w:val="fr-FR"/>
        </w:rPr>
        <w:t>Commenta</w:t>
      </w:r>
      <w:r w:rsidR="00C275E0" w:rsidRPr="000C7324">
        <w:rPr>
          <w:b/>
          <w:bCs/>
          <w:lang w:val="fr-FR"/>
        </w:rPr>
        <w:t xml:space="preserve">ires sur le </w:t>
      </w:r>
      <w:r w:rsidR="005A6B6C" w:rsidRPr="000C7324">
        <w:rPr>
          <w:b/>
          <w:bCs/>
          <w:lang w:val="fr-FR"/>
        </w:rPr>
        <w:t>p</w:t>
      </w:r>
      <w:r w:rsidR="006F67F9" w:rsidRPr="000C7324">
        <w:rPr>
          <w:b/>
          <w:bCs/>
          <w:lang w:val="fr-FR"/>
        </w:rPr>
        <w:t>lan</w:t>
      </w:r>
      <w:r w:rsidR="00C275E0" w:rsidRPr="000C7324">
        <w:rPr>
          <w:b/>
          <w:bCs/>
          <w:lang w:val="fr-FR"/>
        </w:rPr>
        <w:t xml:space="preserve"> de travail</w:t>
      </w:r>
      <w:r w:rsidR="006F67F9" w:rsidRPr="000C7324">
        <w:rPr>
          <w:b/>
          <w:bCs/>
          <w:lang w:val="fr-FR"/>
        </w:rPr>
        <w:t xml:space="preserve"> </w:t>
      </w:r>
    </w:p>
    <w:p w14:paraId="2100483F" w14:textId="7A02C261" w:rsidR="005A6B6C" w:rsidRPr="000C7324" w:rsidRDefault="005A6B6C" w:rsidP="005A6B6C">
      <w:pPr>
        <w:keepNext/>
        <w:keepLines/>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fr-FR"/>
        </w:rPr>
      </w:pPr>
      <w:r w:rsidRPr="000C7324">
        <w:rPr>
          <w:lang w:val="fr-FR"/>
        </w:rPr>
        <w:t>Sur la base des contributions reçues des délégations, le plan de travail a été élaboré compte tenu du fait qu'un calendrier de travail détaillé devrait être établi pour déterminer s'il était nécessaire de demander des ressources supplémentaires pour soutenir le projet RDIE. En bref, le plan de travail fournit la base pour identifier les ressources nécessaires, allouer les ressources existantes et demander des ressources supplémentaires.</w:t>
      </w:r>
    </w:p>
    <w:p w14:paraId="22E05D86" w14:textId="4B9727E8" w:rsidR="005A6B6C" w:rsidRPr="000C7324" w:rsidRDefault="005A6B6C" w:rsidP="005A6B6C">
      <w:pPr>
        <w:keepNext/>
        <w:keepLines/>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fr-FR"/>
        </w:rPr>
      </w:pPr>
      <w:r w:rsidRPr="000C7324">
        <w:rPr>
          <w:lang w:val="fr-FR"/>
        </w:rPr>
        <w:t>Le plan de travail n'est que théorique et des ajustements devront être apportés à mesure que les travaux progressent. Il peut servir de base au suivi des progrès accomplis par le Groupe de travail et assurer ainsi à la fois prévisibilité et flexibilité. Le plan de travail prend en considération la nécessité de développer simultanément plusieurs options de réforme, tout en maintenant un équilibre entre les réformes structurelles et les réformes non structurelles.</w:t>
      </w:r>
    </w:p>
    <w:p w14:paraId="08C054A9" w14:textId="51930BDF" w:rsidR="005A6B6C" w:rsidRPr="000C7324" w:rsidRDefault="005A6B6C" w:rsidP="005A6B6C">
      <w:pPr>
        <w:keepNext/>
        <w:keepLines/>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fr-FR"/>
        </w:rPr>
      </w:pPr>
      <w:r w:rsidRPr="000C7324">
        <w:rPr>
          <w:lang w:val="fr-FR"/>
        </w:rPr>
        <w:t>L'établissement d'une date de fin ou d'un objectif est important dans toute planification de projet. Le plan de travail prévoit une date de fin de 2025 sur la base des ressources existantes et supplémentaires, ce qui serait environ 8 ans après le</w:t>
      </w:r>
      <w:r w:rsidR="00152F0D" w:rsidRPr="000C7324">
        <w:rPr>
          <w:lang w:val="fr-FR"/>
        </w:rPr>
        <w:t xml:space="preserve"> lancement du</w:t>
      </w:r>
      <w:r w:rsidRPr="000C7324">
        <w:rPr>
          <w:lang w:val="fr-FR"/>
        </w:rPr>
        <w:t xml:space="preserve"> projet RDIE en 2017. Cela est largement conforme à une évaluation détaillée des projets législatifs antérieurs réalisée par la Commission. Et il tient compte du fait que les demandes de ressources supplémentaires devraient être limitées dans le temps, compte tenu de la crise de liquidité qui prévaut à l’ONU</w:t>
      </w:r>
      <w:r w:rsidR="00AC2C08" w:rsidRPr="000C7324">
        <w:rPr>
          <w:lang w:val="fr-FR"/>
        </w:rPr>
        <w:t>.</w:t>
      </w:r>
    </w:p>
    <w:p w14:paraId="5F3B40B2" w14:textId="196FEB68" w:rsidR="005A6B6C" w:rsidRPr="000C7324" w:rsidRDefault="005A6B6C" w:rsidP="00385425">
      <w:pPr>
        <w:keepNext/>
        <w:keepLines/>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fr-FR"/>
        </w:rPr>
      </w:pPr>
      <w:r w:rsidRPr="000C7324">
        <w:rPr>
          <w:lang w:val="fr-FR"/>
        </w:rPr>
        <w:t>Le plan de travail envisage</w:t>
      </w:r>
      <w:r w:rsidR="00AC2C08" w:rsidRPr="000C7324">
        <w:rPr>
          <w:lang w:val="fr-FR"/>
        </w:rPr>
        <w:t xml:space="preserve"> que</w:t>
      </w:r>
      <w:r w:rsidRPr="000C7324">
        <w:rPr>
          <w:lang w:val="fr-FR"/>
        </w:rPr>
        <w:t xml:space="preserve"> les travaux </w:t>
      </w:r>
      <w:r w:rsidR="00AC2C08" w:rsidRPr="000C7324">
        <w:rPr>
          <w:lang w:val="fr-FR"/>
        </w:rPr>
        <w:t xml:space="preserve">soient </w:t>
      </w:r>
      <w:r w:rsidRPr="000C7324">
        <w:rPr>
          <w:lang w:val="fr-FR"/>
        </w:rPr>
        <w:t>entrepr</w:t>
      </w:r>
      <w:r w:rsidR="00AC2C08" w:rsidRPr="000C7324">
        <w:rPr>
          <w:lang w:val="fr-FR"/>
        </w:rPr>
        <w:t>is</w:t>
      </w:r>
      <w:r w:rsidRPr="000C7324">
        <w:rPr>
          <w:lang w:val="fr-FR"/>
        </w:rPr>
        <w:t xml:space="preserve"> dans le cadre des sessions du Groupe de travail </w:t>
      </w:r>
      <w:proofErr w:type="gramStart"/>
      <w:r w:rsidRPr="000C7324">
        <w:rPr>
          <w:lang w:val="fr-FR"/>
        </w:rPr>
        <w:t xml:space="preserve">ainsi que </w:t>
      </w:r>
      <w:r w:rsidR="00AC2C08" w:rsidRPr="000C7324">
        <w:rPr>
          <w:lang w:val="fr-FR"/>
        </w:rPr>
        <w:t>entre</w:t>
      </w:r>
      <w:proofErr w:type="gramEnd"/>
      <w:r w:rsidR="00AC2C08" w:rsidRPr="000C7324">
        <w:rPr>
          <w:lang w:val="fr-FR"/>
        </w:rPr>
        <w:t xml:space="preserve"> les sessions par </w:t>
      </w:r>
      <w:r w:rsidRPr="000C7324">
        <w:rPr>
          <w:lang w:val="fr-FR"/>
        </w:rPr>
        <w:t>l'utilisation de divers autres moyens</w:t>
      </w:r>
      <w:r w:rsidR="00AC2C08" w:rsidRPr="000C7324">
        <w:rPr>
          <w:lang w:val="fr-FR"/>
        </w:rPr>
        <w:t xml:space="preserve">. </w:t>
      </w:r>
      <w:r w:rsidRPr="000C7324">
        <w:rPr>
          <w:lang w:val="fr-FR"/>
        </w:rPr>
        <w:t>Le plan de travail prévoit également que certaines options de réforme seraient soumises à l'approbation en principe de la Commission de manière échelonnée à partir de 2022. Comme il ressort clairement du plan de travail, cela pourrait alléger la charge de travail de la Commission en 2025, car dans la mesure où elle serait parvenu</w:t>
      </w:r>
      <w:r w:rsidR="00385425" w:rsidRPr="000C7324">
        <w:rPr>
          <w:lang w:val="fr-FR"/>
        </w:rPr>
        <w:t>e</w:t>
      </w:r>
      <w:r w:rsidRPr="000C7324">
        <w:rPr>
          <w:lang w:val="fr-FR"/>
        </w:rPr>
        <w:t xml:space="preserve"> à un tel accord de principe lors de sessions antérieures, il serait possible d'adopter formellement toutes les options de réforme plus efficacement à la Commission en 2025.</w:t>
      </w:r>
    </w:p>
    <w:p w14:paraId="03FA7F8C" w14:textId="7ED46031" w:rsidR="005A6B6C" w:rsidRPr="000C7324" w:rsidRDefault="005A6B6C" w:rsidP="00385425">
      <w:pPr>
        <w:keepNext/>
        <w:keepLines/>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fr-FR"/>
        </w:rPr>
      </w:pPr>
      <w:r w:rsidRPr="000C7324">
        <w:rPr>
          <w:lang w:val="fr-FR"/>
        </w:rPr>
        <w:t xml:space="preserve">Selon le plan de travail, un total de 57 jours de session du </w:t>
      </w:r>
      <w:r w:rsidR="00385425" w:rsidRPr="000C7324">
        <w:rPr>
          <w:lang w:val="fr-FR"/>
        </w:rPr>
        <w:t>G</w:t>
      </w:r>
      <w:r w:rsidRPr="000C7324">
        <w:rPr>
          <w:lang w:val="fr-FR"/>
        </w:rPr>
        <w:t xml:space="preserve">roupe de travail serait nécessaire pour achever le projet </w:t>
      </w:r>
      <w:r w:rsidR="00385425" w:rsidRPr="000C7324">
        <w:rPr>
          <w:lang w:val="fr-FR"/>
        </w:rPr>
        <w:t>RDIE</w:t>
      </w:r>
      <w:r w:rsidRPr="000C7324">
        <w:rPr>
          <w:lang w:val="fr-FR"/>
        </w:rPr>
        <w:t xml:space="preserve"> (à l'exclusion des jours pour l'adoption des rapports).</w:t>
      </w:r>
      <w:r w:rsidR="00385425" w:rsidRPr="000C7324">
        <w:rPr>
          <w:vertAlign w:val="superscript"/>
          <w:lang w:val="fr-FR"/>
        </w:rPr>
        <w:t xml:space="preserve"> </w:t>
      </w:r>
      <w:r w:rsidR="00385425" w:rsidRPr="000C7324">
        <w:rPr>
          <w:vertAlign w:val="superscript"/>
        </w:rPr>
        <w:footnoteReference w:id="3"/>
      </w:r>
      <w:r w:rsidRPr="000C7324">
        <w:rPr>
          <w:lang w:val="fr-FR"/>
        </w:rPr>
        <w:t xml:space="preserve"> Cela pourrait être réalisé en 15 sessions d'une semaine du Groupe de travail sur une période de 5 ans à compter de 2021</w:t>
      </w:r>
      <w:r w:rsidR="00385425" w:rsidRPr="000C7324">
        <w:rPr>
          <w:lang w:val="fr-FR"/>
        </w:rPr>
        <w:t>.</w:t>
      </w:r>
    </w:p>
    <w:p w14:paraId="70CC0F73" w14:textId="40593D99" w:rsidR="002269F0" w:rsidRPr="000C7324" w:rsidRDefault="002269F0" w:rsidP="002269F0">
      <w:pPr>
        <w:keepNext/>
        <w:keepLines/>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fr-FR"/>
        </w:rPr>
      </w:pPr>
      <w:r w:rsidRPr="000C7324">
        <w:rPr>
          <w:lang w:val="fr-FR"/>
        </w:rPr>
        <w:t xml:space="preserve">Le plan de travail prévoit également l'utilisation d'autres moyens ou de réunions informelles (réunions intersessions, groupes de rédaction, travaux conjoints avec d'autres organisations et webinaires de soutien) pendant la période intersessions pour améliorer encore l'efficacité des délibérations tout en maintenant le rôle du Groupe de travail. En d'autres termes, ils visent à réduire le temps global nécessaire à une session formelle du </w:t>
      </w:r>
      <w:r w:rsidR="00AC2C08" w:rsidRPr="000C7324">
        <w:rPr>
          <w:lang w:val="fr-FR"/>
        </w:rPr>
        <w:t>G</w:t>
      </w:r>
      <w:r w:rsidRPr="000C7324">
        <w:rPr>
          <w:lang w:val="fr-FR"/>
        </w:rPr>
        <w:t>roupe de travail en facilitant une meilleure compréhension des différentes positions des délégations et en les tenant informées et engagées dans les délibérations en cours. Ils offrent également l’occasion de surmonter les désaccords et d’élaborer des options que le Groupe de travail peut ensuite examiner. Dans l'ensemble, ils aident à dégager un consensus, garantissant ainsi que les réunions formelles sont réservées aux questions qui nécessitent des délibérations plus approfondies. Le Groupe de travail souhaitera peut-être rappeler la série de webinaires et de consultations informelles sur un certain nombre d'options de réforme, organisés ou facilités par le Secrétariat à la suite de la pandémie COVID-19, et qui ont permis une discussion plus éclairée au cours de la trente-neuvième session.</w:t>
      </w:r>
    </w:p>
    <w:p w14:paraId="347B38AE" w14:textId="1D86FCD3" w:rsidR="002269F0" w:rsidRPr="000C7324" w:rsidRDefault="002269F0" w:rsidP="002269F0">
      <w:pPr>
        <w:keepNext/>
        <w:keepLines/>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fr-FR"/>
        </w:rPr>
      </w:pPr>
      <w:r w:rsidRPr="000C7324">
        <w:rPr>
          <w:lang w:val="fr-FR"/>
        </w:rPr>
        <w:t>Le Groupe de travail souhaitera peut-être noter que la Commission a invité les délégations à recourir à des consultations officieuses avant les réunions proprement dites, réservant ainsi du temps de conférence uniquement pour les questions nécessitant de longues délibérations.</w:t>
      </w:r>
      <w:r w:rsidRPr="000C7324">
        <w:rPr>
          <w:vertAlign w:val="superscript"/>
          <w:lang w:val="fr-FR"/>
        </w:rPr>
        <w:t xml:space="preserve"> </w:t>
      </w:r>
      <w:r w:rsidRPr="000C7324">
        <w:rPr>
          <w:vertAlign w:val="superscript"/>
        </w:rPr>
        <w:footnoteReference w:id="4"/>
      </w:r>
      <w:r w:rsidR="00CC19BA" w:rsidRPr="000C7324">
        <w:rPr>
          <w:lang w:val="fr-FR"/>
        </w:rPr>
        <w:t xml:space="preserve"> </w:t>
      </w:r>
      <w:r w:rsidRPr="000C7324">
        <w:rPr>
          <w:lang w:val="fr-FR"/>
        </w:rPr>
        <w:t>Dans le même temps, le Groupe de travail devrait reconnaître les limites des réunions informelles, en particulier le manque d'interprétation dans toutes les langues officielles de l'Organisation des Nations Unies.</w:t>
      </w:r>
    </w:p>
    <w:p w14:paraId="26D82D51" w14:textId="21AE2B9B" w:rsidR="002269F0" w:rsidRPr="000C7324" w:rsidRDefault="002269F0" w:rsidP="00395407">
      <w:pPr>
        <w:keepNext/>
        <w:keepLines/>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fr-FR"/>
        </w:rPr>
      </w:pPr>
      <w:r w:rsidRPr="000C7324">
        <w:rPr>
          <w:lang w:val="fr-FR"/>
        </w:rPr>
        <w:lastRenderedPageBreak/>
        <w:t xml:space="preserve">Le plan de travail prévoit 78 réunions informelles au total. À la date de soumission de la présente note, une réunion </w:t>
      </w:r>
      <w:proofErr w:type="spellStart"/>
      <w:r w:rsidRPr="000C7324">
        <w:rPr>
          <w:lang w:val="fr-FR"/>
        </w:rPr>
        <w:t>inter</w:t>
      </w:r>
      <w:r w:rsidR="00C87527" w:rsidRPr="000C7324">
        <w:rPr>
          <w:lang w:val="fr-FR"/>
        </w:rPr>
        <w:t>-</w:t>
      </w:r>
      <w:r w:rsidRPr="000C7324">
        <w:rPr>
          <w:lang w:val="fr-FR"/>
        </w:rPr>
        <w:t>sessions</w:t>
      </w:r>
      <w:proofErr w:type="spellEnd"/>
      <w:r w:rsidRPr="000C7324">
        <w:rPr>
          <w:lang w:val="fr-FR"/>
        </w:rPr>
        <w:t xml:space="preserve"> est prévue au second semestre 2020 à Hong Kong, Chine. À l’instar des précédentes réunions intersessions, l’État hôte devrait rendre compte des résultats de cette réunions au Groupe de travail. Cependant, contrairement aux réunions </w:t>
      </w:r>
      <w:proofErr w:type="spellStart"/>
      <w:r w:rsidRPr="000C7324">
        <w:rPr>
          <w:lang w:val="fr-FR"/>
        </w:rPr>
        <w:t>inter</w:t>
      </w:r>
      <w:r w:rsidR="00C87527" w:rsidRPr="000C7324">
        <w:rPr>
          <w:lang w:val="fr-FR"/>
        </w:rPr>
        <w:t>-</w:t>
      </w:r>
      <w:r w:rsidRPr="000C7324">
        <w:rPr>
          <w:lang w:val="fr-FR"/>
        </w:rPr>
        <w:t>sessions</w:t>
      </w:r>
      <w:proofErr w:type="spellEnd"/>
      <w:r w:rsidRPr="000C7324">
        <w:rPr>
          <w:lang w:val="fr-FR"/>
        </w:rPr>
        <w:t xml:space="preserve"> précédentes qui se concentraient sur le contexte régional, la réunion </w:t>
      </w:r>
      <w:proofErr w:type="spellStart"/>
      <w:r w:rsidRPr="000C7324">
        <w:rPr>
          <w:lang w:val="fr-FR"/>
        </w:rPr>
        <w:t>inter</w:t>
      </w:r>
      <w:r w:rsidR="00C87527" w:rsidRPr="000C7324">
        <w:rPr>
          <w:lang w:val="fr-FR"/>
        </w:rPr>
        <w:t>-</w:t>
      </w:r>
      <w:r w:rsidRPr="000C7324">
        <w:rPr>
          <w:lang w:val="fr-FR"/>
        </w:rPr>
        <w:t>sessions</w:t>
      </w:r>
      <w:proofErr w:type="spellEnd"/>
      <w:r w:rsidRPr="000C7324">
        <w:rPr>
          <w:lang w:val="fr-FR"/>
        </w:rPr>
        <w:t xml:space="preserve"> proposée viserait à approfondir les discussions sur des options de réforme spécifiques, par exemple sur la médiation en matière d’investissement et la prévention des différends.</w:t>
      </w:r>
    </w:p>
    <w:p w14:paraId="4E4F4AE0" w14:textId="18770F68" w:rsidR="002269F0" w:rsidRPr="000C7324" w:rsidRDefault="002269F0" w:rsidP="00395407">
      <w:pPr>
        <w:keepNext/>
        <w:keepLines/>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fr-FR"/>
        </w:rPr>
      </w:pPr>
      <w:r w:rsidRPr="000C7324">
        <w:rPr>
          <w:lang w:val="fr-FR"/>
        </w:rPr>
        <w:t xml:space="preserve">Des travaux conjoints ou des réunions avec d'autres organisations sont également envisagés dans le plan de travail. Par exemple, sur le code de conduite, une réunion conjointe avec le CIRDI est prévue durant le premier semestre de 2021. De même, une réunion conjointe sur les réclamations </w:t>
      </w:r>
      <w:r w:rsidR="00395407" w:rsidRPr="000C7324">
        <w:rPr>
          <w:lang w:val="fr-FR"/>
        </w:rPr>
        <w:t>par l</w:t>
      </w:r>
      <w:r w:rsidRPr="000C7324">
        <w:rPr>
          <w:lang w:val="fr-FR"/>
        </w:rPr>
        <w:t xml:space="preserve">es actionnaires et les pertes </w:t>
      </w:r>
      <w:r w:rsidR="00395407" w:rsidRPr="000C7324">
        <w:rPr>
          <w:lang w:val="fr-FR"/>
        </w:rPr>
        <w:t>par ricochet</w:t>
      </w:r>
      <w:r w:rsidRPr="000C7324">
        <w:rPr>
          <w:lang w:val="fr-FR"/>
        </w:rPr>
        <w:t xml:space="preserve"> est prévue en coopération avec l'Organisation de coopération et de développement économiques (OCDE).</w:t>
      </w:r>
    </w:p>
    <w:p w14:paraId="2DDB6C1C" w14:textId="19570ECF" w:rsidR="002269F0" w:rsidRPr="000C7324" w:rsidRDefault="002269F0" w:rsidP="00395407">
      <w:pPr>
        <w:keepNext/>
        <w:keepLines/>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fr-FR"/>
        </w:rPr>
      </w:pPr>
      <w:r w:rsidRPr="000C7324">
        <w:rPr>
          <w:lang w:val="fr-FR"/>
        </w:rPr>
        <w:t>Le plan de travail suggère que ces réunions informelles soient utilisées plus activement en 2021 et 2022 car elles peuvent être très utiles pour le partage d'informations et la rédaction initiale. À mesure que les travaux avancent et que le Groupe de travail est appelé à prendre des décisions, le nombre de réunions informelles devrait diminuer.</w:t>
      </w:r>
    </w:p>
    <w:p w14:paraId="023E780E" w14:textId="3BDFE095" w:rsidR="008E2513" w:rsidRPr="000C7324" w:rsidRDefault="000D2C79" w:rsidP="0039540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fr-FR"/>
        </w:rPr>
      </w:pPr>
      <w:r w:rsidRPr="000C7324">
        <w:rPr>
          <w:lang w:val="fr-FR"/>
        </w:rPr>
        <w:t xml:space="preserve"> </w:t>
      </w:r>
    </w:p>
    <w:p w14:paraId="35FDF6D4" w14:textId="77777777" w:rsidR="008E2513" w:rsidRPr="000C7324" w:rsidRDefault="008E2513" w:rsidP="00902A56">
      <w:pPr>
        <w:suppressAutoHyphens w:val="0"/>
        <w:spacing w:after="200" w:line="276" w:lineRule="auto"/>
        <w:rPr>
          <w:lang w:val="fr-FR"/>
        </w:rPr>
      </w:pPr>
      <w:r w:rsidRPr="000C7324">
        <w:rPr>
          <w:lang w:val="fr-FR"/>
        </w:rPr>
        <w:br w:type="page"/>
      </w:r>
    </w:p>
    <w:p w14:paraId="29FFBFB4" w14:textId="77777777" w:rsidR="006F67F9" w:rsidRPr="000C7324" w:rsidRDefault="006F67F9" w:rsidP="00902A56">
      <w:pPr>
        <w:pStyle w:val="SingleTxt"/>
        <w:spacing w:after="0" w:line="120" w:lineRule="atLeast"/>
        <w:rPr>
          <w:sz w:val="10"/>
          <w:lang w:val="fr-FR"/>
        </w:rPr>
      </w:pPr>
      <w:bookmarkStart w:id="8" w:name="_Hlk37249326"/>
      <w:bookmarkStart w:id="9" w:name="_Hlk37249346"/>
    </w:p>
    <w:p w14:paraId="536A31F5" w14:textId="67EE725D" w:rsidR="006F67F9" w:rsidRPr="000C7324" w:rsidRDefault="006F67F9" w:rsidP="00902A56">
      <w:pPr>
        <w:pStyle w:val="HCh"/>
        <w:keepNext w:val="0"/>
        <w:keepLines w:val="0"/>
        <w:ind w:left="1267" w:right="1260" w:hanging="1267"/>
        <w:rPr>
          <w:lang w:val="fr-FR"/>
        </w:rPr>
      </w:pPr>
      <w:r w:rsidRPr="000C7324">
        <w:rPr>
          <w:lang w:val="fr-FR"/>
        </w:rPr>
        <w:tab/>
      </w:r>
      <w:bookmarkStart w:id="10" w:name="_Toc39607759"/>
      <w:r w:rsidRPr="000C7324">
        <w:rPr>
          <w:lang w:val="fr-FR"/>
        </w:rPr>
        <w:t>I</w:t>
      </w:r>
      <w:r w:rsidR="005914AB" w:rsidRPr="000C7324">
        <w:rPr>
          <w:lang w:val="fr-FR"/>
        </w:rPr>
        <w:t>II</w:t>
      </w:r>
      <w:r w:rsidRPr="000C7324">
        <w:rPr>
          <w:lang w:val="fr-FR"/>
        </w:rPr>
        <w:t>.</w:t>
      </w:r>
      <w:r w:rsidRPr="000C7324">
        <w:rPr>
          <w:lang w:val="fr-FR"/>
        </w:rPr>
        <w:tab/>
      </w:r>
      <w:bookmarkEnd w:id="8"/>
      <w:bookmarkEnd w:id="10"/>
      <w:r w:rsidR="00395407" w:rsidRPr="000C7324">
        <w:rPr>
          <w:lang w:val="fr-FR"/>
        </w:rPr>
        <w:t>Plan de ressources</w:t>
      </w:r>
      <w:r w:rsidR="00150878" w:rsidRPr="000C7324">
        <w:rPr>
          <w:lang w:val="fr-FR"/>
        </w:rPr>
        <w:t xml:space="preserve"> </w:t>
      </w:r>
    </w:p>
    <w:p w14:paraId="2C0B6E7B" w14:textId="77777777" w:rsidR="006F67F9" w:rsidRPr="000C7324" w:rsidRDefault="006F67F9" w:rsidP="00902A56">
      <w:pPr>
        <w:pStyle w:val="SingleTxt"/>
        <w:spacing w:after="0" w:line="120" w:lineRule="atLeast"/>
        <w:rPr>
          <w:sz w:val="10"/>
          <w:lang w:val="fr-FR"/>
        </w:rPr>
      </w:pPr>
    </w:p>
    <w:bookmarkEnd w:id="9"/>
    <w:p w14:paraId="4065261E" w14:textId="35C75534" w:rsidR="00902A56" w:rsidRPr="000C7324" w:rsidRDefault="00902A56" w:rsidP="00902A56">
      <w:pPr>
        <w:pStyle w:val="SingleTxt"/>
        <w:ind w:right="1267"/>
        <w:rPr>
          <w:b/>
          <w:bCs/>
          <w:spacing w:val="0"/>
          <w:w w:val="100"/>
          <w:lang w:val="fr-FR"/>
        </w:rPr>
      </w:pPr>
    </w:p>
    <w:p w14:paraId="0B3C0BB9" w14:textId="62507A5F" w:rsidR="005914AB" w:rsidRPr="000C7324" w:rsidRDefault="00902A56" w:rsidP="00902A56">
      <w:pPr>
        <w:pStyle w:val="SingleTxt"/>
        <w:ind w:right="1267"/>
        <w:rPr>
          <w:b/>
          <w:bCs/>
          <w:spacing w:val="0"/>
          <w:w w:val="100"/>
          <w:lang w:val="fr-FR"/>
        </w:rPr>
      </w:pPr>
      <w:r w:rsidRPr="000C7324">
        <w:rPr>
          <w:b/>
          <w:bCs/>
          <w:spacing w:val="0"/>
          <w:w w:val="100"/>
          <w:lang w:val="fr-FR"/>
        </w:rPr>
        <w:t xml:space="preserve">1. </w:t>
      </w:r>
      <w:r w:rsidR="00395407" w:rsidRPr="000C7324">
        <w:rPr>
          <w:b/>
          <w:bCs/>
          <w:spacing w:val="0"/>
          <w:w w:val="100"/>
          <w:lang w:val="fr-FR"/>
        </w:rPr>
        <w:t>Ressources</w:t>
      </w:r>
      <w:r w:rsidR="005914AB" w:rsidRPr="000C7324">
        <w:rPr>
          <w:b/>
          <w:bCs/>
          <w:spacing w:val="0"/>
          <w:w w:val="100"/>
          <w:lang w:val="fr-FR"/>
        </w:rPr>
        <w:t xml:space="preserve"> utili</w:t>
      </w:r>
      <w:r w:rsidR="00395407" w:rsidRPr="000C7324">
        <w:rPr>
          <w:b/>
          <w:bCs/>
          <w:spacing w:val="0"/>
          <w:w w:val="100"/>
          <w:lang w:val="fr-FR"/>
        </w:rPr>
        <w:t>sées sur la période</w:t>
      </w:r>
      <w:r w:rsidR="00BE2B0E" w:rsidRPr="000C7324">
        <w:rPr>
          <w:b/>
          <w:bCs/>
          <w:spacing w:val="0"/>
          <w:w w:val="100"/>
          <w:lang w:val="fr-FR"/>
        </w:rPr>
        <w:t xml:space="preserve"> 2017-2020</w:t>
      </w:r>
      <w:r w:rsidR="005914AB" w:rsidRPr="000C7324">
        <w:rPr>
          <w:b/>
          <w:bCs/>
          <w:spacing w:val="0"/>
          <w:w w:val="100"/>
          <w:lang w:val="fr-FR"/>
        </w:rPr>
        <w:t xml:space="preserve"> </w:t>
      </w:r>
    </w:p>
    <w:p w14:paraId="6AFF05BE" w14:textId="79AA4B06" w:rsidR="00395407" w:rsidRPr="000C7324" w:rsidRDefault="00395407" w:rsidP="00395407">
      <w:pPr>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fr-FR"/>
        </w:rPr>
      </w:pPr>
      <w:r w:rsidRPr="000C7324">
        <w:rPr>
          <w:lang w:val="fr-FR"/>
        </w:rPr>
        <w:t xml:space="preserve">En 2017, le Groupe de travail s'est vu confier un large mandat pour travailler sur le projet RDIE. Depuis lors, le Groupe de travail a tenu sept sessions d'une semaine. Au cours des quatre premières </w:t>
      </w:r>
      <w:r w:rsidRPr="000C7324">
        <w:rPr>
          <w:spacing w:val="0"/>
          <w:w w:val="100"/>
          <w:lang w:val="fr-FR"/>
        </w:rPr>
        <w:t>sessions</w:t>
      </w:r>
      <w:r w:rsidRPr="000C7324">
        <w:rPr>
          <w:lang w:val="fr-FR"/>
        </w:rPr>
        <w:t>, le Groupe de travail a identifié et discuté des préoccupations concernant le RDIE, et a en outre estimé qu'une réforme était souhaitable à la lumière des préoccupations identifiées.</w:t>
      </w:r>
      <w:r w:rsidRPr="000C7324">
        <w:rPr>
          <w:vertAlign w:val="superscript"/>
          <w:lang w:val="fr-FR"/>
        </w:rPr>
        <w:t xml:space="preserve"> </w:t>
      </w:r>
      <w:r w:rsidRPr="000C7324">
        <w:rPr>
          <w:vertAlign w:val="superscript"/>
        </w:rPr>
        <w:footnoteReference w:id="5"/>
      </w:r>
      <w:r w:rsidRPr="000C7324">
        <w:rPr>
          <w:lang w:val="fr-FR"/>
        </w:rPr>
        <w:t xml:space="preserve"> Au cours des trois sessions précédentes, le Groupe de travail a examiné des solutions de réforme concrètes.</w:t>
      </w:r>
      <w:r w:rsidRPr="000C7324">
        <w:rPr>
          <w:vertAlign w:val="superscript"/>
          <w:lang w:val="fr-FR"/>
        </w:rPr>
        <w:t xml:space="preserve"> </w:t>
      </w:r>
      <w:r w:rsidRPr="000C7324">
        <w:rPr>
          <w:vertAlign w:val="superscript"/>
        </w:rPr>
        <w:footnoteReference w:id="6"/>
      </w:r>
    </w:p>
    <w:p w14:paraId="32BFA1DB" w14:textId="75B411BB" w:rsidR="00395407" w:rsidRPr="000C7324" w:rsidRDefault="00395407" w:rsidP="00395407">
      <w:pPr>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fr-FR"/>
        </w:rPr>
      </w:pPr>
      <w:r w:rsidRPr="000C7324">
        <w:rPr>
          <w:lang w:val="fr-FR"/>
        </w:rPr>
        <w:t>Le tableau 1 donne un aperçu des ressources concernant les conférences</w:t>
      </w:r>
      <w:r w:rsidRPr="000C7324">
        <w:rPr>
          <w:vertAlign w:val="superscript"/>
        </w:rPr>
        <w:footnoteReference w:id="7"/>
      </w:r>
      <w:r w:rsidRPr="000C7324">
        <w:rPr>
          <w:lang w:val="fr-FR"/>
        </w:rPr>
        <w:t xml:space="preserve"> et les documents</w:t>
      </w:r>
      <w:r w:rsidRPr="000C7324">
        <w:rPr>
          <w:vertAlign w:val="superscript"/>
        </w:rPr>
        <w:footnoteReference w:id="8"/>
      </w:r>
      <w:r w:rsidRPr="000C7324">
        <w:rPr>
          <w:lang w:val="fr-FR"/>
        </w:rPr>
        <w:t xml:space="preserve"> utilisées par le </w:t>
      </w:r>
      <w:r w:rsidRPr="000C7324">
        <w:rPr>
          <w:spacing w:val="0"/>
          <w:w w:val="100"/>
          <w:lang w:val="fr-FR"/>
        </w:rPr>
        <w:t>Groupe</w:t>
      </w:r>
      <w:r w:rsidRPr="000C7324">
        <w:rPr>
          <w:lang w:val="fr-FR"/>
        </w:rPr>
        <w:t xml:space="preserve"> de travail au cours des sept sessions précédentes. Le tableau indique que la troisième phase du projet RDIE, où plusieurs solutions de réforme devraient être développées simultanément, nécessitera probablement plus de ressources par session.</w:t>
      </w:r>
    </w:p>
    <w:p w14:paraId="7006D710" w14:textId="19026084" w:rsidR="005914AB" w:rsidRPr="000C7324" w:rsidRDefault="005914AB" w:rsidP="00902A56">
      <w:pPr>
        <w:pStyle w:val="SingleTxt"/>
        <w:spacing w:after="0"/>
        <w:jc w:val="left"/>
        <w:rPr>
          <w:lang w:val="fr-FR"/>
        </w:rPr>
      </w:pPr>
      <w:r w:rsidRPr="000C7324">
        <w:rPr>
          <w:lang w:val="fr-FR"/>
        </w:rPr>
        <w:t>Table</w:t>
      </w:r>
      <w:r w:rsidR="00395407" w:rsidRPr="000C7324">
        <w:rPr>
          <w:lang w:val="fr-FR"/>
        </w:rPr>
        <w:t>au</w:t>
      </w:r>
      <w:r w:rsidRPr="000C7324">
        <w:rPr>
          <w:lang w:val="fr-FR"/>
        </w:rPr>
        <w:t xml:space="preserve"> 1</w:t>
      </w:r>
    </w:p>
    <w:p w14:paraId="51757F84" w14:textId="011CF449" w:rsidR="005914AB" w:rsidRPr="000C7324" w:rsidRDefault="00E54162" w:rsidP="00902A56">
      <w:pPr>
        <w:pStyle w:val="SingleTxt"/>
        <w:spacing w:after="0"/>
        <w:jc w:val="left"/>
        <w:rPr>
          <w:lang w:val="fr-FR"/>
        </w:rPr>
      </w:pPr>
      <w:r w:rsidRPr="000C7324">
        <w:rPr>
          <w:b/>
          <w:bCs/>
          <w:lang w:val="fr-FR"/>
        </w:rPr>
        <w:t xml:space="preserve">Aperçu des ressources utilisées par le Groupe de travail </w:t>
      </w:r>
      <w:r w:rsidR="005914AB" w:rsidRPr="000C7324">
        <w:rPr>
          <w:vertAlign w:val="superscript"/>
        </w:rPr>
        <w:footnoteReference w:id="9"/>
      </w:r>
    </w:p>
    <w:tbl>
      <w:tblPr>
        <w:tblStyle w:val="TableGrid"/>
        <w:tblpPr w:leftFromText="180" w:rightFromText="180" w:vertAnchor="text" w:horzAnchor="margin" w:tblpX="1250" w:tblpY="171"/>
        <w:tblW w:w="0" w:type="auto"/>
        <w:tblLook w:val="04A0" w:firstRow="1" w:lastRow="0" w:firstColumn="1" w:lastColumn="0" w:noHBand="0" w:noVBand="1"/>
      </w:tblPr>
      <w:tblGrid>
        <w:gridCol w:w="2155"/>
        <w:gridCol w:w="1159"/>
        <w:gridCol w:w="2162"/>
        <w:gridCol w:w="1899"/>
      </w:tblGrid>
      <w:tr w:rsidR="005914AB" w:rsidRPr="000C7324" w14:paraId="253EF2F3" w14:textId="77777777" w:rsidTr="000C2D5C">
        <w:tc>
          <w:tcPr>
            <w:tcW w:w="2155" w:type="dxa"/>
            <w:tcBorders>
              <w:bottom w:val="single" w:sz="4" w:space="0" w:color="auto"/>
            </w:tcBorders>
            <w:shd w:val="pct10" w:color="auto" w:fill="auto"/>
            <w:vAlign w:val="center"/>
          </w:tcPr>
          <w:p w14:paraId="23A9CACA" w14:textId="77777777" w:rsidR="005914AB" w:rsidRPr="000C7324" w:rsidRDefault="005914AB" w:rsidP="00902A56">
            <w:pPr>
              <w:snapToGrid w:val="0"/>
              <w:spacing w:line="210" w:lineRule="atLeast"/>
              <w:jc w:val="center"/>
              <w:rPr>
                <w:b/>
                <w:bCs/>
                <w:sz w:val="17"/>
                <w:szCs w:val="17"/>
                <w:lang w:val="fr-FR"/>
              </w:rPr>
            </w:pPr>
          </w:p>
        </w:tc>
        <w:tc>
          <w:tcPr>
            <w:tcW w:w="1159" w:type="dxa"/>
            <w:shd w:val="pct10" w:color="auto" w:fill="auto"/>
            <w:vAlign w:val="bottom"/>
          </w:tcPr>
          <w:p w14:paraId="43D56712" w14:textId="4ED43CE8" w:rsidR="005914AB" w:rsidRPr="000C7324" w:rsidRDefault="005914AB" w:rsidP="00902A56">
            <w:pPr>
              <w:snapToGrid w:val="0"/>
              <w:spacing w:after="40" w:line="210" w:lineRule="atLeast"/>
              <w:rPr>
                <w:b/>
                <w:bCs/>
                <w:sz w:val="17"/>
                <w:szCs w:val="17"/>
              </w:rPr>
            </w:pPr>
            <w:r w:rsidRPr="000C7324">
              <w:rPr>
                <w:b/>
                <w:bCs/>
                <w:sz w:val="17"/>
                <w:szCs w:val="17"/>
              </w:rPr>
              <w:t xml:space="preserve">Conference </w:t>
            </w:r>
          </w:p>
        </w:tc>
        <w:tc>
          <w:tcPr>
            <w:tcW w:w="2162" w:type="dxa"/>
            <w:shd w:val="pct10" w:color="auto" w:fill="auto"/>
            <w:vAlign w:val="bottom"/>
          </w:tcPr>
          <w:p w14:paraId="6CE00683" w14:textId="1D5849C9" w:rsidR="005914AB" w:rsidRPr="000C7324" w:rsidRDefault="005914AB" w:rsidP="00902A56">
            <w:pPr>
              <w:snapToGrid w:val="0"/>
              <w:spacing w:after="40" w:line="210" w:lineRule="atLeast"/>
              <w:rPr>
                <w:b/>
                <w:bCs/>
                <w:sz w:val="17"/>
                <w:szCs w:val="17"/>
              </w:rPr>
            </w:pPr>
            <w:r w:rsidRPr="000C7324">
              <w:rPr>
                <w:b/>
                <w:bCs/>
                <w:sz w:val="17"/>
                <w:szCs w:val="17"/>
              </w:rPr>
              <w:t xml:space="preserve">Notes </w:t>
            </w:r>
            <w:r w:rsidR="00E54162" w:rsidRPr="000C7324">
              <w:rPr>
                <w:b/>
                <w:bCs/>
                <w:sz w:val="17"/>
                <w:szCs w:val="17"/>
              </w:rPr>
              <w:t>du</w:t>
            </w:r>
            <w:r w:rsidRPr="000C7324">
              <w:rPr>
                <w:b/>
                <w:bCs/>
                <w:sz w:val="17"/>
                <w:szCs w:val="17"/>
              </w:rPr>
              <w:t xml:space="preserve"> Secretariat</w:t>
            </w:r>
          </w:p>
        </w:tc>
        <w:tc>
          <w:tcPr>
            <w:tcW w:w="1899" w:type="dxa"/>
            <w:shd w:val="pct10" w:color="auto" w:fill="auto"/>
            <w:vAlign w:val="bottom"/>
          </w:tcPr>
          <w:p w14:paraId="6966BBC9" w14:textId="671F7ABE" w:rsidR="005914AB" w:rsidRPr="000C7324" w:rsidRDefault="005914AB" w:rsidP="00902A56">
            <w:pPr>
              <w:snapToGrid w:val="0"/>
              <w:spacing w:after="40" w:line="210" w:lineRule="atLeast"/>
              <w:rPr>
                <w:b/>
                <w:bCs/>
                <w:sz w:val="17"/>
                <w:szCs w:val="17"/>
                <w:lang w:val="fr-FR"/>
              </w:rPr>
            </w:pPr>
            <w:r w:rsidRPr="000C7324">
              <w:rPr>
                <w:b/>
                <w:bCs/>
                <w:sz w:val="17"/>
                <w:szCs w:val="17"/>
                <w:lang w:val="fr-FR"/>
              </w:rPr>
              <w:t>S</w:t>
            </w:r>
            <w:r w:rsidR="00E54162" w:rsidRPr="000C7324">
              <w:rPr>
                <w:b/>
                <w:bCs/>
                <w:sz w:val="17"/>
                <w:szCs w:val="17"/>
                <w:lang w:val="fr-FR"/>
              </w:rPr>
              <w:t>ou</w:t>
            </w:r>
            <w:r w:rsidRPr="000C7324">
              <w:rPr>
                <w:b/>
                <w:bCs/>
                <w:sz w:val="17"/>
                <w:szCs w:val="17"/>
                <w:lang w:val="fr-FR"/>
              </w:rPr>
              <w:t xml:space="preserve">missions </w:t>
            </w:r>
            <w:r w:rsidR="00E54162" w:rsidRPr="000C7324">
              <w:rPr>
                <w:b/>
                <w:bCs/>
                <w:sz w:val="17"/>
                <w:szCs w:val="17"/>
                <w:lang w:val="fr-FR"/>
              </w:rPr>
              <w:t>par les</w:t>
            </w:r>
            <w:r w:rsidRPr="000C7324">
              <w:rPr>
                <w:b/>
                <w:bCs/>
                <w:sz w:val="17"/>
                <w:szCs w:val="17"/>
                <w:lang w:val="fr-FR"/>
              </w:rPr>
              <w:t xml:space="preserve"> </w:t>
            </w:r>
            <w:r w:rsidR="00E54162" w:rsidRPr="000C7324">
              <w:rPr>
                <w:b/>
                <w:bCs/>
                <w:sz w:val="17"/>
                <w:szCs w:val="17"/>
                <w:lang w:val="fr-FR"/>
              </w:rPr>
              <w:t>État</w:t>
            </w:r>
            <w:r w:rsidRPr="000C7324">
              <w:rPr>
                <w:b/>
                <w:bCs/>
                <w:sz w:val="17"/>
                <w:szCs w:val="17"/>
                <w:lang w:val="fr-FR"/>
              </w:rPr>
              <w:t xml:space="preserve">s </w:t>
            </w:r>
            <w:r w:rsidR="00E54162" w:rsidRPr="000C7324">
              <w:rPr>
                <w:b/>
                <w:bCs/>
                <w:sz w:val="17"/>
                <w:szCs w:val="17"/>
                <w:lang w:val="fr-FR"/>
              </w:rPr>
              <w:t>et autres</w:t>
            </w:r>
            <w:r w:rsidRPr="000C7324">
              <w:rPr>
                <w:rStyle w:val="FootnoteReference"/>
                <w:sz w:val="17"/>
                <w:szCs w:val="17"/>
              </w:rPr>
              <w:footnoteReference w:id="10"/>
            </w:r>
            <w:r w:rsidRPr="000C7324">
              <w:rPr>
                <w:b/>
                <w:bCs/>
                <w:sz w:val="17"/>
                <w:szCs w:val="17"/>
                <w:lang w:val="fr-FR"/>
              </w:rPr>
              <w:t xml:space="preserve"> </w:t>
            </w:r>
          </w:p>
        </w:tc>
      </w:tr>
      <w:tr w:rsidR="005914AB" w:rsidRPr="000C7324" w14:paraId="5BF1D3CA" w14:textId="77777777" w:rsidTr="000C2D5C">
        <w:tc>
          <w:tcPr>
            <w:tcW w:w="2155" w:type="dxa"/>
            <w:shd w:val="pct10" w:color="auto" w:fill="auto"/>
          </w:tcPr>
          <w:p w14:paraId="7AFB2173" w14:textId="51B6542D" w:rsidR="005914AB" w:rsidRPr="000C7324" w:rsidRDefault="00E54162" w:rsidP="00902A56">
            <w:pPr>
              <w:snapToGrid w:val="0"/>
              <w:spacing w:before="40" w:line="210" w:lineRule="atLeast"/>
              <w:rPr>
                <w:b/>
                <w:bCs/>
                <w:sz w:val="17"/>
                <w:szCs w:val="17"/>
                <w:lang w:val="fr-FR"/>
              </w:rPr>
            </w:pPr>
            <w:r w:rsidRPr="000C7324">
              <w:rPr>
                <w:b/>
                <w:bCs/>
                <w:sz w:val="17"/>
                <w:szCs w:val="17"/>
                <w:lang w:val="fr-FR"/>
              </w:rPr>
              <w:t>Première et</w:t>
            </w:r>
            <w:r w:rsidR="005914AB" w:rsidRPr="000C7324">
              <w:rPr>
                <w:b/>
                <w:bCs/>
                <w:sz w:val="17"/>
                <w:szCs w:val="17"/>
                <w:lang w:val="fr-FR"/>
              </w:rPr>
              <w:t xml:space="preserve"> second</w:t>
            </w:r>
            <w:r w:rsidRPr="000C7324">
              <w:rPr>
                <w:b/>
                <w:bCs/>
                <w:sz w:val="17"/>
                <w:szCs w:val="17"/>
                <w:lang w:val="fr-FR"/>
              </w:rPr>
              <w:t>e</w:t>
            </w:r>
            <w:r w:rsidR="005914AB" w:rsidRPr="000C7324">
              <w:rPr>
                <w:b/>
                <w:bCs/>
                <w:sz w:val="17"/>
                <w:szCs w:val="17"/>
                <w:lang w:val="fr-FR"/>
              </w:rPr>
              <w:t xml:space="preserve"> phase </w:t>
            </w:r>
          </w:p>
          <w:p w14:paraId="0F3F3C6E" w14:textId="53535685" w:rsidR="005914AB" w:rsidRPr="000C7324" w:rsidRDefault="005914AB" w:rsidP="00902A56">
            <w:pPr>
              <w:snapToGrid w:val="0"/>
              <w:spacing w:before="40" w:after="80" w:line="210" w:lineRule="atLeast"/>
              <w:rPr>
                <w:b/>
                <w:bCs/>
                <w:sz w:val="17"/>
                <w:szCs w:val="17"/>
                <w:lang w:val="fr-FR"/>
              </w:rPr>
            </w:pPr>
            <w:r w:rsidRPr="000C7324">
              <w:rPr>
                <w:b/>
                <w:bCs/>
                <w:sz w:val="17"/>
                <w:szCs w:val="17"/>
                <w:lang w:val="fr-FR"/>
              </w:rPr>
              <w:t>(34</w:t>
            </w:r>
            <w:r w:rsidR="00E54162" w:rsidRPr="000C7324">
              <w:rPr>
                <w:b/>
                <w:bCs/>
                <w:sz w:val="17"/>
                <w:szCs w:val="17"/>
                <w:lang w:val="fr-FR"/>
              </w:rPr>
              <w:t>ième</w:t>
            </w:r>
            <w:r w:rsidRPr="000C7324">
              <w:rPr>
                <w:b/>
                <w:bCs/>
                <w:sz w:val="17"/>
                <w:szCs w:val="17"/>
                <w:lang w:val="fr-FR"/>
              </w:rPr>
              <w:t xml:space="preserve"> </w:t>
            </w:r>
            <w:r w:rsidR="00E54162" w:rsidRPr="000C7324">
              <w:rPr>
                <w:b/>
                <w:bCs/>
                <w:sz w:val="17"/>
                <w:szCs w:val="17"/>
                <w:lang w:val="fr-FR"/>
              </w:rPr>
              <w:t>à</w:t>
            </w:r>
            <w:r w:rsidRPr="000C7324">
              <w:rPr>
                <w:b/>
                <w:bCs/>
                <w:sz w:val="17"/>
                <w:szCs w:val="17"/>
                <w:lang w:val="fr-FR"/>
              </w:rPr>
              <w:t xml:space="preserve"> 37</w:t>
            </w:r>
            <w:r w:rsidR="00E54162" w:rsidRPr="000C7324">
              <w:rPr>
                <w:b/>
                <w:bCs/>
                <w:sz w:val="17"/>
                <w:szCs w:val="17"/>
                <w:lang w:val="fr-FR"/>
              </w:rPr>
              <w:t>ième</w:t>
            </w:r>
            <w:r w:rsidRPr="000C7324">
              <w:rPr>
                <w:b/>
                <w:bCs/>
                <w:sz w:val="17"/>
                <w:szCs w:val="17"/>
                <w:lang w:val="fr-FR"/>
              </w:rPr>
              <w:t xml:space="preserve"> sessions)</w:t>
            </w:r>
          </w:p>
        </w:tc>
        <w:tc>
          <w:tcPr>
            <w:tcW w:w="1159" w:type="dxa"/>
          </w:tcPr>
          <w:p w14:paraId="07FE00FC" w14:textId="1A1E0D60" w:rsidR="005914AB" w:rsidRPr="000C7324" w:rsidRDefault="005914AB" w:rsidP="00902A56">
            <w:pPr>
              <w:snapToGrid w:val="0"/>
              <w:spacing w:before="40" w:line="210" w:lineRule="atLeast"/>
              <w:rPr>
                <w:sz w:val="17"/>
                <w:szCs w:val="17"/>
              </w:rPr>
            </w:pPr>
            <w:r w:rsidRPr="000C7324">
              <w:rPr>
                <w:sz w:val="17"/>
                <w:szCs w:val="17"/>
              </w:rPr>
              <w:t xml:space="preserve">4 </w:t>
            </w:r>
            <w:proofErr w:type="spellStart"/>
            <w:r w:rsidR="00E54162" w:rsidRPr="000C7324">
              <w:rPr>
                <w:sz w:val="17"/>
                <w:szCs w:val="17"/>
              </w:rPr>
              <w:t>semaines</w:t>
            </w:r>
            <w:proofErr w:type="spellEnd"/>
          </w:p>
        </w:tc>
        <w:tc>
          <w:tcPr>
            <w:tcW w:w="2162" w:type="dxa"/>
          </w:tcPr>
          <w:p w14:paraId="36787FCA" w14:textId="72B01D07" w:rsidR="005914AB" w:rsidRPr="000C7324" w:rsidRDefault="005914AB" w:rsidP="00902A56">
            <w:pPr>
              <w:snapToGrid w:val="0"/>
              <w:spacing w:before="40" w:line="210" w:lineRule="atLeast"/>
              <w:rPr>
                <w:sz w:val="17"/>
                <w:szCs w:val="17"/>
                <w:lang w:val="fr-FR"/>
              </w:rPr>
            </w:pPr>
            <w:r w:rsidRPr="000C7324">
              <w:rPr>
                <w:sz w:val="17"/>
                <w:szCs w:val="17"/>
                <w:lang w:val="fr-FR"/>
              </w:rPr>
              <w:t xml:space="preserve">8 </w:t>
            </w:r>
            <w:r w:rsidR="00E54162" w:rsidRPr="000C7324">
              <w:rPr>
                <w:sz w:val="17"/>
                <w:szCs w:val="17"/>
                <w:lang w:val="fr-FR"/>
              </w:rPr>
              <w:t>documents de travail, en moyenne</w:t>
            </w:r>
            <w:r w:rsidRPr="000C7324">
              <w:rPr>
                <w:sz w:val="17"/>
                <w:szCs w:val="17"/>
                <w:lang w:val="fr-FR"/>
              </w:rPr>
              <w:t xml:space="preserve"> 15.6 pages</w:t>
            </w:r>
          </w:p>
        </w:tc>
        <w:tc>
          <w:tcPr>
            <w:tcW w:w="1899" w:type="dxa"/>
          </w:tcPr>
          <w:p w14:paraId="47CB43B8" w14:textId="2F0B7013" w:rsidR="005914AB" w:rsidRPr="000C7324" w:rsidRDefault="005914AB" w:rsidP="00902A56">
            <w:pPr>
              <w:snapToGrid w:val="0"/>
              <w:spacing w:before="40" w:line="210" w:lineRule="atLeast"/>
              <w:rPr>
                <w:sz w:val="17"/>
                <w:szCs w:val="17"/>
              </w:rPr>
            </w:pPr>
            <w:r w:rsidRPr="000C7324">
              <w:rPr>
                <w:sz w:val="17"/>
                <w:szCs w:val="17"/>
              </w:rPr>
              <w:t xml:space="preserve">13 </w:t>
            </w:r>
            <w:proofErr w:type="spellStart"/>
            <w:r w:rsidRPr="000C7324">
              <w:rPr>
                <w:sz w:val="17"/>
                <w:szCs w:val="17"/>
              </w:rPr>
              <w:t>s</w:t>
            </w:r>
            <w:r w:rsidR="00E54162" w:rsidRPr="000C7324">
              <w:rPr>
                <w:sz w:val="17"/>
                <w:szCs w:val="17"/>
              </w:rPr>
              <w:t>ou</w:t>
            </w:r>
            <w:r w:rsidRPr="000C7324">
              <w:rPr>
                <w:sz w:val="17"/>
                <w:szCs w:val="17"/>
              </w:rPr>
              <w:t>missions</w:t>
            </w:r>
            <w:proofErr w:type="spellEnd"/>
            <w:r w:rsidR="00670877" w:rsidRPr="000C7324">
              <w:rPr>
                <w:sz w:val="17"/>
                <w:szCs w:val="17"/>
              </w:rPr>
              <w:t>,</w:t>
            </w:r>
            <w:r w:rsidR="00E54162" w:rsidRPr="000C7324">
              <w:rPr>
                <w:sz w:val="17"/>
                <w:szCs w:val="17"/>
                <w:lang w:val="fr-FR"/>
              </w:rPr>
              <w:t xml:space="preserve"> en moyenne </w:t>
            </w:r>
            <w:r w:rsidRPr="000C7324">
              <w:rPr>
                <w:sz w:val="17"/>
                <w:szCs w:val="17"/>
              </w:rPr>
              <w:t>8.1 pages</w:t>
            </w:r>
          </w:p>
        </w:tc>
      </w:tr>
      <w:tr w:rsidR="005914AB" w:rsidRPr="000C7324" w14:paraId="11C5B58C" w14:textId="77777777" w:rsidTr="000C2D5C">
        <w:tc>
          <w:tcPr>
            <w:tcW w:w="2155" w:type="dxa"/>
            <w:shd w:val="pct10" w:color="auto" w:fill="auto"/>
          </w:tcPr>
          <w:p w14:paraId="6756E670" w14:textId="7A57407C" w:rsidR="005914AB" w:rsidRPr="000C7324" w:rsidRDefault="005914AB" w:rsidP="00902A56">
            <w:pPr>
              <w:snapToGrid w:val="0"/>
              <w:spacing w:before="40" w:line="210" w:lineRule="atLeast"/>
              <w:rPr>
                <w:b/>
                <w:bCs/>
                <w:sz w:val="17"/>
                <w:szCs w:val="17"/>
                <w:lang w:val="fr-FR"/>
              </w:rPr>
            </w:pPr>
            <w:r w:rsidRPr="000C7324">
              <w:rPr>
                <w:b/>
                <w:bCs/>
                <w:sz w:val="17"/>
                <w:szCs w:val="17"/>
                <w:lang w:val="fr-FR"/>
              </w:rPr>
              <w:t>T</w:t>
            </w:r>
            <w:r w:rsidR="00E54162" w:rsidRPr="000C7324">
              <w:rPr>
                <w:b/>
                <w:bCs/>
                <w:sz w:val="17"/>
                <w:szCs w:val="17"/>
                <w:lang w:val="fr-FR"/>
              </w:rPr>
              <w:t>roisième</w:t>
            </w:r>
            <w:r w:rsidRPr="000C7324">
              <w:rPr>
                <w:b/>
                <w:bCs/>
                <w:sz w:val="17"/>
                <w:szCs w:val="17"/>
                <w:lang w:val="fr-FR"/>
              </w:rPr>
              <w:t xml:space="preserve"> phase</w:t>
            </w:r>
          </w:p>
          <w:p w14:paraId="0BD352C6" w14:textId="05869C1F" w:rsidR="005914AB" w:rsidRPr="000C7324" w:rsidRDefault="005914AB" w:rsidP="00902A56">
            <w:pPr>
              <w:snapToGrid w:val="0"/>
              <w:spacing w:before="40" w:after="80" w:line="210" w:lineRule="atLeast"/>
              <w:rPr>
                <w:b/>
                <w:bCs/>
                <w:sz w:val="17"/>
                <w:szCs w:val="17"/>
                <w:lang w:val="fr-FR"/>
              </w:rPr>
            </w:pPr>
            <w:r w:rsidRPr="000C7324">
              <w:rPr>
                <w:b/>
                <w:bCs/>
                <w:sz w:val="17"/>
                <w:szCs w:val="17"/>
                <w:lang w:val="fr-FR"/>
              </w:rPr>
              <w:t>(38</w:t>
            </w:r>
            <w:r w:rsidR="00E54162" w:rsidRPr="000C7324">
              <w:rPr>
                <w:b/>
                <w:bCs/>
                <w:sz w:val="17"/>
                <w:szCs w:val="17"/>
                <w:lang w:val="fr-FR"/>
              </w:rPr>
              <w:t>ième</w:t>
            </w:r>
            <w:r w:rsidRPr="000C7324">
              <w:rPr>
                <w:b/>
                <w:bCs/>
                <w:sz w:val="17"/>
                <w:szCs w:val="17"/>
                <w:lang w:val="fr-FR"/>
              </w:rPr>
              <w:t xml:space="preserve">, </w:t>
            </w:r>
            <w:r w:rsidR="00E54162" w:rsidRPr="000C7324">
              <w:rPr>
                <w:b/>
                <w:bCs/>
                <w:sz w:val="17"/>
                <w:szCs w:val="17"/>
                <w:lang w:val="fr-FR"/>
              </w:rPr>
              <w:t>se reprise et</w:t>
            </w:r>
            <w:r w:rsidRPr="000C7324">
              <w:rPr>
                <w:b/>
                <w:bCs/>
                <w:sz w:val="17"/>
                <w:szCs w:val="17"/>
                <w:lang w:val="fr-FR"/>
              </w:rPr>
              <w:t xml:space="preserve"> 39</w:t>
            </w:r>
            <w:r w:rsidR="00E54162" w:rsidRPr="000C7324">
              <w:rPr>
                <w:b/>
                <w:bCs/>
                <w:sz w:val="17"/>
                <w:szCs w:val="17"/>
                <w:lang w:val="fr-FR"/>
              </w:rPr>
              <w:t>ième</w:t>
            </w:r>
            <w:r w:rsidRPr="000C7324">
              <w:rPr>
                <w:b/>
                <w:bCs/>
                <w:sz w:val="17"/>
                <w:szCs w:val="17"/>
                <w:lang w:val="fr-FR"/>
              </w:rPr>
              <w:t xml:space="preserve"> sessions)</w:t>
            </w:r>
          </w:p>
        </w:tc>
        <w:tc>
          <w:tcPr>
            <w:tcW w:w="1159" w:type="dxa"/>
          </w:tcPr>
          <w:p w14:paraId="451B219D" w14:textId="19309E12" w:rsidR="005914AB" w:rsidRPr="000C7324" w:rsidRDefault="005914AB" w:rsidP="00902A56">
            <w:pPr>
              <w:snapToGrid w:val="0"/>
              <w:spacing w:before="40" w:line="210" w:lineRule="atLeast"/>
              <w:rPr>
                <w:sz w:val="17"/>
                <w:szCs w:val="17"/>
              </w:rPr>
            </w:pPr>
            <w:r w:rsidRPr="000C7324">
              <w:rPr>
                <w:sz w:val="17"/>
                <w:szCs w:val="17"/>
              </w:rPr>
              <w:t>3</w:t>
            </w:r>
            <w:r w:rsidR="00E54162" w:rsidRPr="000C7324">
              <w:rPr>
                <w:sz w:val="17"/>
                <w:szCs w:val="17"/>
              </w:rPr>
              <w:t xml:space="preserve"> </w:t>
            </w:r>
            <w:proofErr w:type="spellStart"/>
            <w:r w:rsidR="00E54162" w:rsidRPr="000C7324">
              <w:rPr>
                <w:sz w:val="17"/>
                <w:szCs w:val="17"/>
              </w:rPr>
              <w:t>semaines</w:t>
            </w:r>
            <w:proofErr w:type="spellEnd"/>
          </w:p>
        </w:tc>
        <w:tc>
          <w:tcPr>
            <w:tcW w:w="2162" w:type="dxa"/>
          </w:tcPr>
          <w:p w14:paraId="3CE559E7" w14:textId="11C9E837" w:rsidR="005914AB" w:rsidRPr="000C7324" w:rsidRDefault="005914AB" w:rsidP="00902A56">
            <w:pPr>
              <w:snapToGrid w:val="0"/>
              <w:spacing w:before="40" w:line="210" w:lineRule="atLeast"/>
              <w:rPr>
                <w:sz w:val="17"/>
                <w:szCs w:val="17"/>
                <w:lang w:val="fr-FR"/>
              </w:rPr>
            </w:pPr>
            <w:r w:rsidRPr="000C7324">
              <w:rPr>
                <w:sz w:val="17"/>
                <w:szCs w:val="17"/>
                <w:lang w:val="fr-FR"/>
              </w:rPr>
              <w:t xml:space="preserve">13 </w:t>
            </w:r>
            <w:r w:rsidR="00E54162" w:rsidRPr="000C7324">
              <w:rPr>
                <w:sz w:val="17"/>
                <w:szCs w:val="17"/>
                <w:lang w:val="fr-FR"/>
              </w:rPr>
              <w:t xml:space="preserve">documents de travail, en moyenne </w:t>
            </w:r>
            <w:r w:rsidRPr="000C7324">
              <w:rPr>
                <w:sz w:val="17"/>
                <w:szCs w:val="17"/>
                <w:lang w:val="fr-FR"/>
              </w:rPr>
              <w:t>11.9 pages</w:t>
            </w:r>
          </w:p>
        </w:tc>
        <w:tc>
          <w:tcPr>
            <w:tcW w:w="1899" w:type="dxa"/>
          </w:tcPr>
          <w:p w14:paraId="45B6D2E7" w14:textId="6BA12FAA" w:rsidR="005914AB" w:rsidRPr="000C7324" w:rsidRDefault="005914AB" w:rsidP="00902A56">
            <w:pPr>
              <w:snapToGrid w:val="0"/>
              <w:spacing w:before="40" w:line="210" w:lineRule="atLeast"/>
              <w:rPr>
                <w:sz w:val="17"/>
                <w:szCs w:val="17"/>
              </w:rPr>
            </w:pPr>
            <w:r w:rsidRPr="000C7324">
              <w:rPr>
                <w:sz w:val="17"/>
                <w:szCs w:val="17"/>
              </w:rPr>
              <w:t xml:space="preserve">18 </w:t>
            </w:r>
            <w:proofErr w:type="spellStart"/>
            <w:r w:rsidR="00E54162" w:rsidRPr="000C7324">
              <w:rPr>
                <w:sz w:val="17"/>
                <w:szCs w:val="17"/>
              </w:rPr>
              <w:t>soumissions</w:t>
            </w:r>
            <w:proofErr w:type="spellEnd"/>
            <w:r w:rsidR="00670877" w:rsidRPr="000C7324">
              <w:rPr>
                <w:sz w:val="17"/>
                <w:szCs w:val="17"/>
              </w:rPr>
              <w:t>,</w:t>
            </w:r>
            <w:r w:rsidR="00E54162" w:rsidRPr="000C7324">
              <w:rPr>
                <w:sz w:val="17"/>
                <w:szCs w:val="17"/>
              </w:rPr>
              <w:t xml:space="preserve"> </w:t>
            </w:r>
            <w:r w:rsidR="00E54162" w:rsidRPr="000C7324">
              <w:rPr>
                <w:sz w:val="17"/>
                <w:szCs w:val="17"/>
                <w:lang w:val="fr-FR"/>
              </w:rPr>
              <w:t>en moyenne</w:t>
            </w:r>
            <w:r w:rsidR="00CC19BA" w:rsidRPr="000C7324">
              <w:rPr>
                <w:sz w:val="17"/>
                <w:szCs w:val="17"/>
                <w:lang w:val="fr-FR"/>
              </w:rPr>
              <w:t xml:space="preserve"> </w:t>
            </w:r>
            <w:r w:rsidRPr="000C7324">
              <w:rPr>
                <w:sz w:val="17"/>
                <w:szCs w:val="17"/>
              </w:rPr>
              <w:t>7.7 pages</w:t>
            </w:r>
          </w:p>
        </w:tc>
      </w:tr>
      <w:tr w:rsidR="005914AB" w:rsidRPr="000C7324" w14:paraId="667D13BA" w14:textId="77777777" w:rsidTr="005D3F17">
        <w:trPr>
          <w:trHeight w:val="561"/>
        </w:trPr>
        <w:tc>
          <w:tcPr>
            <w:tcW w:w="2155" w:type="dxa"/>
            <w:shd w:val="pct10" w:color="auto" w:fill="auto"/>
          </w:tcPr>
          <w:p w14:paraId="68D2763A" w14:textId="77777777" w:rsidR="005914AB" w:rsidRPr="000C7324" w:rsidRDefault="005914AB" w:rsidP="00902A56">
            <w:pPr>
              <w:snapToGrid w:val="0"/>
              <w:spacing w:before="40" w:line="210" w:lineRule="atLeast"/>
              <w:rPr>
                <w:b/>
                <w:bCs/>
                <w:sz w:val="17"/>
                <w:szCs w:val="17"/>
              </w:rPr>
            </w:pPr>
            <w:r w:rsidRPr="000C7324">
              <w:rPr>
                <w:b/>
                <w:bCs/>
                <w:sz w:val="17"/>
                <w:szCs w:val="17"/>
              </w:rPr>
              <w:t>Total</w:t>
            </w:r>
          </w:p>
        </w:tc>
        <w:tc>
          <w:tcPr>
            <w:tcW w:w="1159" w:type="dxa"/>
          </w:tcPr>
          <w:p w14:paraId="6D0E7C03" w14:textId="52152AE9" w:rsidR="005914AB" w:rsidRPr="000C7324" w:rsidRDefault="005914AB" w:rsidP="00902A56">
            <w:pPr>
              <w:snapToGrid w:val="0"/>
              <w:spacing w:before="40" w:line="210" w:lineRule="atLeast"/>
              <w:rPr>
                <w:sz w:val="17"/>
                <w:szCs w:val="17"/>
              </w:rPr>
            </w:pPr>
            <w:r w:rsidRPr="000C7324">
              <w:rPr>
                <w:sz w:val="17"/>
                <w:szCs w:val="17"/>
              </w:rPr>
              <w:t xml:space="preserve">7 </w:t>
            </w:r>
            <w:proofErr w:type="spellStart"/>
            <w:r w:rsidR="00E54162" w:rsidRPr="000C7324">
              <w:rPr>
                <w:sz w:val="17"/>
                <w:szCs w:val="17"/>
              </w:rPr>
              <w:t>semaines</w:t>
            </w:r>
            <w:proofErr w:type="spellEnd"/>
          </w:p>
        </w:tc>
        <w:tc>
          <w:tcPr>
            <w:tcW w:w="2162" w:type="dxa"/>
          </w:tcPr>
          <w:p w14:paraId="5FB88356" w14:textId="09DE2F1F" w:rsidR="005914AB" w:rsidRPr="000C7324" w:rsidRDefault="005914AB" w:rsidP="00902A56">
            <w:pPr>
              <w:snapToGrid w:val="0"/>
              <w:spacing w:before="40" w:line="210" w:lineRule="atLeast"/>
              <w:rPr>
                <w:sz w:val="17"/>
                <w:szCs w:val="17"/>
                <w:lang w:val="fr-FR"/>
              </w:rPr>
            </w:pPr>
            <w:r w:rsidRPr="000C7324">
              <w:rPr>
                <w:sz w:val="17"/>
                <w:szCs w:val="17"/>
                <w:lang w:val="fr-FR"/>
              </w:rPr>
              <w:t xml:space="preserve">21 </w:t>
            </w:r>
            <w:r w:rsidR="00E54162" w:rsidRPr="000C7324">
              <w:rPr>
                <w:sz w:val="17"/>
                <w:szCs w:val="17"/>
                <w:lang w:val="fr-FR"/>
              </w:rPr>
              <w:t xml:space="preserve">documents de travail, en moyenne </w:t>
            </w:r>
            <w:r w:rsidRPr="000C7324">
              <w:rPr>
                <w:sz w:val="17"/>
                <w:szCs w:val="17"/>
                <w:lang w:val="fr-FR"/>
              </w:rPr>
              <w:t>13.3 pages</w:t>
            </w:r>
          </w:p>
        </w:tc>
        <w:tc>
          <w:tcPr>
            <w:tcW w:w="1899" w:type="dxa"/>
          </w:tcPr>
          <w:p w14:paraId="44936B02" w14:textId="3CEA5327" w:rsidR="005914AB" w:rsidRPr="000C7324" w:rsidRDefault="005914AB" w:rsidP="00902A56">
            <w:pPr>
              <w:snapToGrid w:val="0"/>
              <w:spacing w:before="40" w:line="210" w:lineRule="atLeast"/>
              <w:rPr>
                <w:sz w:val="17"/>
                <w:szCs w:val="17"/>
              </w:rPr>
            </w:pPr>
            <w:r w:rsidRPr="000C7324">
              <w:rPr>
                <w:sz w:val="17"/>
                <w:szCs w:val="17"/>
              </w:rPr>
              <w:t xml:space="preserve">31 </w:t>
            </w:r>
            <w:proofErr w:type="spellStart"/>
            <w:r w:rsidR="00E54162" w:rsidRPr="000C7324">
              <w:rPr>
                <w:sz w:val="17"/>
                <w:szCs w:val="17"/>
              </w:rPr>
              <w:t>soumissions</w:t>
            </w:r>
            <w:proofErr w:type="spellEnd"/>
            <w:r w:rsidR="00670877" w:rsidRPr="000C7324">
              <w:rPr>
                <w:sz w:val="17"/>
                <w:szCs w:val="17"/>
              </w:rPr>
              <w:t>,</w:t>
            </w:r>
            <w:r w:rsidR="00CC19BA" w:rsidRPr="000C7324">
              <w:rPr>
                <w:sz w:val="17"/>
                <w:szCs w:val="17"/>
              </w:rPr>
              <w:t xml:space="preserve"> </w:t>
            </w:r>
            <w:r w:rsidR="00E54162" w:rsidRPr="000C7324">
              <w:rPr>
                <w:sz w:val="17"/>
                <w:szCs w:val="17"/>
                <w:lang w:val="fr-FR"/>
              </w:rPr>
              <w:t xml:space="preserve">en moyenne </w:t>
            </w:r>
            <w:r w:rsidRPr="000C7324">
              <w:rPr>
                <w:sz w:val="17"/>
                <w:szCs w:val="17"/>
              </w:rPr>
              <w:t>7.9 pages</w:t>
            </w:r>
          </w:p>
        </w:tc>
      </w:tr>
    </w:tbl>
    <w:p w14:paraId="676AA4E7" w14:textId="77777777" w:rsidR="005914AB" w:rsidRPr="000C7324" w:rsidRDefault="005914AB" w:rsidP="00902A56">
      <w:pPr>
        <w:pStyle w:val="SingleTxt"/>
        <w:spacing w:after="0" w:line="120" w:lineRule="atLeast"/>
        <w:ind w:left="1267" w:right="1267"/>
        <w:rPr>
          <w:sz w:val="10"/>
        </w:rPr>
      </w:pPr>
    </w:p>
    <w:p w14:paraId="01452610" w14:textId="77777777" w:rsidR="005914AB" w:rsidRPr="000C7324" w:rsidRDefault="005914AB" w:rsidP="00902A56">
      <w:pPr>
        <w:pStyle w:val="SingleTxt"/>
        <w:spacing w:after="0" w:line="120" w:lineRule="atLeast"/>
        <w:ind w:left="1267" w:right="1267"/>
        <w:rPr>
          <w:sz w:val="10"/>
        </w:rPr>
      </w:pPr>
    </w:p>
    <w:p w14:paraId="51B7BD7E" w14:textId="77777777" w:rsidR="00E54162" w:rsidRPr="000C7324" w:rsidRDefault="00E54162" w:rsidP="00902A56">
      <w:pPr>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z w:val="10"/>
          <w:lang w:val="fr-FR"/>
        </w:rPr>
      </w:pPr>
      <w:r w:rsidRPr="000C7324">
        <w:rPr>
          <w:lang w:val="fr-FR"/>
        </w:rPr>
        <w:t>Par rapport aux autres groupes de travail de la Commission, une équipe du Secrétariat légèrement plus nombreuse fournit des services au Groupe de travail III et à ses activités intersessions depuis 2017. L'équipe actuelle comprend un secrétaire du Groupe de travail, deux fonctionnaires permanents et un administrateur junior</w:t>
      </w:r>
      <w:r w:rsidRPr="000C7324">
        <w:rPr>
          <w:rStyle w:val="FootnoteReference"/>
        </w:rPr>
        <w:footnoteReference w:id="11"/>
      </w:r>
      <w:r w:rsidRPr="000C7324">
        <w:rPr>
          <w:lang w:val="fr-FR"/>
        </w:rPr>
        <w:t xml:space="preserve"> et un membre du personnel administratif.</w:t>
      </w:r>
    </w:p>
    <w:p w14:paraId="54D1D5C1" w14:textId="74E83187" w:rsidR="005914AB" w:rsidRPr="000C7324" w:rsidRDefault="00CC19BA" w:rsidP="00E541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z w:val="10"/>
          <w:lang w:val="fr-FR"/>
        </w:rPr>
      </w:pPr>
      <w:r w:rsidRPr="000C7324">
        <w:rPr>
          <w:lang w:val="fr-FR"/>
        </w:rPr>
        <w:t xml:space="preserve"> </w:t>
      </w:r>
    </w:p>
    <w:p w14:paraId="63E5F63C" w14:textId="5202D922" w:rsidR="005914AB" w:rsidRPr="000C7324" w:rsidRDefault="00BE2B0E" w:rsidP="00902A56">
      <w:pPr>
        <w:pStyle w:val="SingleTxt"/>
        <w:ind w:right="1267"/>
        <w:rPr>
          <w:b/>
          <w:bCs/>
        </w:rPr>
      </w:pPr>
      <w:r w:rsidRPr="000C7324">
        <w:rPr>
          <w:b/>
          <w:bCs/>
        </w:rPr>
        <w:lastRenderedPageBreak/>
        <w:t xml:space="preserve">2. </w:t>
      </w:r>
      <w:proofErr w:type="spellStart"/>
      <w:r w:rsidR="000D0624" w:rsidRPr="000C7324">
        <w:rPr>
          <w:b/>
          <w:bCs/>
        </w:rPr>
        <w:t>Ressources</w:t>
      </w:r>
      <w:proofErr w:type="spellEnd"/>
      <w:r w:rsidR="000D0624" w:rsidRPr="000C7324">
        <w:rPr>
          <w:b/>
          <w:bCs/>
        </w:rPr>
        <w:t xml:space="preserve"> </w:t>
      </w:r>
      <w:proofErr w:type="spellStart"/>
      <w:r w:rsidR="000D0624" w:rsidRPr="000C7324">
        <w:rPr>
          <w:b/>
          <w:bCs/>
        </w:rPr>
        <w:t>supplémentaires</w:t>
      </w:r>
      <w:proofErr w:type="spellEnd"/>
      <w:r w:rsidR="000D0624" w:rsidRPr="000C7324">
        <w:rPr>
          <w:b/>
          <w:bCs/>
        </w:rPr>
        <w:t xml:space="preserve"> </w:t>
      </w:r>
      <w:proofErr w:type="spellStart"/>
      <w:r w:rsidR="000D0624" w:rsidRPr="000C7324">
        <w:rPr>
          <w:b/>
          <w:bCs/>
        </w:rPr>
        <w:t>nécessaires</w:t>
      </w:r>
      <w:proofErr w:type="spellEnd"/>
    </w:p>
    <w:p w14:paraId="6B68C5D9" w14:textId="27C89CEB" w:rsidR="000D0624" w:rsidRPr="000C7324" w:rsidRDefault="000D0624" w:rsidP="000D0624">
      <w:pPr>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pacing w:val="2"/>
          <w:w w:val="101"/>
          <w:lang w:val="fr-FR"/>
        </w:rPr>
      </w:pPr>
      <w:r w:rsidRPr="000C7324">
        <w:rPr>
          <w:spacing w:val="2"/>
          <w:w w:val="101"/>
          <w:lang w:val="fr-FR"/>
        </w:rPr>
        <w:t>Cette section fournit une illustration du temps et des ressources supplémentaires de conférence qui seront nécessaires pour que les travaux se poursuivent sur le projet RDIE conformément au plan de travail.</w:t>
      </w:r>
    </w:p>
    <w:p w14:paraId="2D7AFE83" w14:textId="03A2F336" w:rsidR="000D0624" w:rsidRPr="000C7324" w:rsidRDefault="000D0624" w:rsidP="000D0624">
      <w:pPr>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pacing w:val="2"/>
          <w:w w:val="101"/>
          <w:lang w:val="fr-FR"/>
        </w:rPr>
      </w:pPr>
      <w:r w:rsidRPr="000C7324">
        <w:rPr>
          <w:spacing w:val="2"/>
          <w:w w:val="101"/>
          <w:lang w:val="fr-FR"/>
        </w:rPr>
        <w:t xml:space="preserve">Sur la base du plan de travail, deux semaines supplémentaires de temps de conférence sont nécessaires pour une période de trois ans de 2022 à 2024. Cela permettrait un total de 15 semaines de temps de conférence jusqu'au </w:t>
      </w:r>
      <w:r w:rsidRPr="000C7324">
        <w:rPr>
          <w:lang w:val="fr-FR"/>
        </w:rPr>
        <w:t>premier</w:t>
      </w:r>
      <w:r w:rsidRPr="000C7324">
        <w:rPr>
          <w:spacing w:val="2"/>
          <w:w w:val="101"/>
          <w:lang w:val="fr-FR"/>
        </w:rPr>
        <w:t xml:space="preserve"> semestre 2025 (9 dans la limite des ressources existantes et 6 au moyen de ressources supplémentaires), qui seraient suivies de délibérations par la Commission pour finaliser le projet en 2025 à sa cinquante-huitième session. Étant donné que certaines options de réforme seraient soumises à l’approbation de principe de la Commission avant sa cinquante-huitième session, le temps de conférence existant devrait être alloué à ces sujets de la cinquante-cinquième à la cinquante-septième session de la Commission.</w:t>
      </w:r>
    </w:p>
    <w:p w14:paraId="6F4DD4CE" w14:textId="02115D93" w:rsidR="000D0624" w:rsidRPr="000C7324" w:rsidRDefault="000D0624" w:rsidP="000D0624">
      <w:pPr>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pacing w:val="2"/>
          <w:w w:val="101"/>
          <w:lang w:val="fr-FR"/>
        </w:rPr>
      </w:pPr>
      <w:r w:rsidRPr="000C7324">
        <w:rPr>
          <w:spacing w:val="2"/>
          <w:w w:val="101"/>
          <w:lang w:val="fr-FR"/>
        </w:rPr>
        <w:t>Les réunions de la Commission et de ses groupes de travail se tiennent en utilisant le temps de conférence alloué à la CNUDCI, qui est actuellement de quinze semaines au maximum par an. Par conséquent, le</w:t>
      </w:r>
      <w:r w:rsidR="00E75C28" w:rsidRPr="000C7324">
        <w:rPr>
          <w:spacing w:val="2"/>
          <w:w w:val="101"/>
          <w:lang w:val="fr-FR"/>
        </w:rPr>
        <w:t xml:space="preserve"> G</w:t>
      </w:r>
      <w:r w:rsidRPr="000C7324">
        <w:rPr>
          <w:spacing w:val="2"/>
          <w:w w:val="101"/>
          <w:lang w:val="fr-FR"/>
        </w:rPr>
        <w:t xml:space="preserve">roupe de travail </w:t>
      </w:r>
      <w:r w:rsidRPr="000C7324">
        <w:rPr>
          <w:lang w:val="fr-FR"/>
        </w:rPr>
        <w:t>pourrait</w:t>
      </w:r>
      <w:r w:rsidRPr="000C7324">
        <w:rPr>
          <w:spacing w:val="2"/>
          <w:w w:val="101"/>
          <w:lang w:val="fr-FR"/>
        </w:rPr>
        <w:t>, en principe, demander à la Commission d'allouer tout temps de conférence inutilisé de la Commission</w:t>
      </w:r>
      <w:r w:rsidRPr="000C7324">
        <w:rPr>
          <w:vertAlign w:val="superscript"/>
        </w:rPr>
        <w:footnoteReference w:id="12"/>
      </w:r>
      <w:r w:rsidRPr="000C7324">
        <w:rPr>
          <w:spacing w:val="2"/>
          <w:w w:val="101"/>
          <w:lang w:val="fr-FR"/>
        </w:rPr>
        <w:t xml:space="preserve"> ou d'autres groupes de travail au projet RDIE, ce qui avait été le cas pour la semaine inutilisée de la Commission en 2019</w:t>
      </w:r>
      <w:r w:rsidRPr="000C7324">
        <w:rPr>
          <w:vertAlign w:val="superscript"/>
        </w:rPr>
        <w:footnoteReference w:id="13"/>
      </w:r>
      <w:r w:rsidRPr="000C7324">
        <w:rPr>
          <w:spacing w:val="2"/>
          <w:w w:val="101"/>
          <w:lang w:val="fr-FR"/>
        </w:rPr>
        <w:t xml:space="preserve"> et le cas du projet de préparation des Règles de Rotterdam.</w:t>
      </w:r>
      <w:r w:rsidRPr="000C7324">
        <w:rPr>
          <w:vertAlign w:val="superscript"/>
          <w:lang w:val="fr-FR"/>
        </w:rPr>
        <w:t xml:space="preserve"> </w:t>
      </w:r>
      <w:r w:rsidRPr="000C7324">
        <w:rPr>
          <w:vertAlign w:val="superscript"/>
        </w:rPr>
        <w:footnoteReference w:id="14"/>
      </w:r>
    </w:p>
    <w:p w14:paraId="532401CE" w14:textId="5B0E34F7" w:rsidR="000D0624" w:rsidRPr="000C7324" w:rsidRDefault="000D0624" w:rsidP="000D0624">
      <w:pPr>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pacing w:val="2"/>
          <w:w w:val="101"/>
          <w:lang w:val="fr-FR"/>
        </w:rPr>
      </w:pPr>
      <w:r w:rsidRPr="000C7324">
        <w:rPr>
          <w:spacing w:val="2"/>
          <w:w w:val="101"/>
          <w:lang w:val="fr-FR"/>
        </w:rPr>
        <w:t>Toutefois, cela est susceptible de changer sur une base annuelle, la Commission ayant réaffirmé que la durée de chacune de ses sessions annuelles devait être déterminée au cas par cas en fonction de la charge de travail prévue. Par exemple, la Commission a décidé de tenir une session de trois semaines en 2021. En outre, la détermination de la Commission d'allouer son temps de conférence inutilisé à un groupe de travail au cours de sa session annuelle (généralement tenue en juin ou juillet) pose des problèmes pratiques pour identifier un temps de conférence approprié dans la seconde moitié de l'année et programmer les dates de groupe de travail. Cela entraîne également des difficultés de planification, car le Groupe de travail ne serait pas en mesure de savoir s’il se réunirait pendant une ou deux semaines au cours du second semestre et, dans l’affirmative, quand.</w:t>
      </w:r>
    </w:p>
    <w:p w14:paraId="674F3E1D" w14:textId="48DD8781" w:rsidR="000D0624" w:rsidRPr="000C7324" w:rsidRDefault="000D0624" w:rsidP="000D0624">
      <w:pPr>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pacing w:val="2"/>
          <w:w w:val="101"/>
          <w:lang w:val="fr-FR"/>
        </w:rPr>
      </w:pPr>
      <w:r w:rsidRPr="000C7324">
        <w:rPr>
          <w:spacing w:val="2"/>
          <w:w w:val="101"/>
          <w:lang w:val="fr-FR"/>
        </w:rPr>
        <w:t>Si le Groupe de travail décide de demander un temps de conférence supplémentaire, il souhaitera peut-être envisager de conserver le schéma de sessions d’une semaine ou de tenir des sessions de deux semaines. Le Groupe de travail souhaitera peut-être examiner plus avant si des mesures devraient être mises en place pour permettre la participation à distance des délégations afin de répondre aux préoccupations exprimées au sujet de leurs frais de voyage. De tels changements dans la configuration des réunions ou l'introduction de moyens pour faciliter la participation à distance exigeraient de nouvelles consultations avec le Département de l'Assemblée générale et de la gestion des conférences</w:t>
      </w:r>
      <w:r w:rsidR="00F60016" w:rsidRPr="000C7324">
        <w:rPr>
          <w:spacing w:val="2"/>
          <w:w w:val="101"/>
          <w:lang w:val="fr-FR"/>
        </w:rPr>
        <w:t xml:space="preserve"> (DGACM)</w:t>
      </w:r>
      <w:r w:rsidRPr="000C7324">
        <w:rPr>
          <w:spacing w:val="2"/>
          <w:w w:val="101"/>
          <w:lang w:val="fr-FR"/>
        </w:rPr>
        <w:t>.</w:t>
      </w:r>
    </w:p>
    <w:p w14:paraId="3D216107" w14:textId="35D98C86" w:rsidR="00710AAB" w:rsidRPr="000C7324" w:rsidRDefault="00710AAB" w:rsidP="00710AAB">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7"/>
        <w:jc w:val="both"/>
        <w:rPr>
          <w:b/>
          <w:bCs/>
          <w:spacing w:val="2"/>
          <w:w w:val="101"/>
          <w:lang w:val="fr-FR"/>
        </w:rPr>
      </w:pPr>
      <w:r w:rsidRPr="000C7324">
        <w:rPr>
          <w:spacing w:val="2"/>
          <w:w w:val="101"/>
          <w:lang w:val="fr-FR"/>
        </w:rPr>
        <w:tab/>
      </w:r>
      <w:r w:rsidRPr="000C7324">
        <w:rPr>
          <w:b/>
          <w:bCs/>
          <w:spacing w:val="2"/>
          <w:w w:val="101"/>
          <w:lang w:val="fr-FR"/>
        </w:rPr>
        <w:t>3. Incidences sur la programmation budgétaire</w:t>
      </w:r>
    </w:p>
    <w:p w14:paraId="449424CE" w14:textId="368CBDEA" w:rsidR="00710AAB" w:rsidRPr="000C7324" w:rsidRDefault="00710AAB" w:rsidP="00710AAB">
      <w:pPr>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pacing w:val="2"/>
          <w:w w:val="101"/>
          <w:lang w:val="fr-FR"/>
        </w:rPr>
      </w:pPr>
      <w:r w:rsidRPr="000C7324">
        <w:rPr>
          <w:spacing w:val="2"/>
          <w:w w:val="101"/>
          <w:lang w:val="fr-FR"/>
        </w:rPr>
        <w:t xml:space="preserve">Si le Groupe de travail et éventuellement la Commission décide de recommander à l'Assemblée générale que du temps de conférence supplémentaire soit alloué à la Commission pour faire avancer le </w:t>
      </w:r>
      <w:r w:rsidRPr="000C7324">
        <w:rPr>
          <w:lang w:val="fr-FR"/>
        </w:rPr>
        <w:t>projet</w:t>
      </w:r>
      <w:r w:rsidRPr="000C7324">
        <w:rPr>
          <w:spacing w:val="2"/>
          <w:w w:val="101"/>
          <w:lang w:val="fr-FR"/>
        </w:rPr>
        <w:t xml:space="preserve"> RDIE, cela devra alors être reflété dans le projet de résolution soumis à la Sixième Commission de l’Assemblée générale. Dans ce processus, les incidences budgétaires de la demande sur le budget (principalement la </w:t>
      </w:r>
      <w:r w:rsidRPr="000C7324">
        <w:rPr>
          <w:spacing w:val="2"/>
          <w:w w:val="101"/>
          <w:lang w:val="fr-FR"/>
        </w:rPr>
        <w:lastRenderedPageBreak/>
        <w:t>section 2 - Affaires de l'Assemblée générale et du Conseil économique et social et gestion des conférences et la section 8 - Affaires juridiques) seraient examinées par différents organes, y compris le Comité consultatif des affaires administratives et questions budgétaires (CCQAB) et la Cinquième Commission de l’Assemblée générale.</w:t>
      </w:r>
    </w:p>
    <w:p w14:paraId="4049BB10" w14:textId="2588A9CE" w:rsidR="00710AAB" w:rsidRPr="000C7324" w:rsidRDefault="00710AAB" w:rsidP="00710AAB">
      <w:pPr>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pacing w:val="2"/>
          <w:w w:val="101"/>
          <w:lang w:val="fr-FR"/>
        </w:rPr>
      </w:pPr>
      <w:r w:rsidRPr="000C7324">
        <w:rPr>
          <w:spacing w:val="2"/>
          <w:w w:val="101"/>
          <w:lang w:val="fr-FR"/>
        </w:rPr>
        <w:t>Cette section donne un aperçu des incidences sur le budget afin que le Groupe de travail soit mieux placé pour prendre une décision éclairée. Cependant, il convient de noter que les incidences sur le budget peuvent varier en fonction de la demande réelle de la Commission (y compris le lieu des réunions, leur format et le lieu d'affectation qui fournit les services pertinents). Tous les chiffres de cette section sont sujets à une vérification plus approfondie par la Division de la planification des programmes et du budget (PPBD). Le Groupe de travail souhaitera peut-être en outre noter que les chiffres ci-dessous concernent les réunions officielles du Groupe de travail et ne tiennent pas compte des ressources nécessaires pour la traduction ou l’interprétation au cours des réunions informelles.</w:t>
      </w:r>
    </w:p>
    <w:bookmarkEnd w:id="7"/>
    <w:p w14:paraId="5FCBF718" w14:textId="3FB3828B" w:rsidR="00A3665D" w:rsidRPr="000C7324" w:rsidRDefault="00710AAB" w:rsidP="00710AAB">
      <w:pPr>
        <w:pStyle w:val="H4"/>
        <w:keepLines w:val="0"/>
        <w:ind w:left="1267" w:right="1260" w:firstLine="0"/>
      </w:pPr>
      <w:proofErr w:type="spellStart"/>
      <w:r w:rsidRPr="000C7324">
        <w:t>Ressouces</w:t>
      </w:r>
      <w:proofErr w:type="spellEnd"/>
      <w:r w:rsidRPr="000C7324">
        <w:t xml:space="preserve"> </w:t>
      </w:r>
      <w:proofErr w:type="spellStart"/>
      <w:r w:rsidRPr="000C7324">
        <w:t>concernant</w:t>
      </w:r>
      <w:proofErr w:type="spellEnd"/>
      <w:r w:rsidRPr="000C7324">
        <w:t xml:space="preserve"> les </w:t>
      </w:r>
      <w:proofErr w:type="spellStart"/>
      <w:r w:rsidRPr="000C7324">
        <w:t>conférences</w:t>
      </w:r>
      <w:proofErr w:type="spellEnd"/>
    </w:p>
    <w:p w14:paraId="3E9BB38B" w14:textId="7643A73F" w:rsidR="00A64F68" w:rsidRPr="000C7324" w:rsidRDefault="00A64F68" w:rsidP="00965622">
      <w:pPr>
        <w:pStyle w:val="SingleTxt"/>
        <w:keepNext/>
        <w:spacing w:after="0" w:line="120" w:lineRule="atLeast"/>
        <w:rPr>
          <w:sz w:val="10"/>
        </w:rPr>
      </w:pPr>
    </w:p>
    <w:p w14:paraId="7C5635C6" w14:textId="4FD07065" w:rsidR="000E4D48" w:rsidRPr="000C7324" w:rsidRDefault="00710AAB" w:rsidP="00902A56">
      <w:pPr>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fr-FR"/>
        </w:rPr>
      </w:pPr>
      <w:r w:rsidRPr="000C7324">
        <w:rPr>
          <w:lang w:val="fr-FR"/>
        </w:rPr>
        <w:t xml:space="preserve">Une semaine supplémentaire de temps de conférence comprendrait 10 séances (2 par jour, soit trois heures) soit à New York, soit à Vienne. Outre les dispositions relatives aux locaux et aux services de conférence, ces réunions nécessiteraient une interprétation dans toutes les langues officielles de l’Organisation des Nations Unies et devraient donc figurer dans le budget de la DGACM. Cela entraînerait des besoins supplémentaires en ressources pour les services de réunion d’un montant d’environ 170 000 dollars par semaine supplémentaire. Selon le plan de travail, qui prévoit deux sessions supplémentaires par an, le montant requis pour les ressources concernant les conférences serait de 340 000 dollars par an. </w:t>
      </w:r>
    </w:p>
    <w:p w14:paraId="79C3735F" w14:textId="3C31C8CB" w:rsidR="00A3665D" w:rsidRPr="000C7324" w:rsidRDefault="00461DD5" w:rsidP="00902A56">
      <w:pPr>
        <w:pStyle w:val="H4"/>
        <w:keepNext w:val="0"/>
        <w:keepLines w:val="0"/>
        <w:ind w:left="1267" w:right="1260" w:hanging="1267"/>
      </w:pPr>
      <w:r w:rsidRPr="000C7324">
        <w:rPr>
          <w:lang w:val="fr-FR"/>
        </w:rPr>
        <w:tab/>
      </w:r>
      <w:r w:rsidRPr="000C7324">
        <w:rPr>
          <w:lang w:val="fr-FR"/>
        </w:rPr>
        <w:tab/>
      </w:r>
      <w:proofErr w:type="spellStart"/>
      <w:r w:rsidR="00710AAB" w:rsidRPr="000C7324">
        <w:t>R</w:t>
      </w:r>
      <w:r w:rsidR="00A3665D" w:rsidRPr="000C7324">
        <w:t>es</w:t>
      </w:r>
      <w:r w:rsidR="00710AAB" w:rsidRPr="000C7324">
        <w:t>s</w:t>
      </w:r>
      <w:r w:rsidR="00A3665D" w:rsidRPr="000C7324">
        <w:t>ources</w:t>
      </w:r>
      <w:proofErr w:type="spellEnd"/>
      <w:r w:rsidR="00710AAB" w:rsidRPr="000C7324">
        <w:t xml:space="preserve"> </w:t>
      </w:r>
      <w:proofErr w:type="spellStart"/>
      <w:r w:rsidR="00710AAB" w:rsidRPr="000C7324">
        <w:t>concernant</w:t>
      </w:r>
      <w:proofErr w:type="spellEnd"/>
      <w:r w:rsidR="00710AAB" w:rsidRPr="000C7324">
        <w:t xml:space="preserve"> les documents</w:t>
      </w:r>
    </w:p>
    <w:p w14:paraId="6DC32A51" w14:textId="733B4794" w:rsidR="00461DD5" w:rsidRPr="000C7324" w:rsidRDefault="00461DD5" w:rsidP="00902A56">
      <w:pPr>
        <w:pStyle w:val="SingleTxt"/>
        <w:spacing w:after="0" w:line="120" w:lineRule="atLeast"/>
        <w:rPr>
          <w:sz w:val="10"/>
        </w:rPr>
      </w:pPr>
    </w:p>
    <w:p w14:paraId="2BD598D0" w14:textId="5D7981DF" w:rsidR="00710AAB" w:rsidRPr="000C7324" w:rsidRDefault="00710AAB" w:rsidP="00F60016">
      <w:pPr>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fr-FR"/>
        </w:rPr>
      </w:pPr>
      <w:r w:rsidRPr="000C7324">
        <w:rPr>
          <w:lang w:val="fr-FR"/>
        </w:rPr>
        <w:t>Une semaine supplémentaire de temps de conférence augmenterait la documentation à traiter par la DGACM, principalement la traduction des documents dans les langues officielles de l'Organisation des Nations Unies. Cela devrait être reflété dans le budget de la DGACM. Sur la base des sessions précédentes du Groupe de travail, le Secrétariat établirait en moyenne deux à trois documents de travail et s'attendrait à traiter quatre à cinq soumissions d'États et autres par session d'une semaine. Dans l'ensemble, la charge de travail supplémentaire pour les documents serait de 7 documents d'avant-session (59 500 mots au total),</w:t>
      </w:r>
      <w:r w:rsidRPr="000C7324">
        <w:rPr>
          <w:vertAlign w:val="superscript"/>
          <w:lang w:val="fr-FR"/>
        </w:rPr>
        <w:t xml:space="preserve"> </w:t>
      </w:r>
      <w:r w:rsidRPr="000C7324">
        <w:rPr>
          <w:vertAlign w:val="superscript"/>
        </w:rPr>
        <w:footnoteReference w:id="15"/>
      </w:r>
      <w:r w:rsidR="00CC19BA" w:rsidRPr="000C7324">
        <w:rPr>
          <w:lang w:val="fr-FR"/>
        </w:rPr>
        <w:t xml:space="preserve"> </w:t>
      </w:r>
      <w:r w:rsidRPr="000C7324">
        <w:rPr>
          <w:lang w:val="fr-FR"/>
        </w:rPr>
        <w:t>5 documents de session (10 700 mots au total) et un document d'après-session (10 700 mots au total). Cela entraînerait des ressources supplémentaires nécessaires pour les services de documentation d’un montant de 318 697 dollars.</w:t>
      </w:r>
      <w:r w:rsidRPr="000C7324">
        <w:rPr>
          <w:vertAlign w:val="superscript"/>
          <w:lang w:val="fr-FR"/>
        </w:rPr>
        <w:t xml:space="preserve"> </w:t>
      </w:r>
      <w:r w:rsidRPr="000C7324">
        <w:rPr>
          <w:vertAlign w:val="superscript"/>
        </w:rPr>
        <w:footnoteReference w:id="16"/>
      </w:r>
      <w:r w:rsidR="00CC19BA" w:rsidRPr="000C7324">
        <w:rPr>
          <w:lang w:val="fr-FR"/>
        </w:rPr>
        <w:t xml:space="preserve"> </w:t>
      </w:r>
      <w:r w:rsidRPr="000C7324">
        <w:rPr>
          <w:lang w:val="fr-FR"/>
        </w:rPr>
        <w:t xml:space="preserve">D'après le plan de travail, qui propose deux sessions supplémentaires d'une semaine par an, le montant requis pour les ressources </w:t>
      </w:r>
      <w:r w:rsidR="00F60016" w:rsidRPr="000C7324">
        <w:rPr>
          <w:lang w:val="fr-FR"/>
        </w:rPr>
        <w:t>concernant les documents</w:t>
      </w:r>
      <w:r w:rsidRPr="000C7324">
        <w:rPr>
          <w:lang w:val="fr-FR"/>
        </w:rPr>
        <w:t xml:space="preserve"> serait de 637 394 dollars par an.</w:t>
      </w:r>
    </w:p>
    <w:p w14:paraId="1C323022" w14:textId="326CA58D" w:rsidR="00710AAB" w:rsidRPr="000C7324" w:rsidRDefault="00710AAB" w:rsidP="00F60016">
      <w:pPr>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fr-FR"/>
        </w:rPr>
      </w:pPr>
      <w:r w:rsidRPr="000C7324">
        <w:rPr>
          <w:lang w:val="fr-FR"/>
        </w:rPr>
        <w:t>Si le Groupe de travail décidait que les semaines supplémentaires seraient organisées en prolongement des sessions prévues, les ressources supplémentaires nécessaires pour les services de documentation pourraient être ramenées à 243 000 dollars par session, soit 486 000 dollars par an.</w:t>
      </w:r>
      <w:r w:rsidRPr="000C7324">
        <w:rPr>
          <w:vertAlign w:val="superscript"/>
          <w:lang w:val="fr-FR"/>
        </w:rPr>
        <w:t xml:space="preserve"> </w:t>
      </w:r>
      <w:r w:rsidRPr="000C7324">
        <w:rPr>
          <w:vertAlign w:val="superscript"/>
        </w:rPr>
        <w:footnoteReference w:id="17"/>
      </w:r>
    </w:p>
    <w:p w14:paraId="4EDB5D10" w14:textId="7D1507CD" w:rsidR="000E4D48" w:rsidRPr="000C7324" w:rsidRDefault="000E4D48" w:rsidP="00F600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fr-FR"/>
        </w:rPr>
      </w:pPr>
    </w:p>
    <w:p w14:paraId="4943BD78" w14:textId="46C87897" w:rsidR="00461DD5" w:rsidRPr="000C7324" w:rsidRDefault="00461DD5" w:rsidP="00902A56">
      <w:pPr>
        <w:pStyle w:val="SingleTxt"/>
        <w:spacing w:after="0" w:line="120" w:lineRule="atLeast"/>
        <w:ind w:left="1267" w:right="1267"/>
        <w:rPr>
          <w:sz w:val="10"/>
          <w:lang w:val="fr-FR"/>
        </w:rPr>
      </w:pPr>
    </w:p>
    <w:p w14:paraId="329C11DE" w14:textId="01B243D8" w:rsidR="00A3665D" w:rsidRPr="000C7324" w:rsidRDefault="00710AAB" w:rsidP="00710AAB">
      <w:pPr>
        <w:pStyle w:val="H4"/>
        <w:keepNext w:val="0"/>
        <w:keepLines w:val="0"/>
        <w:ind w:left="1267" w:right="1260" w:firstLine="0"/>
        <w:rPr>
          <w:lang w:val="fr-FR"/>
        </w:rPr>
      </w:pPr>
      <w:r w:rsidRPr="000C7324">
        <w:rPr>
          <w:lang w:val="fr-FR"/>
        </w:rPr>
        <w:t>Ressources concernant le Secrétariat de la CNUDCI</w:t>
      </w:r>
    </w:p>
    <w:p w14:paraId="1DF7E801" w14:textId="4A8C33BF" w:rsidR="00461DD5" w:rsidRPr="000C7324" w:rsidRDefault="00461DD5" w:rsidP="00902A56">
      <w:pPr>
        <w:pStyle w:val="SingleTxt"/>
        <w:spacing w:after="0" w:line="120" w:lineRule="atLeast"/>
        <w:rPr>
          <w:sz w:val="10"/>
          <w:lang w:val="fr-FR"/>
        </w:rPr>
      </w:pPr>
    </w:p>
    <w:p w14:paraId="058BCF01" w14:textId="16B22551" w:rsidR="00F60016" w:rsidRPr="000C7324" w:rsidRDefault="00F60016" w:rsidP="00DE0C47">
      <w:pPr>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fr-FR"/>
        </w:rPr>
      </w:pPr>
      <w:r w:rsidRPr="000C7324">
        <w:rPr>
          <w:lang w:val="fr-FR"/>
        </w:rPr>
        <w:t>Le service des sessions supplémentaires du Groupe de travail et la fourniture d'un appui continu à un nombre accru de réunions informelles exigeraient que l'actuelle équipe du Groupe de travail III soit élargi. Cela peut être réalisé en déchargeant les membres actuels de l'équipe d'autres tâches ou en incluant d'autres membres du Secrétariat en tant que nouveaux membres de l'équipe. Cependant, les deux options auraient probablement un impact négatif sur le rôle du Secrétariat dans l’appui d’autres programmes de travail de la Commission.</w:t>
      </w:r>
    </w:p>
    <w:p w14:paraId="5F9105A5" w14:textId="7F4F78A4" w:rsidR="00F60016" w:rsidRPr="000C7324" w:rsidRDefault="00F60016" w:rsidP="00DE0C47">
      <w:pPr>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fr-FR"/>
        </w:rPr>
      </w:pPr>
      <w:r w:rsidRPr="000C7324">
        <w:rPr>
          <w:lang w:val="fr-FR"/>
        </w:rPr>
        <w:t xml:space="preserve">Pour que le programme de travail de la Commission ne soit pas affecté par le temps de conférence supplémentaire alloué au Groupe de travail, trois nouveaux postes seraient nécessaires comme indiqué dans le tableau 2. Cela entraînerait des besoins supplémentaires allant de 353 400 dollars à 410 100 dollars </w:t>
      </w:r>
      <w:r w:rsidR="00DE0C47" w:rsidRPr="000C7324">
        <w:rPr>
          <w:lang w:val="fr-FR"/>
        </w:rPr>
        <w:t xml:space="preserve">en </w:t>
      </w:r>
      <w:r w:rsidRPr="000C7324">
        <w:rPr>
          <w:lang w:val="fr-FR"/>
        </w:rPr>
        <w:t>2022 selon que le poste doit être financé par des ressources ordinaires ou extrabudgétaires.</w:t>
      </w:r>
      <w:r w:rsidR="00DE0C47" w:rsidRPr="000C7324">
        <w:rPr>
          <w:vertAlign w:val="superscript"/>
          <w:lang w:val="fr-FR"/>
        </w:rPr>
        <w:t xml:space="preserve"> </w:t>
      </w:r>
      <w:r w:rsidR="00DE0C47" w:rsidRPr="000C7324">
        <w:rPr>
          <w:vertAlign w:val="superscript"/>
        </w:rPr>
        <w:footnoteReference w:id="18"/>
      </w:r>
    </w:p>
    <w:p w14:paraId="18999089" w14:textId="31AA0096" w:rsidR="00F60016" w:rsidRPr="000C7324" w:rsidRDefault="00DE0C47" w:rsidP="00DE0C47">
      <w:pPr>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fr-FR"/>
        </w:rPr>
      </w:pPr>
      <w:r w:rsidRPr="000C7324">
        <w:rPr>
          <w:lang w:val="fr-FR"/>
        </w:rPr>
        <w:t>Le Groupe de travail peut également prendre en considération les contributions au fonds d'affectation spéciale de la CNUDCI pour l'octroi d'une assistance en matière de voyage aux pays en développement, afin de permettre la participation de représentants d'États en développement aux délibérations du Groupe de travail III ainsi qu'aux réunions régionales intersessions.</w:t>
      </w:r>
      <w:r w:rsidRPr="000C7324">
        <w:rPr>
          <w:vertAlign w:val="superscript"/>
          <w:lang w:val="fr-FR"/>
        </w:rPr>
        <w:t xml:space="preserve"> </w:t>
      </w:r>
      <w:r w:rsidRPr="000C7324">
        <w:rPr>
          <w:vertAlign w:val="superscript"/>
        </w:rPr>
        <w:footnoteReference w:id="19"/>
      </w:r>
      <w:r w:rsidRPr="000C7324">
        <w:rPr>
          <w:lang w:val="fr-FR"/>
        </w:rPr>
        <w:t xml:space="preserve"> </w:t>
      </w:r>
      <w:r w:rsidR="00F60016" w:rsidRPr="000C7324">
        <w:rPr>
          <w:lang w:val="fr-FR"/>
        </w:rPr>
        <w:t>Si ces contributions devaient se poursuivre à l'avenir, le soutien administratif pour fournir une assistance en matière de voyage aux délégations pour assister à la session supplémentaire du Groupe de travail augmentera probablement également.</w:t>
      </w:r>
      <w:r w:rsidRPr="000C7324">
        <w:rPr>
          <w:lang w:val="fr-FR"/>
        </w:rPr>
        <w:t xml:space="preserve"> </w:t>
      </w:r>
    </w:p>
    <w:p w14:paraId="7085BC4D" w14:textId="3D2A6D0D" w:rsidR="006A16BD" w:rsidRPr="000C7324" w:rsidRDefault="00A3665D" w:rsidP="00902A56">
      <w:pPr>
        <w:pStyle w:val="SingleTxt"/>
        <w:spacing w:after="0"/>
        <w:jc w:val="left"/>
      </w:pPr>
      <w:r w:rsidRPr="000C7324">
        <w:t>Table</w:t>
      </w:r>
      <w:r w:rsidR="00F60016" w:rsidRPr="000C7324">
        <w:t>au</w:t>
      </w:r>
      <w:r w:rsidRPr="000C7324">
        <w:t xml:space="preserve"> </w:t>
      </w:r>
      <w:r w:rsidR="00BE2B0E" w:rsidRPr="000C7324">
        <w:t>2</w:t>
      </w:r>
      <w:r w:rsidRPr="000C7324">
        <w:t>:</w:t>
      </w:r>
    </w:p>
    <w:p w14:paraId="67F09BDA" w14:textId="27AD0AA6" w:rsidR="00A3665D" w:rsidRPr="000C7324" w:rsidRDefault="00F60016" w:rsidP="00902A56">
      <w:pPr>
        <w:pStyle w:val="SingleTxt"/>
        <w:jc w:val="left"/>
        <w:rPr>
          <w:b/>
          <w:bCs/>
        </w:rPr>
      </w:pPr>
      <w:proofErr w:type="spellStart"/>
      <w:r w:rsidRPr="000C7324">
        <w:rPr>
          <w:b/>
          <w:bCs/>
        </w:rPr>
        <w:t>R</w:t>
      </w:r>
      <w:r w:rsidR="00A3665D" w:rsidRPr="000C7324">
        <w:rPr>
          <w:b/>
          <w:bCs/>
        </w:rPr>
        <w:t>es</w:t>
      </w:r>
      <w:r w:rsidRPr="000C7324">
        <w:rPr>
          <w:b/>
          <w:bCs/>
        </w:rPr>
        <w:t>s</w:t>
      </w:r>
      <w:r w:rsidR="00A3665D" w:rsidRPr="000C7324">
        <w:rPr>
          <w:b/>
          <w:bCs/>
        </w:rPr>
        <w:t>ources</w:t>
      </w:r>
      <w:proofErr w:type="spellEnd"/>
      <w:r w:rsidRPr="000C7324">
        <w:rPr>
          <w:b/>
          <w:bCs/>
        </w:rPr>
        <w:t xml:space="preserve"> </w:t>
      </w:r>
      <w:proofErr w:type="spellStart"/>
      <w:r w:rsidRPr="000C7324">
        <w:rPr>
          <w:b/>
          <w:bCs/>
        </w:rPr>
        <w:t>humaines</w:t>
      </w:r>
      <w:proofErr w:type="spellEnd"/>
    </w:p>
    <w:tbl>
      <w:tblPr>
        <w:tblStyle w:val="TableGrid"/>
        <w:tblW w:w="0" w:type="auto"/>
        <w:tblInd w:w="1255" w:type="dxa"/>
        <w:tblLook w:val="04A0" w:firstRow="1" w:lastRow="0" w:firstColumn="1" w:lastColumn="0" w:noHBand="0" w:noVBand="1"/>
      </w:tblPr>
      <w:tblGrid>
        <w:gridCol w:w="2880"/>
        <w:gridCol w:w="2070"/>
        <w:gridCol w:w="2340"/>
      </w:tblGrid>
      <w:tr w:rsidR="00DD0E55" w:rsidRPr="000C7324" w14:paraId="3F841AF1" w14:textId="77777777" w:rsidTr="007A6711">
        <w:tc>
          <w:tcPr>
            <w:tcW w:w="2880" w:type="dxa"/>
            <w:shd w:val="pct10" w:color="auto" w:fill="auto"/>
            <w:vAlign w:val="center"/>
          </w:tcPr>
          <w:p w14:paraId="4FC8C4FB" w14:textId="77777777" w:rsidR="00DD0E55" w:rsidRPr="000C7324" w:rsidRDefault="00DD0E55" w:rsidP="00902A56">
            <w:pPr>
              <w:pStyle w:val="SingleTxt"/>
              <w:snapToGrid w:val="0"/>
              <w:spacing w:before="20" w:after="40" w:line="210" w:lineRule="exact"/>
              <w:ind w:left="0" w:right="21"/>
              <w:jc w:val="left"/>
              <w:rPr>
                <w:sz w:val="17"/>
                <w:szCs w:val="17"/>
              </w:rPr>
            </w:pPr>
          </w:p>
        </w:tc>
        <w:tc>
          <w:tcPr>
            <w:tcW w:w="2070" w:type="dxa"/>
            <w:shd w:val="pct10" w:color="auto" w:fill="auto"/>
            <w:vAlign w:val="center"/>
          </w:tcPr>
          <w:p w14:paraId="6439C373" w14:textId="4A92E606" w:rsidR="00DD0E55" w:rsidRPr="000C7324" w:rsidRDefault="00736BBD" w:rsidP="00902A56">
            <w:pPr>
              <w:pStyle w:val="SingleTxt"/>
              <w:snapToGrid w:val="0"/>
              <w:spacing w:before="20" w:after="40" w:line="210" w:lineRule="exact"/>
              <w:ind w:left="0" w:right="170"/>
              <w:jc w:val="center"/>
              <w:rPr>
                <w:sz w:val="17"/>
                <w:szCs w:val="17"/>
              </w:rPr>
            </w:pPr>
            <w:r w:rsidRPr="000C7324">
              <w:rPr>
                <w:sz w:val="17"/>
                <w:szCs w:val="17"/>
              </w:rPr>
              <w:t>B</w:t>
            </w:r>
            <w:r w:rsidR="00DD0E55" w:rsidRPr="000C7324">
              <w:rPr>
                <w:sz w:val="17"/>
                <w:szCs w:val="17"/>
              </w:rPr>
              <w:t>udget</w:t>
            </w:r>
            <w:r w:rsidRPr="000C7324">
              <w:rPr>
                <w:sz w:val="17"/>
                <w:szCs w:val="17"/>
              </w:rPr>
              <w:t xml:space="preserve"> </w:t>
            </w:r>
            <w:proofErr w:type="spellStart"/>
            <w:r w:rsidRPr="000C7324">
              <w:rPr>
                <w:sz w:val="17"/>
                <w:szCs w:val="17"/>
              </w:rPr>
              <w:t>régulier</w:t>
            </w:r>
            <w:proofErr w:type="spellEnd"/>
          </w:p>
        </w:tc>
        <w:tc>
          <w:tcPr>
            <w:tcW w:w="2340" w:type="dxa"/>
            <w:shd w:val="pct10" w:color="auto" w:fill="auto"/>
            <w:vAlign w:val="center"/>
          </w:tcPr>
          <w:p w14:paraId="170BECB2" w14:textId="5CD4B2E3" w:rsidR="00DD0E55" w:rsidRPr="000C7324" w:rsidRDefault="00736BBD" w:rsidP="00902A56">
            <w:pPr>
              <w:pStyle w:val="SingleTxt"/>
              <w:snapToGrid w:val="0"/>
              <w:spacing w:before="20" w:after="40" w:line="210" w:lineRule="exact"/>
              <w:ind w:left="0" w:right="170"/>
              <w:jc w:val="center"/>
              <w:rPr>
                <w:sz w:val="17"/>
                <w:szCs w:val="17"/>
              </w:rPr>
            </w:pPr>
            <w:proofErr w:type="spellStart"/>
            <w:r w:rsidRPr="000C7324">
              <w:rPr>
                <w:sz w:val="17"/>
                <w:szCs w:val="17"/>
              </w:rPr>
              <w:t>Ressources</w:t>
            </w:r>
            <w:proofErr w:type="spellEnd"/>
            <w:r w:rsidRPr="000C7324">
              <w:rPr>
                <w:sz w:val="17"/>
                <w:szCs w:val="17"/>
              </w:rPr>
              <w:t xml:space="preserve"> extra-</w:t>
            </w:r>
            <w:proofErr w:type="spellStart"/>
            <w:r w:rsidRPr="000C7324">
              <w:rPr>
                <w:sz w:val="17"/>
                <w:szCs w:val="17"/>
              </w:rPr>
              <w:t>budgétaires</w:t>
            </w:r>
            <w:proofErr w:type="spellEnd"/>
          </w:p>
        </w:tc>
      </w:tr>
      <w:tr w:rsidR="00DD0E55" w:rsidRPr="000C7324" w14:paraId="2EF44E30" w14:textId="77777777" w:rsidTr="007A6711">
        <w:tc>
          <w:tcPr>
            <w:tcW w:w="2880" w:type="dxa"/>
            <w:shd w:val="pct10" w:color="auto" w:fill="auto"/>
            <w:vAlign w:val="center"/>
          </w:tcPr>
          <w:p w14:paraId="4A0A64D2" w14:textId="2547F0AF" w:rsidR="00DD0E55" w:rsidRPr="000C7324" w:rsidRDefault="00736BBD" w:rsidP="00902A56">
            <w:pPr>
              <w:pStyle w:val="SingleTxt"/>
              <w:tabs>
                <w:tab w:val="clear" w:pos="1267"/>
              </w:tabs>
              <w:snapToGrid w:val="0"/>
              <w:spacing w:before="20" w:after="40" w:line="210" w:lineRule="exact"/>
              <w:ind w:left="0" w:right="18"/>
              <w:jc w:val="left"/>
              <w:rPr>
                <w:sz w:val="17"/>
                <w:szCs w:val="17"/>
              </w:rPr>
            </w:pPr>
            <w:proofErr w:type="spellStart"/>
            <w:r w:rsidRPr="000C7324">
              <w:rPr>
                <w:sz w:val="17"/>
                <w:szCs w:val="17"/>
              </w:rPr>
              <w:t>Juriste</w:t>
            </w:r>
            <w:proofErr w:type="spellEnd"/>
            <w:r w:rsidR="00DD0E55" w:rsidRPr="000C7324">
              <w:rPr>
                <w:sz w:val="17"/>
                <w:szCs w:val="17"/>
              </w:rPr>
              <w:t xml:space="preserve"> (P-3)</w:t>
            </w:r>
          </w:p>
        </w:tc>
        <w:tc>
          <w:tcPr>
            <w:tcW w:w="2070" w:type="dxa"/>
            <w:vAlign w:val="center"/>
          </w:tcPr>
          <w:p w14:paraId="0BCA9AE4" w14:textId="77777777" w:rsidR="00DD0E55" w:rsidRPr="000C7324" w:rsidRDefault="00DD0E55" w:rsidP="00902A56">
            <w:pPr>
              <w:pStyle w:val="SingleTxt"/>
              <w:tabs>
                <w:tab w:val="clear" w:pos="1267"/>
              </w:tabs>
              <w:snapToGrid w:val="0"/>
              <w:spacing w:before="20" w:after="40" w:line="210" w:lineRule="exact"/>
              <w:ind w:left="0" w:right="170"/>
              <w:jc w:val="center"/>
              <w:rPr>
                <w:sz w:val="17"/>
                <w:szCs w:val="17"/>
              </w:rPr>
            </w:pPr>
            <w:r w:rsidRPr="000C7324">
              <w:rPr>
                <w:sz w:val="17"/>
                <w:szCs w:val="17"/>
              </w:rPr>
              <w:t>$ 139,600</w:t>
            </w:r>
          </w:p>
        </w:tc>
        <w:tc>
          <w:tcPr>
            <w:tcW w:w="2340" w:type="dxa"/>
            <w:vAlign w:val="center"/>
          </w:tcPr>
          <w:p w14:paraId="76A4E50E" w14:textId="0F565529" w:rsidR="00DD0E55" w:rsidRPr="000C7324" w:rsidRDefault="00DD0E55" w:rsidP="00902A56">
            <w:pPr>
              <w:pStyle w:val="SingleTxt"/>
              <w:tabs>
                <w:tab w:val="clear" w:pos="1267"/>
              </w:tabs>
              <w:snapToGrid w:val="0"/>
              <w:spacing w:before="20" w:after="40" w:line="210" w:lineRule="exact"/>
              <w:ind w:left="0" w:right="170"/>
              <w:jc w:val="center"/>
              <w:rPr>
                <w:sz w:val="17"/>
                <w:szCs w:val="17"/>
              </w:rPr>
            </w:pPr>
            <w:r w:rsidRPr="000C7324">
              <w:rPr>
                <w:sz w:val="17"/>
                <w:szCs w:val="17"/>
              </w:rPr>
              <w:t>$ 16</w:t>
            </w:r>
            <w:r w:rsidR="00532313" w:rsidRPr="000C7324">
              <w:rPr>
                <w:sz w:val="17"/>
                <w:szCs w:val="17"/>
              </w:rPr>
              <w:t>9</w:t>
            </w:r>
            <w:r w:rsidRPr="000C7324">
              <w:rPr>
                <w:sz w:val="17"/>
                <w:szCs w:val="17"/>
              </w:rPr>
              <w:t>,</w:t>
            </w:r>
            <w:r w:rsidR="00532313" w:rsidRPr="000C7324">
              <w:rPr>
                <w:sz w:val="17"/>
                <w:szCs w:val="17"/>
              </w:rPr>
              <w:t>5</w:t>
            </w:r>
            <w:r w:rsidRPr="000C7324">
              <w:rPr>
                <w:sz w:val="17"/>
                <w:szCs w:val="17"/>
              </w:rPr>
              <w:t>00</w:t>
            </w:r>
          </w:p>
        </w:tc>
      </w:tr>
      <w:tr w:rsidR="00DD0E55" w:rsidRPr="000C7324" w14:paraId="79E68A3E" w14:textId="77777777" w:rsidTr="007A6711">
        <w:tc>
          <w:tcPr>
            <w:tcW w:w="2880" w:type="dxa"/>
            <w:shd w:val="pct10" w:color="auto" w:fill="auto"/>
            <w:vAlign w:val="center"/>
          </w:tcPr>
          <w:p w14:paraId="6D6843E7" w14:textId="7EFEF49B" w:rsidR="00DD0E55" w:rsidRPr="000C7324" w:rsidRDefault="00736BBD" w:rsidP="00902A56">
            <w:pPr>
              <w:pStyle w:val="SingleTxt"/>
              <w:snapToGrid w:val="0"/>
              <w:spacing w:before="20" w:after="40" w:line="210" w:lineRule="exact"/>
              <w:ind w:left="0" w:right="26"/>
              <w:jc w:val="left"/>
              <w:rPr>
                <w:sz w:val="17"/>
                <w:szCs w:val="17"/>
              </w:rPr>
            </w:pPr>
            <w:proofErr w:type="spellStart"/>
            <w:r w:rsidRPr="000C7324">
              <w:rPr>
                <w:sz w:val="17"/>
                <w:szCs w:val="17"/>
              </w:rPr>
              <w:t>Juriste</w:t>
            </w:r>
            <w:proofErr w:type="spellEnd"/>
            <w:r w:rsidR="00DD0E55" w:rsidRPr="000C7324">
              <w:rPr>
                <w:sz w:val="17"/>
                <w:szCs w:val="17"/>
              </w:rPr>
              <w:t xml:space="preserve"> (P-2)</w:t>
            </w:r>
          </w:p>
        </w:tc>
        <w:tc>
          <w:tcPr>
            <w:tcW w:w="2070" w:type="dxa"/>
            <w:vAlign w:val="center"/>
          </w:tcPr>
          <w:p w14:paraId="5401E529" w14:textId="77777777" w:rsidR="00DD0E55" w:rsidRPr="000C7324" w:rsidRDefault="00DD0E55" w:rsidP="00902A56">
            <w:pPr>
              <w:pStyle w:val="SingleTxt"/>
              <w:snapToGrid w:val="0"/>
              <w:spacing w:before="20" w:after="40" w:line="210" w:lineRule="exact"/>
              <w:ind w:left="0" w:right="170"/>
              <w:jc w:val="center"/>
              <w:rPr>
                <w:sz w:val="17"/>
                <w:szCs w:val="17"/>
              </w:rPr>
            </w:pPr>
            <w:r w:rsidRPr="000C7324">
              <w:rPr>
                <w:sz w:val="17"/>
                <w:szCs w:val="17"/>
              </w:rPr>
              <w:t>$ 115,100</w:t>
            </w:r>
          </w:p>
        </w:tc>
        <w:tc>
          <w:tcPr>
            <w:tcW w:w="2340" w:type="dxa"/>
            <w:vAlign w:val="center"/>
          </w:tcPr>
          <w:p w14:paraId="67C133A1" w14:textId="7892297F" w:rsidR="00DD0E55" w:rsidRPr="000C7324" w:rsidRDefault="00DD0E55" w:rsidP="00902A56">
            <w:pPr>
              <w:pStyle w:val="SingleTxt"/>
              <w:snapToGrid w:val="0"/>
              <w:spacing w:before="20" w:after="40" w:line="210" w:lineRule="exact"/>
              <w:ind w:left="0" w:right="170"/>
              <w:jc w:val="center"/>
              <w:rPr>
                <w:sz w:val="17"/>
                <w:szCs w:val="17"/>
              </w:rPr>
            </w:pPr>
            <w:r w:rsidRPr="000C7324">
              <w:rPr>
                <w:sz w:val="17"/>
                <w:szCs w:val="17"/>
              </w:rPr>
              <w:t>$ 13</w:t>
            </w:r>
            <w:r w:rsidR="00532313" w:rsidRPr="000C7324">
              <w:rPr>
                <w:sz w:val="17"/>
                <w:szCs w:val="17"/>
              </w:rPr>
              <w:t>3</w:t>
            </w:r>
            <w:r w:rsidRPr="000C7324">
              <w:rPr>
                <w:sz w:val="17"/>
                <w:szCs w:val="17"/>
              </w:rPr>
              <w:t>,</w:t>
            </w:r>
            <w:r w:rsidR="00532313" w:rsidRPr="000C7324">
              <w:rPr>
                <w:sz w:val="17"/>
                <w:szCs w:val="17"/>
              </w:rPr>
              <w:t>7</w:t>
            </w:r>
            <w:r w:rsidRPr="000C7324">
              <w:rPr>
                <w:sz w:val="17"/>
                <w:szCs w:val="17"/>
              </w:rPr>
              <w:t>00</w:t>
            </w:r>
          </w:p>
        </w:tc>
      </w:tr>
      <w:tr w:rsidR="00DD0E55" w:rsidRPr="000C7324" w14:paraId="1B173714" w14:textId="77777777" w:rsidTr="007A6711">
        <w:tc>
          <w:tcPr>
            <w:tcW w:w="2880" w:type="dxa"/>
            <w:shd w:val="pct10" w:color="auto" w:fill="auto"/>
            <w:vAlign w:val="center"/>
          </w:tcPr>
          <w:p w14:paraId="1C5255CD" w14:textId="2BB02527" w:rsidR="00DD0E55" w:rsidRPr="000C7324" w:rsidRDefault="00736BBD" w:rsidP="00902A56">
            <w:pPr>
              <w:pStyle w:val="SingleTxt"/>
              <w:snapToGrid w:val="0"/>
              <w:spacing w:before="20" w:after="40" w:line="210" w:lineRule="exact"/>
              <w:ind w:left="0" w:right="116"/>
              <w:jc w:val="left"/>
              <w:rPr>
                <w:sz w:val="17"/>
                <w:szCs w:val="17"/>
              </w:rPr>
            </w:pPr>
            <w:r w:rsidRPr="000C7324">
              <w:rPr>
                <w:sz w:val="17"/>
                <w:szCs w:val="17"/>
              </w:rPr>
              <w:t xml:space="preserve">Assistant </w:t>
            </w:r>
            <w:proofErr w:type="spellStart"/>
            <w:r w:rsidRPr="000C7324">
              <w:rPr>
                <w:sz w:val="17"/>
                <w:szCs w:val="17"/>
              </w:rPr>
              <w:t>administratif</w:t>
            </w:r>
            <w:proofErr w:type="spellEnd"/>
            <w:r w:rsidR="00DD0E55" w:rsidRPr="000C7324">
              <w:rPr>
                <w:sz w:val="17"/>
                <w:szCs w:val="17"/>
              </w:rPr>
              <w:t xml:space="preserve"> (G-6)</w:t>
            </w:r>
          </w:p>
        </w:tc>
        <w:tc>
          <w:tcPr>
            <w:tcW w:w="2070" w:type="dxa"/>
            <w:vAlign w:val="center"/>
          </w:tcPr>
          <w:p w14:paraId="1DB254E5" w14:textId="77777777" w:rsidR="00DD0E55" w:rsidRPr="000C7324" w:rsidRDefault="00DD0E55" w:rsidP="00902A56">
            <w:pPr>
              <w:pStyle w:val="SingleTxt"/>
              <w:snapToGrid w:val="0"/>
              <w:spacing w:before="20" w:after="40" w:line="210" w:lineRule="exact"/>
              <w:ind w:left="0" w:right="170"/>
              <w:jc w:val="center"/>
              <w:rPr>
                <w:sz w:val="17"/>
                <w:szCs w:val="17"/>
              </w:rPr>
            </w:pPr>
            <w:r w:rsidRPr="000C7324">
              <w:rPr>
                <w:sz w:val="17"/>
                <w:szCs w:val="17"/>
              </w:rPr>
              <w:t>$ 98,700</w:t>
            </w:r>
          </w:p>
        </w:tc>
        <w:tc>
          <w:tcPr>
            <w:tcW w:w="2340" w:type="dxa"/>
            <w:vAlign w:val="center"/>
          </w:tcPr>
          <w:p w14:paraId="5D6F8A3D" w14:textId="0D4A728F" w:rsidR="00DD0E55" w:rsidRPr="000C7324" w:rsidRDefault="00DD0E55" w:rsidP="00902A56">
            <w:pPr>
              <w:pStyle w:val="SingleTxt"/>
              <w:snapToGrid w:val="0"/>
              <w:spacing w:before="20" w:after="40" w:line="210" w:lineRule="exact"/>
              <w:ind w:left="0" w:right="170"/>
              <w:jc w:val="center"/>
              <w:rPr>
                <w:sz w:val="17"/>
                <w:szCs w:val="17"/>
              </w:rPr>
            </w:pPr>
            <w:r w:rsidRPr="000C7324">
              <w:rPr>
                <w:sz w:val="17"/>
                <w:szCs w:val="17"/>
              </w:rPr>
              <w:t>$ 10</w:t>
            </w:r>
            <w:r w:rsidR="00532313" w:rsidRPr="000C7324">
              <w:rPr>
                <w:sz w:val="17"/>
                <w:szCs w:val="17"/>
              </w:rPr>
              <w:t>6</w:t>
            </w:r>
            <w:r w:rsidRPr="000C7324">
              <w:rPr>
                <w:sz w:val="17"/>
                <w:szCs w:val="17"/>
              </w:rPr>
              <w:t>,900</w:t>
            </w:r>
          </w:p>
        </w:tc>
      </w:tr>
      <w:tr w:rsidR="00DD0E55" w:rsidRPr="000C7324" w14:paraId="05988C5A" w14:textId="77777777" w:rsidTr="007A6711">
        <w:tc>
          <w:tcPr>
            <w:tcW w:w="2880" w:type="dxa"/>
            <w:shd w:val="pct10" w:color="auto" w:fill="auto"/>
            <w:vAlign w:val="center"/>
          </w:tcPr>
          <w:p w14:paraId="64A8C9D6" w14:textId="77777777" w:rsidR="00DD0E55" w:rsidRPr="000C7324" w:rsidRDefault="00DD0E55" w:rsidP="00902A56">
            <w:pPr>
              <w:pStyle w:val="SingleTxt"/>
              <w:snapToGrid w:val="0"/>
              <w:spacing w:before="20" w:after="40" w:line="210" w:lineRule="exact"/>
              <w:ind w:left="0" w:right="21"/>
              <w:jc w:val="left"/>
              <w:rPr>
                <w:b/>
                <w:bCs/>
                <w:sz w:val="17"/>
                <w:szCs w:val="17"/>
              </w:rPr>
            </w:pPr>
            <w:r w:rsidRPr="000C7324">
              <w:rPr>
                <w:b/>
                <w:bCs/>
                <w:sz w:val="17"/>
                <w:szCs w:val="17"/>
              </w:rPr>
              <w:t>Total</w:t>
            </w:r>
          </w:p>
        </w:tc>
        <w:tc>
          <w:tcPr>
            <w:tcW w:w="2070" w:type="dxa"/>
            <w:vAlign w:val="center"/>
          </w:tcPr>
          <w:p w14:paraId="3A541333" w14:textId="77777777" w:rsidR="00DD0E55" w:rsidRPr="000C7324" w:rsidRDefault="00DD0E55" w:rsidP="00902A56">
            <w:pPr>
              <w:pStyle w:val="SingleTxt"/>
              <w:snapToGrid w:val="0"/>
              <w:spacing w:before="20" w:after="40" w:line="210" w:lineRule="exact"/>
              <w:ind w:left="0" w:right="170"/>
              <w:jc w:val="center"/>
              <w:rPr>
                <w:b/>
                <w:bCs/>
                <w:sz w:val="17"/>
                <w:szCs w:val="17"/>
              </w:rPr>
            </w:pPr>
            <w:r w:rsidRPr="000C7324">
              <w:rPr>
                <w:b/>
                <w:bCs/>
                <w:sz w:val="17"/>
                <w:szCs w:val="17"/>
              </w:rPr>
              <w:t>$ 353,400</w:t>
            </w:r>
          </w:p>
        </w:tc>
        <w:tc>
          <w:tcPr>
            <w:tcW w:w="2340" w:type="dxa"/>
            <w:vAlign w:val="center"/>
          </w:tcPr>
          <w:p w14:paraId="46715A0D" w14:textId="4BC9D4B0" w:rsidR="00DD0E55" w:rsidRPr="000C7324" w:rsidRDefault="00DD0E55" w:rsidP="00902A56">
            <w:pPr>
              <w:pStyle w:val="SingleTxt"/>
              <w:snapToGrid w:val="0"/>
              <w:spacing w:before="20" w:after="40" w:line="210" w:lineRule="exact"/>
              <w:ind w:left="0" w:right="170"/>
              <w:jc w:val="center"/>
              <w:rPr>
                <w:b/>
                <w:bCs/>
                <w:sz w:val="17"/>
                <w:szCs w:val="17"/>
              </w:rPr>
            </w:pPr>
            <w:r w:rsidRPr="000C7324">
              <w:rPr>
                <w:b/>
                <w:bCs/>
                <w:sz w:val="17"/>
                <w:szCs w:val="17"/>
              </w:rPr>
              <w:t>$ 4</w:t>
            </w:r>
            <w:r w:rsidR="00532313" w:rsidRPr="000C7324">
              <w:rPr>
                <w:b/>
                <w:bCs/>
                <w:sz w:val="17"/>
                <w:szCs w:val="17"/>
              </w:rPr>
              <w:t>10</w:t>
            </w:r>
            <w:r w:rsidRPr="000C7324">
              <w:rPr>
                <w:b/>
                <w:bCs/>
                <w:sz w:val="17"/>
                <w:szCs w:val="17"/>
              </w:rPr>
              <w:t>,</w:t>
            </w:r>
            <w:r w:rsidR="00532313" w:rsidRPr="000C7324">
              <w:rPr>
                <w:b/>
                <w:bCs/>
                <w:sz w:val="17"/>
                <w:szCs w:val="17"/>
              </w:rPr>
              <w:t>1</w:t>
            </w:r>
            <w:r w:rsidRPr="000C7324">
              <w:rPr>
                <w:b/>
                <w:bCs/>
                <w:sz w:val="17"/>
                <w:szCs w:val="17"/>
              </w:rPr>
              <w:t>00</w:t>
            </w:r>
          </w:p>
        </w:tc>
      </w:tr>
    </w:tbl>
    <w:p w14:paraId="5720DED4" w14:textId="4FE047B0" w:rsidR="00A3665D" w:rsidRPr="000C7324" w:rsidRDefault="00A3665D" w:rsidP="00902A56">
      <w:pPr>
        <w:pStyle w:val="SingleTxt"/>
        <w:spacing w:after="0" w:line="120" w:lineRule="atLeast"/>
        <w:rPr>
          <w:sz w:val="10"/>
        </w:rPr>
      </w:pPr>
    </w:p>
    <w:p w14:paraId="33684693" w14:textId="50E6D6DD" w:rsidR="00DE0C47" w:rsidRPr="000C7324" w:rsidRDefault="00DE0C47" w:rsidP="00DE0C47">
      <w:pPr>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fr-FR"/>
        </w:rPr>
      </w:pPr>
      <w:r w:rsidRPr="000C7324">
        <w:rPr>
          <w:lang w:val="fr-FR"/>
        </w:rPr>
        <w:t>En outre, des ressources supplémentaires d'un montant de 13 000 dollars seraient nécessaires pour acquérir du mobilier et du matériel pour les nouveaux fonctionnaires; 5 400 dollars pour les services liés aux TIC; et 13 593 dollars pour les frais de voyage du personnel pour assister aux sessions d</w:t>
      </w:r>
      <w:r w:rsidR="00FD01B0" w:rsidRPr="000C7324">
        <w:rPr>
          <w:lang w:val="fr-FR"/>
        </w:rPr>
        <w:t>u G</w:t>
      </w:r>
      <w:r w:rsidRPr="000C7324">
        <w:rPr>
          <w:lang w:val="fr-FR"/>
        </w:rPr>
        <w:t>roupe de travail à New York.</w:t>
      </w:r>
    </w:p>
    <w:p w14:paraId="2B7F3BB2" w14:textId="70F6A5FB" w:rsidR="00DE0C47" w:rsidRPr="000C7324" w:rsidRDefault="00DE0C47" w:rsidP="00DE0C4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7"/>
        <w:jc w:val="both"/>
        <w:rPr>
          <w:i/>
          <w:iCs/>
          <w:lang w:val="fr-FR"/>
        </w:rPr>
      </w:pPr>
      <w:r w:rsidRPr="000C7324">
        <w:rPr>
          <w:i/>
          <w:iCs/>
          <w:lang w:val="fr-FR"/>
        </w:rPr>
        <w:tab/>
      </w:r>
      <w:r w:rsidRPr="000C7324">
        <w:rPr>
          <w:i/>
          <w:iCs/>
        </w:rPr>
        <w:t>Résumé</w:t>
      </w:r>
    </w:p>
    <w:p w14:paraId="7B0CA58E" w14:textId="42CDAB42" w:rsidR="00DE0C47" w:rsidRPr="000C7324" w:rsidRDefault="00DE0C47" w:rsidP="00DE0C47">
      <w:pPr>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fr-FR"/>
        </w:rPr>
      </w:pPr>
      <w:r w:rsidRPr="000C7324">
        <w:rPr>
          <w:lang w:val="fr-FR"/>
        </w:rPr>
        <w:t>En conclusion, les incidences sur le budget de la tenue de deux sessions supplémentaires du Groupe de travail par an seraient les suivantes:</w:t>
      </w:r>
    </w:p>
    <w:p w14:paraId="5832A933" w14:textId="77777777" w:rsidR="00DE0C47" w:rsidRPr="000C7324" w:rsidRDefault="00DE0C47" w:rsidP="00902A56">
      <w:pPr>
        <w:pStyle w:val="SingleTxt"/>
        <w:spacing w:after="0"/>
        <w:jc w:val="left"/>
        <w:rPr>
          <w:lang w:val="fr-FR"/>
        </w:rPr>
      </w:pPr>
    </w:p>
    <w:p w14:paraId="6ED55D1A" w14:textId="39FA73A1" w:rsidR="007A6711" w:rsidRPr="000C7324" w:rsidRDefault="006B5CBD" w:rsidP="00902A56">
      <w:pPr>
        <w:pStyle w:val="SingleTxt"/>
        <w:spacing w:after="0"/>
        <w:jc w:val="left"/>
        <w:rPr>
          <w:lang w:val="fr-FR"/>
        </w:rPr>
      </w:pPr>
      <w:r w:rsidRPr="000C7324">
        <w:rPr>
          <w:lang w:val="fr-FR"/>
        </w:rPr>
        <w:t>Table</w:t>
      </w:r>
      <w:r w:rsidR="00DE0C47" w:rsidRPr="000C7324">
        <w:rPr>
          <w:lang w:val="fr-FR"/>
        </w:rPr>
        <w:t>au</w:t>
      </w:r>
      <w:r w:rsidRPr="000C7324">
        <w:rPr>
          <w:lang w:val="fr-FR"/>
        </w:rPr>
        <w:t xml:space="preserve"> 3: </w:t>
      </w:r>
    </w:p>
    <w:p w14:paraId="5CFA5608" w14:textId="584FC9C5" w:rsidR="00532313" w:rsidRPr="000C7324" w:rsidRDefault="00DE0C47" w:rsidP="00902A56">
      <w:pPr>
        <w:pStyle w:val="SingleTxt"/>
        <w:ind w:left="1267" w:right="1267"/>
        <w:rPr>
          <w:b/>
          <w:bCs/>
          <w:lang w:val="fr-FR"/>
        </w:rPr>
      </w:pPr>
      <w:r w:rsidRPr="000C7324">
        <w:rPr>
          <w:b/>
          <w:bCs/>
          <w:lang w:val="fr-FR"/>
        </w:rPr>
        <w:t>Implications sur la programmation budgétaire par an</w:t>
      </w:r>
    </w:p>
    <w:tbl>
      <w:tblPr>
        <w:tblStyle w:val="TableGrid"/>
        <w:tblW w:w="0" w:type="auto"/>
        <w:tblInd w:w="1255" w:type="dxa"/>
        <w:tblLook w:val="04A0" w:firstRow="1" w:lastRow="0" w:firstColumn="1" w:lastColumn="0" w:noHBand="0" w:noVBand="1"/>
      </w:tblPr>
      <w:tblGrid>
        <w:gridCol w:w="2340"/>
        <w:gridCol w:w="1530"/>
        <w:gridCol w:w="3420"/>
      </w:tblGrid>
      <w:tr w:rsidR="00CE0811" w:rsidRPr="000C7324" w14:paraId="509B680C" w14:textId="77777777" w:rsidTr="007A42AF">
        <w:tc>
          <w:tcPr>
            <w:tcW w:w="3870" w:type="dxa"/>
            <w:gridSpan w:val="2"/>
            <w:shd w:val="pct10" w:color="auto" w:fill="auto"/>
            <w:vAlign w:val="center"/>
          </w:tcPr>
          <w:p w14:paraId="6E5DD921" w14:textId="77777777" w:rsidR="00CE0811" w:rsidRPr="000C7324" w:rsidRDefault="00CE0811" w:rsidP="00902A56">
            <w:pPr>
              <w:pStyle w:val="SingleTxt"/>
              <w:snapToGrid w:val="0"/>
              <w:spacing w:before="20" w:after="40" w:line="210" w:lineRule="exact"/>
              <w:ind w:left="0" w:right="21"/>
              <w:jc w:val="center"/>
              <w:rPr>
                <w:sz w:val="18"/>
                <w:szCs w:val="18"/>
                <w:lang w:val="fr-FR"/>
              </w:rPr>
            </w:pPr>
          </w:p>
        </w:tc>
        <w:tc>
          <w:tcPr>
            <w:tcW w:w="3420" w:type="dxa"/>
            <w:shd w:val="pct10" w:color="auto" w:fill="auto"/>
            <w:vAlign w:val="center"/>
          </w:tcPr>
          <w:p w14:paraId="7A84B833" w14:textId="0562E532" w:rsidR="00CE0811" w:rsidRPr="000C7324" w:rsidRDefault="00736BBD" w:rsidP="00902A56">
            <w:pPr>
              <w:pStyle w:val="SingleTxt"/>
              <w:snapToGrid w:val="0"/>
              <w:spacing w:before="20" w:after="40" w:line="210" w:lineRule="exact"/>
              <w:ind w:left="0" w:right="170"/>
              <w:jc w:val="center"/>
              <w:rPr>
                <w:sz w:val="18"/>
                <w:szCs w:val="18"/>
              </w:rPr>
            </w:pPr>
            <w:r w:rsidRPr="000C7324">
              <w:rPr>
                <w:sz w:val="18"/>
                <w:szCs w:val="18"/>
              </w:rPr>
              <w:t>Estimations</w:t>
            </w:r>
          </w:p>
        </w:tc>
      </w:tr>
      <w:tr w:rsidR="00CE0811" w:rsidRPr="000C7324" w14:paraId="593E3E77" w14:textId="77777777" w:rsidTr="007A6711">
        <w:trPr>
          <w:trHeight w:val="647"/>
        </w:trPr>
        <w:tc>
          <w:tcPr>
            <w:tcW w:w="2340" w:type="dxa"/>
            <w:vMerge w:val="restart"/>
            <w:shd w:val="pct10" w:color="auto" w:fill="auto"/>
            <w:vAlign w:val="center"/>
          </w:tcPr>
          <w:p w14:paraId="74F3875F" w14:textId="28AD1942" w:rsidR="00CE0811" w:rsidRPr="000C7324" w:rsidRDefault="00CE0811" w:rsidP="00902A56">
            <w:pPr>
              <w:pStyle w:val="SingleTxt"/>
              <w:tabs>
                <w:tab w:val="clear" w:pos="1267"/>
              </w:tabs>
              <w:snapToGrid w:val="0"/>
              <w:spacing w:before="20" w:after="40" w:line="210" w:lineRule="exact"/>
              <w:ind w:left="0" w:right="18"/>
              <w:jc w:val="center"/>
              <w:rPr>
                <w:sz w:val="18"/>
                <w:szCs w:val="18"/>
                <w:lang w:val="fr-FR"/>
              </w:rPr>
            </w:pPr>
            <w:r w:rsidRPr="000C7324">
              <w:rPr>
                <w:spacing w:val="2"/>
                <w:w w:val="101"/>
                <w:sz w:val="18"/>
                <w:szCs w:val="18"/>
                <w:lang w:val="fr-FR"/>
              </w:rPr>
              <w:t xml:space="preserve">Section 2 - </w:t>
            </w:r>
            <w:r w:rsidR="00736BBD" w:rsidRPr="000C7324">
              <w:rPr>
                <w:spacing w:val="2"/>
                <w:w w:val="101"/>
                <w:sz w:val="18"/>
                <w:szCs w:val="18"/>
                <w:lang w:val="fr-FR"/>
              </w:rPr>
              <w:t>Affaires de l'Assemblée générale et du Conseil économique et social et gestion des conférences</w:t>
            </w:r>
          </w:p>
        </w:tc>
        <w:tc>
          <w:tcPr>
            <w:tcW w:w="1530" w:type="dxa"/>
            <w:shd w:val="pct10" w:color="auto" w:fill="auto"/>
            <w:vAlign w:val="center"/>
          </w:tcPr>
          <w:p w14:paraId="15D8B648" w14:textId="36AD1D83" w:rsidR="00CE0811" w:rsidRPr="000C7324" w:rsidRDefault="00736BBD" w:rsidP="00902A56">
            <w:pPr>
              <w:pStyle w:val="SingleTxt"/>
              <w:tabs>
                <w:tab w:val="clear" w:pos="1267"/>
              </w:tabs>
              <w:snapToGrid w:val="0"/>
              <w:spacing w:before="20" w:after="40" w:line="210" w:lineRule="exact"/>
              <w:ind w:left="0" w:right="18"/>
              <w:jc w:val="center"/>
              <w:rPr>
                <w:sz w:val="18"/>
                <w:szCs w:val="18"/>
                <w:lang w:val="fr-FR"/>
              </w:rPr>
            </w:pPr>
            <w:r w:rsidRPr="000C7324">
              <w:rPr>
                <w:sz w:val="18"/>
                <w:szCs w:val="18"/>
                <w:lang w:val="fr-FR"/>
              </w:rPr>
              <w:t xml:space="preserve">Ressources pour les </w:t>
            </w:r>
            <w:proofErr w:type="spellStart"/>
            <w:r w:rsidR="00CE0811" w:rsidRPr="000C7324">
              <w:rPr>
                <w:sz w:val="18"/>
                <w:szCs w:val="18"/>
                <w:lang w:val="fr-FR"/>
              </w:rPr>
              <w:t>Conference</w:t>
            </w:r>
            <w:r w:rsidRPr="000C7324">
              <w:rPr>
                <w:sz w:val="18"/>
                <w:szCs w:val="18"/>
                <w:lang w:val="fr-FR"/>
              </w:rPr>
              <w:t>s</w:t>
            </w:r>
            <w:proofErr w:type="spellEnd"/>
            <w:r w:rsidR="00CE0811" w:rsidRPr="000C7324">
              <w:rPr>
                <w:sz w:val="18"/>
                <w:szCs w:val="18"/>
                <w:lang w:val="fr-FR"/>
              </w:rPr>
              <w:t xml:space="preserve"> </w:t>
            </w:r>
          </w:p>
        </w:tc>
        <w:tc>
          <w:tcPr>
            <w:tcW w:w="3420" w:type="dxa"/>
            <w:vAlign w:val="center"/>
          </w:tcPr>
          <w:p w14:paraId="54C9B554" w14:textId="16715BBA" w:rsidR="00CE0811" w:rsidRPr="000C7324" w:rsidRDefault="00CE0811" w:rsidP="00902A56">
            <w:pPr>
              <w:pStyle w:val="SingleTxt"/>
              <w:tabs>
                <w:tab w:val="clear" w:pos="1267"/>
              </w:tabs>
              <w:snapToGrid w:val="0"/>
              <w:spacing w:before="20" w:after="40" w:line="210" w:lineRule="exact"/>
              <w:ind w:left="0" w:right="170"/>
              <w:jc w:val="center"/>
              <w:rPr>
                <w:sz w:val="18"/>
                <w:szCs w:val="18"/>
              </w:rPr>
            </w:pPr>
            <w:r w:rsidRPr="000C7324">
              <w:rPr>
                <w:sz w:val="18"/>
                <w:szCs w:val="18"/>
              </w:rPr>
              <w:t>$ 340,000</w:t>
            </w:r>
          </w:p>
        </w:tc>
      </w:tr>
      <w:tr w:rsidR="00CE0811" w:rsidRPr="000C7324" w14:paraId="6AC97090" w14:textId="77777777" w:rsidTr="00902A56">
        <w:trPr>
          <w:trHeight w:val="602"/>
        </w:trPr>
        <w:tc>
          <w:tcPr>
            <w:tcW w:w="2340" w:type="dxa"/>
            <w:vMerge/>
            <w:shd w:val="pct10" w:color="auto" w:fill="auto"/>
            <w:vAlign w:val="center"/>
          </w:tcPr>
          <w:p w14:paraId="43EF4B19" w14:textId="317CE1C8" w:rsidR="00CE0811" w:rsidRPr="000C7324" w:rsidRDefault="00CE0811" w:rsidP="00902A56">
            <w:pPr>
              <w:pStyle w:val="SingleTxt"/>
              <w:snapToGrid w:val="0"/>
              <w:spacing w:before="20" w:after="40" w:line="210" w:lineRule="exact"/>
              <w:ind w:left="0" w:right="26"/>
              <w:jc w:val="center"/>
              <w:rPr>
                <w:sz w:val="18"/>
                <w:szCs w:val="18"/>
              </w:rPr>
            </w:pPr>
          </w:p>
        </w:tc>
        <w:tc>
          <w:tcPr>
            <w:tcW w:w="1530" w:type="dxa"/>
            <w:shd w:val="pct10" w:color="auto" w:fill="auto"/>
            <w:vAlign w:val="center"/>
          </w:tcPr>
          <w:p w14:paraId="61C3451E" w14:textId="38A2EDCA" w:rsidR="00CE0811" w:rsidRPr="000C7324" w:rsidRDefault="00736BBD" w:rsidP="00902A56">
            <w:pPr>
              <w:pStyle w:val="SingleTxt"/>
              <w:snapToGrid w:val="0"/>
              <w:spacing w:before="20" w:after="40" w:line="210" w:lineRule="exact"/>
              <w:ind w:left="0" w:right="26"/>
              <w:jc w:val="center"/>
              <w:rPr>
                <w:sz w:val="18"/>
                <w:szCs w:val="18"/>
                <w:lang w:val="fr-FR"/>
              </w:rPr>
            </w:pPr>
            <w:r w:rsidRPr="000C7324">
              <w:rPr>
                <w:sz w:val="18"/>
                <w:szCs w:val="18"/>
                <w:lang w:val="fr-FR"/>
              </w:rPr>
              <w:t>R</w:t>
            </w:r>
            <w:r w:rsidR="00CE0811" w:rsidRPr="000C7324">
              <w:rPr>
                <w:sz w:val="18"/>
                <w:szCs w:val="18"/>
                <w:lang w:val="fr-FR"/>
              </w:rPr>
              <w:t>e</w:t>
            </w:r>
            <w:r w:rsidRPr="000C7324">
              <w:rPr>
                <w:sz w:val="18"/>
                <w:szCs w:val="18"/>
                <w:lang w:val="fr-FR"/>
              </w:rPr>
              <w:t>s</w:t>
            </w:r>
            <w:r w:rsidR="00CE0811" w:rsidRPr="000C7324">
              <w:rPr>
                <w:sz w:val="18"/>
                <w:szCs w:val="18"/>
                <w:lang w:val="fr-FR"/>
              </w:rPr>
              <w:t>sources</w:t>
            </w:r>
            <w:r w:rsidRPr="000C7324">
              <w:rPr>
                <w:sz w:val="18"/>
                <w:szCs w:val="18"/>
                <w:lang w:val="fr-FR"/>
              </w:rPr>
              <w:t xml:space="preserve"> pour les documents</w:t>
            </w:r>
          </w:p>
        </w:tc>
        <w:tc>
          <w:tcPr>
            <w:tcW w:w="3420" w:type="dxa"/>
            <w:vAlign w:val="center"/>
          </w:tcPr>
          <w:p w14:paraId="5E1F1DDC" w14:textId="75752669" w:rsidR="00CE0811" w:rsidRPr="000C7324" w:rsidRDefault="00CE0811" w:rsidP="00902A56">
            <w:pPr>
              <w:pStyle w:val="SingleTxt"/>
              <w:snapToGrid w:val="0"/>
              <w:spacing w:before="20" w:after="40" w:line="210" w:lineRule="exact"/>
              <w:ind w:left="0" w:right="170"/>
              <w:jc w:val="center"/>
              <w:rPr>
                <w:sz w:val="18"/>
                <w:szCs w:val="18"/>
              </w:rPr>
            </w:pPr>
            <w:r w:rsidRPr="000C7324">
              <w:rPr>
                <w:sz w:val="18"/>
                <w:szCs w:val="18"/>
              </w:rPr>
              <w:t xml:space="preserve">$ 486,000 </w:t>
            </w:r>
            <w:r w:rsidR="00736BBD" w:rsidRPr="000C7324">
              <w:rPr>
                <w:sz w:val="18"/>
                <w:szCs w:val="18"/>
              </w:rPr>
              <w:t>à</w:t>
            </w:r>
            <w:r w:rsidRPr="000C7324">
              <w:rPr>
                <w:sz w:val="18"/>
                <w:szCs w:val="18"/>
              </w:rPr>
              <w:t xml:space="preserve"> $ 637,394</w:t>
            </w:r>
          </w:p>
        </w:tc>
      </w:tr>
      <w:tr w:rsidR="00CE0811" w:rsidRPr="000C7324" w14:paraId="4B37172A" w14:textId="77777777" w:rsidTr="007A6711">
        <w:trPr>
          <w:trHeight w:val="683"/>
        </w:trPr>
        <w:tc>
          <w:tcPr>
            <w:tcW w:w="2340" w:type="dxa"/>
            <w:vMerge w:val="restart"/>
            <w:shd w:val="pct10" w:color="auto" w:fill="auto"/>
            <w:vAlign w:val="center"/>
          </w:tcPr>
          <w:p w14:paraId="4CF036E1" w14:textId="66C2ED6C" w:rsidR="00CE0811" w:rsidRPr="000C7324" w:rsidRDefault="00CE0811" w:rsidP="00902A56">
            <w:pPr>
              <w:pStyle w:val="SingleTxt"/>
              <w:snapToGrid w:val="0"/>
              <w:spacing w:before="20" w:after="40" w:line="210" w:lineRule="exact"/>
              <w:ind w:left="0" w:right="116"/>
              <w:jc w:val="center"/>
              <w:rPr>
                <w:sz w:val="18"/>
                <w:szCs w:val="18"/>
              </w:rPr>
            </w:pPr>
            <w:r w:rsidRPr="000C7324">
              <w:rPr>
                <w:spacing w:val="2"/>
                <w:w w:val="101"/>
                <w:sz w:val="18"/>
                <w:szCs w:val="18"/>
              </w:rPr>
              <w:lastRenderedPageBreak/>
              <w:t xml:space="preserve">Section 8 </w:t>
            </w:r>
            <w:r w:rsidR="00736BBD" w:rsidRPr="000C7324">
              <w:rPr>
                <w:spacing w:val="2"/>
                <w:w w:val="101"/>
                <w:sz w:val="18"/>
                <w:szCs w:val="18"/>
              </w:rPr>
              <w:t>–</w:t>
            </w:r>
            <w:r w:rsidRPr="000C7324">
              <w:rPr>
                <w:spacing w:val="2"/>
                <w:w w:val="101"/>
                <w:sz w:val="18"/>
                <w:szCs w:val="18"/>
              </w:rPr>
              <w:t xml:space="preserve"> </w:t>
            </w:r>
            <w:r w:rsidR="00736BBD" w:rsidRPr="000C7324">
              <w:rPr>
                <w:spacing w:val="2"/>
                <w:w w:val="101"/>
                <w:sz w:val="18"/>
                <w:szCs w:val="18"/>
              </w:rPr>
              <w:t xml:space="preserve">Affaires </w:t>
            </w:r>
            <w:proofErr w:type="spellStart"/>
            <w:r w:rsidR="00736BBD" w:rsidRPr="000C7324">
              <w:rPr>
                <w:spacing w:val="2"/>
                <w:w w:val="101"/>
                <w:sz w:val="18"/>
                <w:szCs w:val="18"/>
              </w:rPr>
              <w:t>juridiques</w:t>
            </w:r>
            <w:proofErr w:type="spellEnd"/>
          </w:p>
        </w:tc>
        <w:tc>
          <w:tcPr>
            <w:tcW w:w="1530" w:type="dxa"/>
            <w:shd w:val="pct10" w:color="auto" w:fill="auto"/>
            <w:vAlign w:val="center"/>
          </w:tcPr>
          <w:p w14:paraId="7B87B508" w14:textId="5C0B8737" w:rsidR="00CE0811" w:rsidRPr="000C7324" w:rsidRDefault="00736BBD" w:rsidP="00902A56">
            <w:pPr>
              <w:pStyle w:val="SingleTxt"/>
              <w:snapToGrid w:val="0"/>
              <w:spacing w:before="20" w:after="40" w:line="210" w:lineRule="exact"/>
              <w:ind w:left="0" w:right="116"/>
              <w:jc w:val="center"/>
              <w:rPr>
                <w:sz w:val="18"/>
                <w:szCs w:val="18"/>
              </w:rPr>
            </w:pPr>
            <w:proofErr w:type="spellStart"/>
            <w:r w:rsidRPr="000C7324">
              <w:rPr>
                <w:sz w:val="18"/>
                <w:szCs w:val="18"/>
              </w:rPr>
              <w:t>R</w:t>
            </w:r>
            <w:r w:rsidR="00CE0811" w:rsidRPr="000C7324">
              <w:rPr>
                <w:sz w:val="18"/>
                <w:szCs w:val="18"/>
              </w:rPr>
              <w:t>e</w:t>
            </w:r>
            <w:r w:rsidRPr="000C7324">
              <w:rPr>
                <w:sz w:val="18"/>
                <w:szCs w:val="18"/>
              </w:rPr>
              <w:t>s</w:t>
            </w:r>
            <w:r w:rsidR="00CE0811" w:rsidRPr="000C7324">
              <w:rPr>
                <w:sz w:val="18"/>
                <w:szCs w:val="18"/>
              </w:rPr>
              <w:t>sources</w:t>
            </w:r>
            <w:proofErr w:type="spellEnd"/>
            <w:r w:rsidRPr="000C7324">
              <w:rPr>
                <w:sz w:val="18"/>
                <w:szCs w:val="18"/>
              </w:rPr>
              <w:t xml:space="preserve"> </w:t>
            </w:r>
            <w:proofErr w:type="spellStart"/>
            <w:r w:rsidRPr="000C7324">
              <w:rPr>
                <w:sz w:val="18"/>
                <w:szCs w:val="18"/>
              </w:rPr>
              <w:t>humaines</w:t>
            </w:r>
            <w:proofErr w:type="spellEnd"/>
          </w:p>
        </w:tc>
        <w:tc>
          <w:tcPr>
            <w:tcW w:w="3420" w:type="dxa"/>
            <w:vAlign w:val="center"/>
          </w:tcPr>
          <w:p w14:paraId="6D7F6448" w14:textId="510C4B5B" w:rsidR="00CE0811" w:rsidRPr="000C7324" w:rsidRDefault="00CE0811" w:rsidP="00902A56">
            <w:pPr>
              <w:pStyle w:val="SingleTxt"/>
              <w:snapToGrid w:val="0"/>
              <w:spacing w:before="20" w:after="40" w:line="210" w:lineRule="exact"/>
              <w:ind w:left="0" w:right="170"/>
              <w:jc w:val="center"/>
              <w:rPr>
                <w:sz w:val="18"/>
                <w:szCs w:val="18"/>
              </w:rPr>
            </w:pPr>
            <w:r w:rsidRPr="000C7324">
              <w:rPr>
                <w:sz w:val="18"/>
                <w:szCs w:val="18"/>
              </w:rPr>
              <w:t xml:space="preserve">$ 353,400 </w:t>
            </w:r>
            <w:r w:rsidR="00736BBD" w:rsidRPr="000C7324">
              <w:rPr>
                <w:sz w:val="18"/>
                <w:szCs w:val="18"/>
              </w:rPr>
              <w:t>à</w:t>
            </w:r>
            <w:r w:rsidRPr="000C7324">
              <w:rPr>
                <w:sz w:val="18"/>
                <w:szCs w:val="18"/>
              </w:rPr>
              <w:t xml:space="preserve"> $ 410,100</w:t>
            </w:r>
          </w:p>
        </w:tc>
      </w:tr>
      <w:tr w:rsidR="00CE0811" w:rsidRPr="000C7324" w14:paraId="5606A896" w14:textId="77777777" w:rsidTr="007A6711">
        <w:trPr>
          <w:trHeight w:val="530"/>
        </w:trPr>
        <w:tc>
          <w:tcPr>
            <w:tcW w:w="2340" w:type="dxa"/>
            <w:vMerge/>
            <w:shd w:val="pct10" w:color="auto" w:fill="auto"/>
            <w:vAlign w:val="center"/>
          </w:tcPr>
          <w:p w14:paraId="1B808D96" w14:textId="18CA70A5" w:rsidR="00CE0811" w:rsidRPr="000C7324" w:rsidRDefault="00CE0811" w:rsidP="00902A56">
            <w:pPr>
              <w:pStyle w:val="SingleTxt"/>
              <w:snapToGrid w:val="0"/>
              <w:spacing w:before="20" w:after="40" w:line="210" w:lineRule="exact"/>
              <w:ind w:left="0" w:right="21"/>
              <w:jc w:val="center"/>
              <w:rPr>
                <w:sz w:val="18"/>
                <w:szCs w:val="18"/>
              </w:rPr>
            </w:pPr>
          </w:p>
        </w:tc>
        <w:tc>
          <w:tcPr>
            <w:tcW w:w="1530" w:type="dxa"/>
            <w:shd w:val="pct10" w:color="auto" w:fill="auto"/>
            <w:vAlign w:val="center"/>
          </w:tcPr>
          <w:p w14:paraId="158FBDEF" w14:textId="22116151" w:rsidR="00CE0811" w:rsidRPr="000C7324" w:rsidRDefault="00736BBD" w:rsidP="00902A56">
            <w:pPr>
              <w:pStyle w:val="SingleTxt"/>
              <w:snapToGrid w:val="0"/>
              <w:spacing w:before="20" w:after="40" w:line="210" w:lineRule="exact"/>
              <w:ind w:left="0" w:right="21"/>
              <w:jc w:val="center"/>
              <w:rPr>
                <w:sz w:val="18"/>
                <w:szCs w:val="18"/>
              </w:rPr>
            </w:pPr>
            <w:proofErr w:type="spellStart"/>
            <w:r w:rsidRPr="000C7324">
              <w:rPr>
                <w:sz w:val="18"/>
                <w:szCs w:val="18"/>
              </w:rPr>
              <w:t>Autres</w:t>
            </w:r>
            <w:proofErr w:type="spellEnd"/>
          </w:p>
        </w:tc>
        <w:tc>
          <w:tcPr>
            <w:tcW w:w="3420" w:type="dxa"/>
            <w:vAlign w:val="center"/>
          </w:tcPr>
          <w:p w14:paraId="657509D2" w14:textId="75B0AAA7" w:rsidR="00CE0811" w:rsidRPr="000C7324" w:rsidRDefault="00CE0811" w:rsidP="00902A56">
            <w:pPr>
              <w:pStyle w:val="SingleTxt"/>
              <w:snapToGrid w:val="0"/>
              <w:spacing w:before="20" w:after="40" w:line="210" w:lineRule="exact"/>
              <w:ind w:left="0" w:right="170"/>
              <w:jc w:val="center"/>
              <w:rPr>
                <w:sz w:val="18"/>
                <w:szCs w:val="18"/>
              </w:rPr>
            </w:pPr>
            <w:r w:rsidRPr="000C7324">
              <w:rPr>
                <w:sz w:val="18"/>
                <w:szCs w:val="18"/>
              </w:rPr>
              <w:t>$ 31,993</w:t>
            </w:r>
          </w:p>
        </w:tc>
      </w:tr>
      <w:tr w:rsidR="006B5CBD" w:rsidRPr="000C7324" w14:paraId="067FBB77" w14:textId="77777777" w:rsidTr="007A42AF">
        <w:tc>
          <w:tcPr>
            <w:tcW w:w="3870" w:type="dxa"/>
            <w:gridSpan w:val="2"/>
            <w:shd w:val="pct10" w:color="auto" w:fill="auto"/>
            <w:vAlign w:val="center"/>
          </w:tcPr>
          <w:p w14:paraId="57CF6541" w14:textId="21082B91" w:rsidR="006B5CBD" w:rsidRPr="000C7324" w:rsidRDefault="006B5CBD" w:rsidP="00902A56">
            <w:pPr>
              <w:pStyle w:val="SingleTxt"/>
              <w:snapToGrid w:val="0"/>
              <w:spacing w:before="20" w:after="40" w:line="210" w:lineRule="exact"/>
              <w:ind w:left="0" w:right="21"/>
              <w:jc w:val="center"/>
              <w:rPr>
                <w:b/>
                <w:bCs/>
                <w:sz w:val="18"/>
                <w:szCs w:val="18"/>
              </w:rPr>
            </w:pPr>
            <w:r w:rsidRPr="000C7324">
              <w:rPr>
                <w:b/>
                <w:bCs/>
                <w:sz w:val="18"/>
                <w:szCs w:val="18"/>
              </w:rPr>
              <w:t>Total</w:t>
            </w:r>
          </w:p>
        </w:tc>
        <w:tc>
          <w:tcPr>
            <w:tcW w:w="3420" w:type="dxa"/>
            <w:vAlign w:val="center"/>
          </w:tcPr>
          <w:p w14:paraId="39A83ED8" w14:textId="7F3D7F33" w:rsidR="006B5CBD" w:rsidRPr="000C7324" w:rsidRDefault="006B5CBD" w:rsidP="00902A56">
            <w:pPr>
              <w:pStyle w:val="SingleTxt"/>
              <w:snapToGrid w:val="0"/>
              <w:spacing w:before="20" w:after="40" w:line="210" w:lineRule="exact"/>
              <w:ind w:left="0" w:right="170"/>
              <w:jc w:val="center"/>
              <w:rPr>
                <w:b/>
                <w:bCs/>
                <w:sz w:val="18"/>
                <w:szCs w:val="18"/>
              </w:rPr>
            </w:pPr>
            <w:r w:rsidRPr="000C7324">
              <w:rPr>
                <w:b/>
                <w:bCs/>
                <w:sz w:val="18"/>
                <w:szCs w:val="18"/>
              </w:rPr>
              <w:t xml:space="preserve">$ 1,211,393 </w:t>
            </w:r>
            <w:r w:rsidR="00736BBD" w:rsidRPr="000C7324">
              <w:rPr>
                <w:b/>
                <w:bCs/>
                <w:sz w:val="18"/>
                <w:szCs w:val="18"/>
              </w:rPr>
              <w:t>à</w:t>
            </w:r>
            <w:r w:rsidRPr="000C7324">
              <w:rPr>
                <w:b/>
                <w:bCs/>
                <w:sz w:val="18"/>
                <w:szCs w:val="18"/>
              </w:rPr>
              <w:t xml:space="preserve"> $ 1,419,487</w:t>
            </w:r>
          </w:p>
        </w:tc>
      </w:tr>
    </w:tbl>
    <w:p w14:paraId="678B82BD" w14:textId="26FEDD56" w:rsidR="00A3665D" w:rsidRPr="000C7324" w:rsidRDefault="00A3665D" w:rsidP="00902A56">
      <w:pPr>
        <w:pStyle w:val="SingleTxt"/>
        <w:spacing w:after="0" w:line="120" w:lineRule="atLeast"/>
        <w:rPr>
          <w:sz w:val="10"/>
        </w:rPr>
      </w:pPr>
    </w:p>
    <w:p w14:paraId="1A7DFAB2" w14:textId="1FBD05AE" w:rsidR="00EC09A6" w:rsidRPr="000C7324" w:rsidRDefault="00EC09A6" w:rsidP="00902A56">
      <w:pPr>
        <w:pStyle w:val="SingleTxt"/>
        <w:spacing w:after="0" w:line="120" w:lineRule="atLeast"/>
        <w:rPr>
          <w:sz w:val="10"/>
        </w:rPr>
      </w:pPr>
    </w:p>
    <w:p w14:paraId="318FA8B2" w14:textId="5C24FBA8" w:rsidR="0016254C" w:rsidRPr="000C7324" w:rsidRDefault="0016254C">
      <w:pPr>
        <w:suppressAutoHyphens w:val="0"/>
        <w:spacing w:after="200" w:line="276" w:lineRule="auto"/>
        <w:rPr>
          <w:sz w:val="10"/>
        </w:rPr>
      </w:pPr>
      <w:r w:rsidRPr="000C7324">
        <w:rPr>
          <w:sz w:val="10"/>
        </w:rPr>
        <w:br w:type="page"/>
      </w:r>
    </w:p>
    <w:p w14:paraId="1D6F4C3C" w14:textId="77777777" w:rsidR="0016254C" w:rsidRPr="000C7324" w:rsidRDefault="0016254C" w:rsidP="00902A56">
      <w:pPr>
        <w:pStyle w:val="HCh"/>
        <w:keepNext w:val="0"/>
        <w:keepLines w:val="0"/>
        <w:ind w:left="1267" w:right="1260" w:hanging="1267"/>
      </w:pPr>
    </w:p>
    <w:p w14:paraId="6E237B8D" w14:textId="295FDD46" w:rsidR="00A3665D" w:rsidRPr="000C7324" w:rsidRDefault="00A3665D" w:rsidP="00902A56">
      <w:pPr>
        <w:pStyle w:val="HCh"/>
        <w:keepNext w:val="0"/>
        <w:keepLines w:val="0"/>
        <w:ind w:left="1267" w:right="1260" w:hanging="1267"/>
      </w:pPr>
      <w:r w:rsidRPr="000C7324">
        <w:tab/>
      </w:r>
      <w:bookmarkStart w:id="11" w:name="_Toc39607761"/>
      <w:r w:rsidR="00902A56" w:rsidRPr="000C7324">
        <w:t>IV</w:t>
      </w:r>
      <w:r w:rsidRPr="000C7324">
        <w:t>.</w:t>
      </w:r>
      <w:r w:rsidRPr="000C7324">
        <w:tab/>
      </w:r>
      <w:r w:rsidR="00385425" w:rsidRPr="000C7324">
        <w:t>R</w:t>
      </w:r>
      <w:r w:rsidRPr="000C7324">
        <w:t>emar</w:t>
      </w:r>
      <w:r w:rsidR="00385425" w:rsidRPr="000C7324">
        <w:t>que</w:t>
      </w:r>
      <w:r w:rsidRPr="000C7324">
        <w:t>s</w:t>
      </w:r>
      <w:bookmarkEnd w:id="11"/>
      <w:r w:rsidR="00385425" w:rsidRPr="000C7324">
        <w:t xml:space="preserve"> en conclusion</w:t>
      </w:r>
    </w:p>
    <w:p w14:paraId="65F92157" w14:textId="2180FCB2" w:rsidR="00EC09A6" w:rsidRPr="000C7324" w:rsidRDefault="00EC09A6" w:rsidP="00902A56">
      <w:pPr>
        <w:pStyle w:val="SingleTxt"/>
        <w:spacing w:after="0" w:line="120" w:lineRule="atLeast"/>
        <w:rPr>
          <w:sz w:val="10"/>
        </w:rPr>
      </w:pPr>
    </w:p>
    <w:p w14:paraId="2E4970A4" w14:textId="7F407550" w:rsidR="00385425" w:rsidRPr="000C7324" w:rsidRDefault="00385425" w:rsidP="00DE0C47">
      <w:pPr>
        <w:keepNext/>
        <w:keepLines/>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fr-FR"/>
        </w:rPr>
      </w:pPr>
      <w:r w:rsidRPr="000C7324">
        <w:rPr>
          <w:lang w:val="fr-FR"/>
        </w:rPr>
        <w:t xml:space="preserve">Comme indiqué </w:t>
      </w:r>
      <w:r w:rsidR="00736BBD" w:rsidRPr="000C7324">
        <w:rPr>
          <w:lang w:val="fr-FR"/>
        </w:rPr>
        <w:t xml:space="preserve">en </w:t>
      </w:r>
      <w:r w:rsidRPr="000C7324">
        <w:rPr>
          <w:lang w:val="fr-FR"/>
        </w:rPr>
        <w:t xml:space="preserve">introduction, l'objectif de cette note est de fournir au Groupe de travail des informations sur les ressources nécessaires pour </w:t>
      </w:r>
      <w:r w:rsidR="00736BBD" w:rsidRPr="000C7324">
        <w:rPr>
          <w:lang w:val="fr-FR"/>
        </w:rPr>
        <w:t>la mise</w:t>
      </w:r>
      <w:r w:rsidRPr="000C7324">
        <w:rPr>
          <w:lang w:val="fr-FR"/>
        </w:rPr>
        <w:t xml:space="preserve"> en œuvre </w:t>
      </w:r>
      <w:r w:rsidR="00736BBD" w:rsidRPr="000C7324">
        <w:rPr>
          <w:lang w:val="fr-FR"/>
        </w:rPr>
        <w:t>du</w:t>
      </w:r>
      <w:r w:rsidRPr="000C7324">
        <w:rPr>
          <w:lang w:val="fr-FR"/>
        </w:rPr>
        <w:t xml:space="preserve"> projet RDIE. Après avoir examiné le plan de travail et de ressources, il souhaitera peut-être déterminer s’il convient de demander à la Commission de recommander à l’Assemblée générale que des ressources supplémentaires de conférence et de soutien soient allouées au Secrétariat pour faire avancer et terminer le projet RDIE </w:t>
      </w:r>
      <w:r w:rsidR="00736BBD" w:rsidRPr="000C7324">
        <w:rPr>
          <w:lang w:val="fr-FR"/>
        </w:rPr>
        <w:t>sur</w:t>
      </w:r>
      <w:r w:rsidRPr="000C7324">
        <w:rPr>
          <w:lang w:val="fr-FR"/>
        </w:rPr>
        <w:t xml:space="preserve"> une période de 3 ans. Compte tenu de la situation budgétaire de l’Organisation des Nations Unies, il sera difficile d’obtenir des ressources supplémentaires au titre du budget ordinaire lorsque le budget global fait l’objet d’un examen approfondi (A / CN.9/970, par. 49). Par conséquent, il serait important que le Groupe de travail et la Commission soulignent l’importance des réformes du RDIE et la nécessité d’obtenir des résultats dans les délais fixés dans sa recommandation à l’Assemblée générale.</w:t>
      </w:r>
    </w:p>
    <w:p w14:paraId="7A8D0094" w14:textId="77777777" w:rsidR="00A3665D" w:rsidRPr="000C7324" w:rsidRDefault="00A3665D" w:rsidP="008E2513">
      <w:pPr>
        <w:pStyle w:val="SingleTxt"/>
        <w:keepNext/>
        <w:keepLines/>
        <w:rPr>
          <w:lang w:val="fr-FR"/>
        </w:rPr>
      </w:pPr>
    </w:p>
    <w:p w14:paraId="62B306BB" w14:textId="77777777" w:rsidR="002430C5" w:rsidRPr="000C7324" w:rsidRDefault="002430C5" w:rsidP="008E2513">
      <w:pPr>
        <w:pStyle w:val="SingleTxt"/>
        <w:keepNext/>
        <w:keepLines/>
        <w:rPr>
          <w:lang w:val="fr-FR"/>
        </w:rPr>
      </w:pPr>
    </w:p>
    <w:p w14:paraId="058B756B" w14:textId="77777777" w:rsidR="00252269" w:rsidRPr="000C7324" w:rsidRDefault="00252269" w:rsidP="008E2513">
      <w:pPr>
        <w:pStyle w:val="SingleTxt"/>
        <w:keepNext/>
        <w:keepLines/>
        <w:rPr>
          <w:lang w:val="fr-FR"/>
        </w:rPr>
      </w:pPr>
    </w:p>
    <w:sectPr w:rsidR="00252269" w:rsidRPr="000C7324" w:rsidSect="006F67F9">
      <w:endnotePr>
        <w:numFmt w:val="decimal"/>
      </w:endnotePr>
      <w:pgSz w:w="11909" w:h="16834"/>
      <w:pgMar w:top="1440" w:right="1032" w:bottom="1151" w:left="103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B957F" w14:textId="77777777" w:rsidR="00E11424" w:rsidRDefault="00E11424" w:rsidP="00556720">
      <w:r>
        <w:separator/>
      </w:r>
    </w:p>
  </w:endnote>
  <w:endnote w:type="continuationSeparator" w:id="0">
    <w:p w14:paraId="5E1C3435" w14:textId="77777777" w:rsidR="00E11424" w:rsidRDefault="00E11424"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jc w:val="center"/>
      <w:tblLayout w:type="fixed"/>
      <w:tblLook w:val="0000" w:firstRow="0" w:lastRow="0" w:firstColumn="0" w:lastColumn="0" w:noHBand="0" w:noVBand="0"/>
    </w:tblPr>
    <w:tblGrid>
      <w:gridCol w:w="4922"/>
      <w:gridCol w:w="4923"/>
    </w:tblGrid>
    <w:tr w:rsidR="00DE0C47" w14:paraId="5FE60056" w14:textId="77777777" w:rsidTr="00252269">
      <w:trPr>
        <w:jc w:val="center"/>
      </w:trPr>
      <w:tc>
        <w:tcPr>
          <w:tcW w:w="4922" w:type="dxa"/>
          <w:shd w:val="clear" w:color="auto" w:fill="auto"/>
        </w:tcPr>
        <w:p w14:paraId="76ACD351" w14:textId="3F470F37" w:rsidR="00DE0C47" w:rsidRPr="00252269" w:rsidRDefault="00DE0C47" w:rsidP="00252269">
          <w:pPr>
            <w:pStyle w:val="Footer"/>
            <w:jc w:val="right"/>
            <w:rPr>
              <w:b w:val="0"/>
              <w:w w:val="103"/>
              <w:sz w:val="14"/>
            </w:rPr>
          </w:pPr>
        </w:p>
      </w:tc>
      <w:tc>
        <w:tcPr>
          <w:tcW w:w="4923" w:type="dxa"/>
          <w:shd w:val="clear" w:color="auto" w:fill="auto"/>
        </w:tcPr>
        <w:p w14:paraId="5F33C3A8" w14:textId="737097EC" w:rsidR="00DE0C47" w:rsidRPr="00252269" w:rsidRDefault="00DE0C47" w:rsidP="00252269">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10</w:t>
          </w:r>
          <w:r>
            <w:rPr>
              <w:w w:val="103"/>
            </w:rPr>
            <w:fldChar w:fldCharType="end"/>
          </w:r>
        </w:p>
      </w:tc>
    </w:tr>
  </w:tbl>
  <w:p w14:paraId="15A7CA32" w14:textId="77777777" w:rsidR="00DE0C47" w:rsidRPr="00252269" w:rsidRDefault="00DE0C47" w:rsidP="00252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jc w:val="center"/>
      <w:tblLayout w:type="fixed"/>
      <w:tblLook w:val="0000" w:firstRow="0" w:lastRow="0" w:firstColumn="0" w:lastColumn="0" w:noHBand="0" w:noVBand="0"/>
    </w:tblPr>
    <w:tblGrid>
      <w:gridCol w:w="4922"/>
      <w:gridCol w:w="4923"/>
    </w:tblGrid>
    <w:tr w:rsidR="00DE0C47" w14:paraId="786C596A" w14:textId="77777777" w:rsidTr="00252269">
      <w:trPr>
        <w:jc w:val="center"/>
      </w:trPr>
      <w:tc>
        <w:tcPr>
          <w:tcW w:w="4922" w:type="dxa"/>
          <w:shd w:val="clear" w:color="auto" w:fill="auto"/>
        </w:tcPr>
        <w:p w14:paraId="0AEDE63B" w14:textId="6A6F4ED3" w:rsidR="00DE0C47" w:rsidRPr="00252269" w:rsidRDefault="00DE0C47" w:rsidP="00252269">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10</w:t>
          </w:r>
          <w:r>
            <w:rPr>
              <w:w w:val="103"/>
            </w:rPr>
            <w:fldChar w:fldCharType="end"/>
          </w:r>
        </w:p>
      </w:tc>
      <w:tc>
        <w:tcPr>
          <w:tcW w:w="4923" w:type="dxa"/>
          <w:shd w:val="clear" w:color="auto" w:fill="auto"/>
        </w:tcPr>
        <w:p w14:paraId="63A6287E" w14:textId="711BB132" w:rsidR="00DE0C47" w:rsidRPr="00252269" w:rsidRDefault="00DE0C47" w:rsidP="0025226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end"/>
          </w:r>
        </w:p>
      </w:tc>
    </w:tr>
  </w:tbl>
  <w:p w14:paraId="6FAF2A12" w14:textId="77777777" w:rsidR="00DE0C47" w:rsidRPr="00252269" w:rsidRDefault="00DE0C47" w:rsidP="00252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768A8" w14:textId="77777777" w:rsidR="00E11424" w:rsidRPr="0063595F" w:rsidRDefault="00E11424" w:rsidP="0063595F">
      <w:pPr>
        <w:pStyle w:val="Footer"/>
        <w:spacing w:after="80"/>
        <w:ind w:left="792"/>
        <w:rPr>
          <w:sz w:val="16"/>
        </w:rPr>
      </w:pPr>
      <w:r w:rsidRPr="0063595F">
        <w:rPr>
          <w:sz w:val="16"/>
        </w:rPr>
        <w:t>__________________</w:t>
      </w:r>
    </w:p>
  </w:footnote>
  <w:footnote w:type="continuationSeparator" w:id="0">
    <w:p w14:paraId="2F7B9977" w14:textId="77777777" w:rsidR="00E11424" w:rsidRPr="0063595F" w:rsidRDefault="00E11424" w:rsidP="0063595F">
      <w:pPr>
        <w:pStyle w:val="Footer"/>
        <w:spacing w:after="80"/>
        <w:ind w:left="792"/>
        <w:rPr>
          <w:sz w:val="16"/>
        </w:rPr>
      </w:pPr>
      <w:r w:rsidRPr="0063595F">
        <w:rPr>
          <w:sz w:val="16"/>
        </w:rPr>
        <w:t>__________________</w:t>
      </w:r>
    </w:p>
  </w:footnote>
  <w:footnote w:id="1">
    <w:p w14:paraId="2D8B72E0" w14:textId="616088CE" w:rsidR="00DE0C47" w:rsidRPr="000C7324" w:rsidRDefault="00DE0C47" w:rsidP="005973A3">
      <w:pPr>
        <w:pStyle w:val="FootnoteText"/>
        <w:widowControl/>
        <w:tabs>
          <w:tab w:val="clear" w:pos="418"/>
          <w:tab w:val="right" w:pos="1195"/>
          <w:tab w:val="left" w:pos="1267"/>
          <w:tab w:val="left" w:pos="1742"/>
          <w:tab w:val="left" w:pos="2218"/>
          <w:tab w:val="left" w:pos="2693"/>
        </w:tabs>
        <w:ind w:left="1264" w:right="1259" w:hanging="431"/>
        <w:jc w:val="both"/>
        <w:rPr>
          <w:szCs w:val="17"/>
          <w:lang w:val="fr-FR"/>
        </w:rPr>
      </w:pPr>
      <w:r w:rsidRPr="000C7324">
        <w:rPr>
          <w:i/>
          <w:iCs/>
          <w:szCs w:val="17"/>
        </w:rPr>
        <w:tab/>
      </w:r>
      <w:r w:rsidRPr="000C7324">
        <w:rPr>
          <w:rStyle w:val="FootnoteReference"/>
          <w:szCs w:val="17"/>
        </w:rPr>
        <w:footnoteRef/>
      </w:r>
      <w:r w:rsidRPr="000C7324">
        <w:rPr>
          <w:i/>
          <w:iCs/>
          <w:szCs w:val="17"/>
          <w:lang w:val="fr-FR"/>
        </w:rPr>
        <w:tab/>
      </w:r>
      <w:r w:rsidRPr="000C7324">
        <w:rPr>
          <w:i/>
          <w:iCs/>
          <w:lang w:val="fr-FR"/>
        </w:rPr>
        <w:t>Documents officiels de l’Assemblée générale, soixante-douzième session, Supplément n</w:t>
      </w:r>
      <w:r w:rsidRPr="000C7324">
        <w:rPr>
          <w:i/>
          <w:iCs/>
          <w:vertAlign w:val="superscript"/>
          <w:lang w:val="fr-FR"/>
        </w:rPr>
        <w:t>o</w:t>
      </w:r>
      <w:r w:rsidRPr="000C7324">
        <w:rPr>
          <w:i/>
          <w:iCs/>
          <w:lang w:val="fr-FR"/>
        </w:rPr>
        <w:t xml:space="preserve"> 17</w:t>
      </w:r>
      <w:r w:rsidRPr="000C7324">
        <w:rPr>
          <w:lang w:val="fr-FR"/>
        </w:rPr>
        <w:t xml:space="preserve"> (</w:t>
      </w:r>
      <w:hyperlink r:id="rId1" w:history="1">
        <w:r w:rsidRPr="000C7324">
          <w:rPr>
            <w:rStyle w:val="Hyperlink"/>
            <w:lang w:val="fr-FR"/>
          </w:rPr>
          <w:t>A/72/17</w:t>
        </w:r>
      </w:hyperlink>
      <w:r w:rsidRPr="000C7324">
        <w:rPr>
          <w:lang w:val="fr-FR"/>
        </w:rPr>
        <w:t xml:space="preserve">), par. </w:t>
      </w:r>
      <w:r w:rsidRPr="000C7324">
        <w:rPr>
          <w:szCs w:val="17"/>
          <w:lang w:val="fr-FR"/>
        </w:rPr>
        <w:t>102-118.</w:t>
      </w:r>
    </w:p>
  </w:footnote>
  <w:footnote w:id="2">
    <w:p w14:paraId="0C440BD5" w14:textId="672FEE0C" w:rsidR="00DE0C47" w:rsidRPr="000C7324" w:rsidRDefault="00DE0C47" w:rsidP="005973A3">
      <w:pPr>
        <w:pStyle w:val="FootnoteText"/>
        <w:widowControl/>
        <w:tabs>
          <w:tab w:val="clear" w:pos="418"/>
          <w:tab w:val="right" w:pos="1195"/>
          <w:tab w:val="left" w:pos="1267"/>
          <w:tab w:val="left" w:pos="1742"/>
          <w:tab w:val="left" w:pos="2218"/>
          <w:tab w:val="left" w:pos="2693"/>
        </w:tabs>
        <w:ind w:left="1264" w:right="1259" w:hanging="431"/>
        <w:jc w:val="both"/>
        <w:rPr>
          <w:szCs w:val="17"/>
          <w:lang w:val="fr-FR"/>
        </w:rPr>
      </w:pPr>
      <w:r w:rsidRPr="000C7324">
        <w:rPr>
          <w:i/>
          <w:iCs/>
          <w:szCs w:val="17"/>
          <w:lang w:val="fr-FR"/>
        </w:rPr>
        <w:tab/>
      </w:r>
      <w:r w:rsidRPr="000C7324">
        <w:rPr>
          <w:rStyle w:val="FootnoteReference"/>
          <w:szCs w:val="17"/>
        </w:rPr>
        <w:footnoteRef/>
      </w:r>
      <w:r w:rsidRPr="000C7324">
        <w:rPr>
          <w:i/>
          <w:iCs/>
          <w:szCs w:val="17"/>
          <w:lang w:val="fr-FR"/>
        </w:rPr>
        <w:tab/>
        <w:t>Ibid.,</w:t>
      </w:r>
      <w:r w:rsidRPr="000C7324">
        <w:rPr>
          <w:szCs w:val="17"/>
          <w:lang w:val="fr-FR"/>
        </w:rPr>
        <w:t xml:space="preserve"> par. 119.</w:t>
      </w:r>
    </w:p>
  </w:footnote>
  <w:footnote w:id="3">
    <w:p w14:paraId="305EBEE3" w14:textId="18A15CD4" w:rsidR="00DE0C47" w:rsidRPr="000C7324" w:rsidRDefault="00DE0C47" w:rsidP="00385425">
      <w:pPr>
        <w:pStyle w:val="SingleTxt"/>
        <w:tabs>
          <w:tab w:val="clear" w:pos="3182"/>
          <w:tab w:val="clear" w:pos="3658"/>
          <w:tab w:val="clear" w:pos="4133"/>
          <w:tab w:val="clear" w:pos="4622"/>
          <w:tab w:val="clear" w:pos="5098"/>
          <w:tab w:val="clear" w:pos="5573"/>
          <w:tab w:val="clear" w:pos="6048"/>
          <w:tab w:val="right" w:pos="1195"/>
        </w:tabs>
        <w:snapToGrid w:val="0"/>
        <w:spacing w:after="0" w:line="210" w:lineRule="exact"/>
        <w:ind w:right="1259" w:hanging="431"/>
        <w:rPr>
          <w:spacing w:val="5"/>
          <w:sz w:val="17"/>
          <w:szCs w:val="17"/>
          <w:lang w:val="fr-FR"/>
        </w:rPr>
      </w:pPr>
      <w:r w:rsidRPr="000C7324">
        <w:rPr>
          <w:spacing w:val="5"/>
          <w:sz w:val="17"/>
          <w:szCs w:val="17"/>
          <w:lang w:val="fr-FR"/>
        </w:rPr>
        <w:tab/>
      </w:r>
      <w:r w:rsidRPr="000C7324">
        <w:rPr>
          <w:rStyle w:val="FootnoteReference"/>
          <w:sz w:val="17"/>
          <w:szCs w:val="17"/>
        </w:rPr>
        <w:footnoteRef/>
      </w:r>
      <w:r w:rsidRPr="000C7324">
        <w:rPr>
          <w:spacing w:val="5"/>
          <w:sz w:val="17"/>
          <w:szCs w:val="17"/>
          <w:lang w:val="fr-FR"/>
        </w:rPr>
        <w:tab/>
        <w:t xml:space="preserve">Dans le cadre du programme actuel de réunions, le Groupe de travail III se réunit deux fois par an pour une session d’une semaine, quatre jours consacrés à un débat de fond et un jour à l’adoption du rapport. Le </w:t>
      </w:r>
      <w:r w:rsidR="00C87527" w:rsidRPr="000C7324">
        <w:rPr>
          <w:spacing w:val="5"/>
          <w:sz w:val="17"/>
          <w:szCs w:val="17"/>
          <w:lang w:val="fr-FR"/>
        </w:rPr>
        <w:t>G</w:t>
      </w:r>
      <w:r w:rsidRPr="000C7324">
        <w:rPr>
          <w:spacing w:val="5"/>
          <w:sz w:val="17"/>
          <w:szCs w:val="17"/>
          <w:lang w:val="fr-FR"/>
        </w:rPr>
        <w:t>roupe de travail devrait tenir des délibérations de fond au cours des neuf premières réunions d'une demi-journée (c'est-à-dire du lundi au vendredi matin), un projet de rapport sur l'ensemble de la période étant préparé par le Secrétariat pour adoption à la dixième et dernière réunion du Groupe de travail (vendredi après-midi) (</w:t>
      </w:r>
      <w:r w:rsidR="00C87527" w:rsidRPr="000C7324">
        <w:rPr>
          <w:spacing w:val="5"/>
          <w:sz w:val="17"/>
          <w:szCs w:val="17"/>
          <w:lang w:val="fr-FR"/>
        </w:rPr>
        <w:t>v</w:t>
      </w:r>
      <w:r w:rsidRPr="000C7324">
        <w:rPr>
          <w:spacing w:val="5"/>
          <w:sz w:val="17"/>
          <w:szCs w:val="17"/>
          <w:lang w:val="fr-FR"/>
        </w:rPr>
        <w:t xml:space="preserve">oir Documents officiels de l’Assemblée générale, cinquante-sixième session, Supplément no 17 et rectificatif (A/56/17), par. 381). Toutefois, compte tenu du temps nécessaire pour adopter les rapports du Groupe de travail III, la pratique est qu’une journée entière serait consacrée à cette fin. </w:t>
      </w:r>
    </w:p>
  </w:footnote>
  <w:footnote w:id="4">
    <w:p w14:paraId="0C7D0922" w14:textId="097B3D4B" w:rsidR="00DE0C47" w:rsidRPr="000C7324" w:rsidRDefault="00DE0C47" w:rsidP="002269F0">
      <w:pPr>
        <w:pStyle w:val="FootnoteText"/>
        <w:widowControl/>
        <w:tabs>
          <w:tab w:val="clear" w:pos="418"/>
          <w:tab w:val="right" w:pos="1195"/>
          <w:tab w:val="left" w:pos="1267"/>
          <w:tab w:val="left" w:pos="1742"/>
          <w:tab w:val="left" w:pos="2218"/>
          <w:tab w:val="left" w:pos="2693"/>
        </w:tabs>
        <w:ind w:left="1264" w:right="1259" w:hanging="431"/>
        <w:jc w:val="both"/>
        <w:rPr>
          <w:rFonts w:eastAsia="Malgun Gothic"/>
          <w:szCs w:val="17"/>
          <w:lang w:val="fr-FR" w:eastAsia="ko-KR"/>
        </w:rPr>
      </w:pPr>
      <w:r w:rsidRPr="000C7324">
        <w:rPr>
          <w:szCs w:val="17"/>
          <w:lang w:val="fr-FR"/>
        </w:rPr>
        <w:tab/>
      </w:r>
      <w:r w:rsidRPr="000C7324">
        <w:rPr>
          <w:rStyle w:val="FootnoteReference"/>
          <w:szCs w:val="17"/>
        </w:rPr>
        <w:footnoteRef/>
      </w:r>
      <w:r w:rsidRPr="000C7324">
        <w:rPr>
          <w:szCs w:val="17"/>
          <w:lang w:val="fr-FR"/>
        </w:rPr>
        <w:tab/>
        <w:t xml:space="preserve">Résolution de l’Assemblée générale </w:t>
      </w:r>
      <w:hyperlink r:id="rId2" w:history="1">
        <w:r w:rsidRPr="000C7324">
          <w:rPr>
            <w:rStyle w:val="Hyperlink"/>
            <w:szCs w:val="17"/>
            <w:lang w:val="fr-FR"/>
          </w:rPr>
          <w:t>61/31</w:t>
        </w:r>
      </w:hyperlink>
      <w:r w:rsidRPr="000C7324">
        <w:rPr>
          <w:szCs w:val="17"/>
          <w:lang w:val="fr-FR"/>
        </w:rPr>
        <w:t xml:space="preserve"> (2006), par. 9.</w:t>
      </w:r>
    </w:p>
  </w:footnote>
  <w:footnote w:id="5">
    <w:p w14:paraId="341666BB" w14:textId="451B52DB" w:rsidR="00DE0C47" w:rsidRPr="000C7324" w:rsidRDefault="00DE0C47" w:rsidP="00395407">
      <w:pPr>
        <w:pStyle w:val="FootnoteText"/>
        <w:widowControl/>
        <w:tabs>
          <w:tab w:val="clear" w:pos="418"/>
          <w:tab w:val="right" w:pos="1195"/>
          <w:tab w:val="left" w:pos="1267"/>
          <w:tab w:val="left" w:pos="1742"/>
          <w:tab w:val="left" w:pos="2218"/>
          <w:tab w:val="left" w:pos="2693"/>
        </w:tabs>
        <w:ind w:left="1264" w:right="1259" w:hanging="431"/>
        <w:jc w:val="both"/>
        <w:rPr>
          <w:szCs w:val="17"/>
          <w:lang w:val="fr-FR"/>
        </w:rPr>
      </w:pPr>
      <w:r w:rsidRPr="000C7324">
        <w:rPr>
          <w:szCs w:val="17"/>
          <w:lang w:val="fr-FR"/>
        </w:rPr>
        <w:tab/>
      </w:r>
      <w:r w:rsidRPr="000C7324">
        <w:rPr>
          <w:rStyle w:val="FootnoteReference"/>
          <w:szCs w:val="17"/>
        </w:rPr>
        <w:footnoteRef/>
      </w:r>
      <w:r w:rsidRPr="000C7324">
        <w:rPr>
          <w:szCs w:val="17"/>
          <w:lang w:val="fr-FR"/>
        </w:rPr>
        <w:tab/>
        <w:t xml:space="preserve">Les délibérations et les décisions du Groupe de travail lors de ses trente-quatrième à trente-septième sessions se trouvent reflétées dans les documents </w:t>
      </w:r>
      <w:hyperlink r:id="rId3" w:history="1">
        <w:r w:rsidRPr="000C7324">
          <w:rPr>
            <w:rStyle w:val="Hyperlink"/>
            <w:szCs w:val="17"/>
            <w:lang w:val="fr-FR"/>
          </w:rPr>
          <w:t>A/CN.9/930/Rev.1</w:t>
        </w:r>
      </w:hyperlink>
      <w:r w:rsidRPr="000C7324">
        <w:rPr>
          <w:szCs w:val="17"/>
          <w:lang w:val="fr-FR"/>
        </w:rPr>
        <w:t xml:space="preserve">, A/CN.9/930/Rev.1/Add.1; </w:t>
      </w:r>
      <w:hyperlink r:id="rId4" w:history="1">
        <w:r w:rsidRPr="000C7324">
          <w:rPr>
            <w:rStyle w:val="Hyperlink"/>
            <w:szCs w:val="17"/>
            <w:lang w:val="fr-FR"/>
          </w:rPr>
          <w:t>A/CN.9/935</w:t>
        </w:r>
      </w:hyperlink>
      <w:r w:rsidRPr="000C7324">
        <w:rPr>
          <w:rStyle w:val="Hyperlink"/>
          <w:szCs w:val="17"/>
          <w:lang w:val="fr-FR"/>
        </w:rPr>
        <w:t>;</w:t>
      </w:r>
      <w:r w:rsidRPr="000C7324">
        <w:rPr>
          <w:szCs w:val="17"/>
          <w:lang w:val="fr-FR"/>
        </w:rPr>
        <w:t xml:space="preserve"> </w:t>
      </w:r>
      <w:hyperlink r:id="rId5" w:history="1">
        <w:r w:rsidRPr="000C7324">
          <w:rPr>
            <w:rStyle w:val="Hyperlink"/>
            <w:szCs w:val="17"/>
            <w:lang w:val="fr-FR"/>
          </w:rPr>
          <w:t>A/CN.9/964</w:t>
        </w:r>
      </w:hyperlink>
      <w:r w:rsidRPr="000C7324">
        <w:rPr>
          <w:rStyle w:val="Hyperlink"/>
          <w:color w:val="auto"/>
          <w:szCs w:val="17"/>
          <w:lang w:val="fr-FR"/>
        </w:rPr>
        <w:t xml:space="preserve">; et </w:t>
      </w:r>
      <w:hyperlink r:id="rId6" w:history="1">
        <w:r w:rsidRPr="000C7324">
          <w:rPr>
            <w:rStyle w:val="Hyperlink"/>
            <w:szCs w:val="17"/>
            <w:lang w:val="fr-FR"/>
          </w:rPr>
          <w:t>A/CN.9/970</w:t>
        </w:r>
      </w:hyperlink>
      <w:r w:rsidRPr="000C7324">
        <w:rPr>
          <w:szCs w:val="17"/>
          <w:lang w:val="fr-FR"/>
        </w:rPr>
        <w:t>,</w:t>
      </w:r>
      <w:r w:rsidRPr="000C7324">
        <w:rPr>
          <w:rStyle w:val="Hyperlink"/>
          <w:szCs w:val="17"/>
          <w:lang w:val="fr-FR"/>
        </w:rPr>
        <w:t xml:space="preserve"> </w:t>
      </w:r>
      <w:r w:rsidRPr="000C7324">
        <w:rPr>
          <w:rStyle w:val="Hyperlink"/>
          <w:color w:val="auto"/>
          <w:szCs w:val="17"/>
          <w:lang w:val="fr-FR"/>
        </w:rPr>
        <w:t>respectivement</w:t>
      </w:r>
      <w:r w:rsidRPr="000C7324">
        <w:rPr>
          <w:szCs w:val="17"/>
          <w:lang w:val="fr-FR"/>
        </w:rPr>
        <w:t>.</w:t>
      </w:r>
    </w:p>
  </w:footnote>
  <w:footnote w:id="6">
    <w:p w14:paraId="744AEE71" w14:textId="08A580B0" w:rsidR="00DE0C47" w:rsidRPr="000C7324" w:rsidRDefault="00DE0C47" w:rsidP="00395407">
      <w:pPr>
        <w:pStyle w:val="FootnoteText"/>
        <w:widowControl/>
        <w:tabs>
          <w:tab w:val="clear" w:pos="418"/>
          <w:tab w:val="right" w:pos="1195"/>
          <w:tab w:val="left" w:pos="1267"/>
          <w:tab w:val="left" w:pos="1742"/>
          <w:tab w:val="left" w:pos="2218"/>
          <w:tab w:val="left" w:pos="2693"/>
        </w:tabs>
        <w:ind w:left="1264" w:right="1259" w:hanging="431"/>
        <w:jc w:val="both"/>
        <w:rPr>
          <w:szCs w:val="17"/>
          <w:lang w:val="fr-FR"/>
        </w:rPr>
      </w:pPr>
      <w:r w:rsidRPr="000C7324">
        <w:rPr>
          <w:szCs w:val="17"/>
          <w:lang w:val="fr-FR"/>
        </w:rPr>
        <w:tab/>
      </w:r>
      <w:r w:rsidRPr="000C7324">
        <w:rPr>
          <w:rStyle w:val="FootnoteReference"/>
          <w:szCs w:val="17"/>
        </w:rPr>
        <w:footnoteRef/>
      </w:r>
      <w:r w:rsidRPr="000C7324">
        <w:rPr>
          <w:szCs w:val="17"/>
          <w:lang w:val="fr-FR"/>
        </w:rPr>
        <w:tab/>
        <w:t xml:space="preserve">Les délibérations et les décisions du Groupe de travail lors de ses trente-huitième et trente-neuvième sessions se trouvent reflétées dans les documents </w:t>
      </w:r>
      <w:hyperlink r:id="rId7" w:history="1">
        <w:r w:rsidRPr="000C7324">
          <w:rPr>
            <w:rStyle w:val="Hyperlink"/>
            <w:szCs w:val="17"/>
            <w:lang w:val="fr-FR"/>
          </w:rPr>
          <w:t>A/CN.9/1004</w:t>
        </w:r>
      </w:hyperlink>
      <w:r w:rsidRPr="000C7324">
        <w:rPr>
          <w:rStyle w:val="Hyperlink"/>
          <w:color w:val="auto"/>
          <w:szCs w:val="17"/>
          <w:vertAlign w:val="superscript"/>
          <w:lang w:val="fr-FR"/>
        </w:rPr>
        <w:t>*</w:t>
      </w:r>
      <w:r w:rsidRPr="000C7324">
        <w:rPr>
          <w:szCs w:val="17"/>
          <w:lang w:val="fr-FR"/>
        </w:rPr>
        <w:t xml:space="preserve">; </w:t>
      </w:r>
      <w:hyperlink r:id="rId8" w:history="1">
        <w:r w:rsidRPr="000C7324">
          <w:rPr>
            <w:rStyle w:val="Hyperlink"/>
            <w:szCs w:val="17"/>
            <w:lang w:val="fr-FR"/>
          </w:rPr>
          <w:t>A/CN.9/1004/Add.1</w:t>
        </w:r>
      </w:hyperlink>
      <w:r w:rsidRPr="000C7324">
        <w:rPr>
          <w:rStyle w:val="Hyperlink"/>
          <w:szCs w:val="17"/>
          <w:lang w:val="fr-FR"/>
        </w:rPr>
        <w:t xml:space="preserve"> </w:t>
      </w:r>
      <w:r w:rsidRPr="000C7324">
        <w:rPr>
          <w:rStyle w:val="Hyperlink"/>
          <w:color w:val="auto"/>
          <w:szCs w:val="17"/>
          <w:lang w:val="fr-FR"/>
        </w:rPr>
        <w:t>and</w:t>
      </w:r>
      <w:r w:rsidRPr="000C7324">
        <w:rPr>
          <w:lang w:val="fr-FR"/>
        </w:rPr>
        <w:t xml:space="preserve"> A/CN.9/1044</w:t>
      </w:r>
      <w:r w:rsidRPr="000C7324">
        <w:rPr>
          <w:szCs w:val="17"/>
          <w:lang w:val="fr-FR"/>
        </w:rPr>
        <w:t>,</w:t>
      </w:r>
      <w:r w:rsidRPr="000C7324">
        <w:rPr>
          <w:rStyle w:val="Hyperlink"/>
          <w:szCs w:val="17"/>
          <w:lang w:val="fr-FR"/>
        </w:rPr>
        <w:t xml:space="preserve"> </w:t>
      </w:r>
      <w:r w:rsidRPr="000C7324">
        <w:rPr>
          <w:rStyle w:val="Hyperlink"/>
          <w:color w:val="auto"/>
          <w:szCs w:val="17"/>
          <w:lang w:val="fr-FR"/>
        </w:rPr>
        <w:t>respectivement</w:t>
      </w:r>
      <w:r w:rsidRPr="000C7324">
        <w:rPr>
          <w:szCs w:val="17"/>
          <w:lang w:val="fr-FR"/>
        </w:rPr>
        <w:t>.</w:t>
      </w:r>
    </w:p>
  </w:footnote>
  <w:footnote w:id="7">
    <w:p w14:paraId="2626DB95" w14:textId="24F05488" w:rsidR="00DE0C47" w:rsidRPr="000C7324" w:rsidRDefault="00DE0C47" w:rsidP="00395407">
      <w:pPr>
        <w:pStyle w:val="FootnoteText"/>
        <w:widowControl/>
        <w:tabs>
          <w:tab w:val="clear" w:pos="418"/>
          <w:tab w:val="right" w:pos="1195"/>
          <w:tab w:val="left" w:pos="1267"/>
          <w:tab w:val="left" w:pos="1742"/>
          <w:tab w:val="left" w:pos="2218"/>
          <w:tab w:val="left" w:pos="2693"/>
        </w:tabs>
        <w:ind w:left="1264" w:right="1259" w:hanging="431"/>
        <w:jc w:val="both"/>
        <w:rPr>
          <w:rFonts w:eastAsia="Malgun Gothic"/>
          <w:szCs w:val="17"/>
          <w:lang w:val="fr-FR" w:eastAsia="ko-KR"/>
        </w:rPr>
      </w:pPr>
      <w:r w:rsidRPr="000C7324">
        <w:rPr>
          <w:szCs w:val="17"/>
          <w:lang w:val="fr-FR"/>
        </w:rPr>
        <w:tab/>
      </w:r>
      <w:r w:rsidRPr="000C7324">
        <w:rPr>
          <w:rStyle w:val="FootnoteReference"/>
          <w:szCs w:val="17"/>
        </w:rPr>
        <w:footnoteRef/>
      </w:r>
      <w:r w:rsidRPr="000C7324">
        <w:rPr>
          <w:szCs w:val="17"/>
          <w:lang w:val="fr-FR"/>
        </w:rPr>
        <w:tab/>
        <w:t xml:space="preserve">Principalement le lieu de la conférence et les services connexes (par exemple, distribution de documents et appui technique) ainsi que l'interprétation dans les langues officielles de l'Organisation des Nations Unies. </w:t>
      </w:r>
    </w:p>
  </w:footnote>
  <w:footnote w:id="8">
    <w:p w14:paraId="03882EA1" w14:textId="2A98E9C2" w:rsidR="00DE0C47" w:rsidRPr="000C7324" w:rsidRDefault="00DE0C47" w:rsidP="00395407">
      <w:pPr>
        <w:pStyle w:val="FootnoteText"/>
        <w:widowControl/>
        <w:tabs>
          <w:tab w:val="clear" w:pos="418"/>
          <w:tab w:val="right" w:pos="1195"/>
          <w:tab w:val="left" w:pos="1267"/>
          <w:tab w:val="left" w:pos="1742"/>
          <w:tab w:val="left" w:pos="2218"/>
          <w:tab w:val="left" w:pos="2693"/>
        </w:tabs>
        <w:ind w:left="1264" w:right="1259" w:hanging="431"/>
        <w:jc w:val="both"/>
        <w:rPr>
          <w:rFonts w:eastAsia="Malgun Gothic"/>
          <w:szCs w:val="17"/>
          <w:lang w:val="fr-FR" w:eastAsia="ko-KR"/>
        </w:rPr>
      </w:pPr>
      <w:r w:rsidRPr="000C7324">
        <w:rPr>
          <w:szCs w:val="17"/>
          <w:lang w:val="fr-FR"/>
        </w:rPr>
        <w:tab/>
      </w:r>
      <w:r w:rsidRPr="000C7324">
        <w:rPr>
          <w:rStyle w:val="FootnoteReference"/>
          <w:szCs w:val="17"/>
        </w:rPr>
        <w:footnoteRef/>
      </w:r>
      <w:r w:rsidRPr="000C7324">
        <w:rPr>
          <w:szCs w:val="17"/>
          <w:lang w:val="fr-FR"/>
        </w:rPr>
        <w:tab/>
        <w:t xml:space="preserve">Principalement la mise en forme, la traduction dans les langues officielles de </w:t>
      </w:r>
      <w:r w:rsidR="00670877" w:rsidRPr="000C7324">
        <w:rPr>
          <w:szCs w:val="17"/>
          <w:lang w:val="fr-FR"/>
        </w:rPr>
        <w:t>l'Organisation des Nations Unies</w:t>
      </w:r>
      <w:r w:rsidR="00670877" w:rsidRPr="000C7324" w:rsidDel="00670877">
        <w:rPr>
          <w:szCs w:val="17"/>
          <w:lang w:val="fr-FR"/>
        </w:rPr>
        <w:t xml:space="preserve"> </w:t>
      </w:r>
      <w:r w:rsidR="00670877" w:rsidRPr="000C7324">
        <w:rPr>
          <w:szCs w:val="17"/>
          <w:lang w:val="fr-FR"/>
        </w:rPr>
        <w:t xml:space="preserve">(ou introduire l’ </w:t>
      </w:r>
      <w:proofErr w:type="spellStart"/>
      <w:r w:rsidR="00670877" w:rsidRPr="000C7324">
        <w:rPr>
          <w:szCs w:val="17"/>
          <w:lang w:val="fr-FR"/>
        </w:rPr>
        <w:t>abreviation</w:t>
      </w:r>
      <w:proofErr w:type="spellEnd"/>
      <w:r w:rsidR="00670877" w:rsidRPr="000C7324">
        <w:rPr>
          <w:szCs w:val="17"/>
          <w:lang w:val="fr-FR"/>
        </w:rPr>
        <w:t>)</w:t>
      </w:r>
      <w:r w:rsidRPr="000C7324">
        <w:rPr>
          <w:szCs w:val="17"/>
          <w:lang w:val="fr-FR"/>
        </w:rPr>
        <w:t xml:space="preserve"> ainsi que la publication et l’impression de documents. </w:t>
      </w:r>
    </w:p>
  </w:footnote>
  <w:footnote w:id="9">
    <w:p w14:paraId="10D17F8C" w14:textId="474C9450" w:rsidR="00DE0C47" w:rsidRPr="000C7324" w:rsidRDefault="00DE0C47" w:rsidP="00902A56">
      <w:pPr>
        <w:pStyle w:val="FootnoteText"/>
        <w:widowControl/>
        <w:tabs>
          <w:tab w:val="clear" w:pos="418"/>
          <w:tab w:val="right" w:pos="1195"/>
          <w:tab w:val="left" w:pos="1267"/>
          <w:tab w:val="left" w:pos="1742"/>
          <w:tab w:val="left" w:pos="2218"/>
          <w:tab w:val="left" w:pos="2693"/>
        </w:tabs>
        <w:ind w:left="1264" w:right="1259" w:hanging="431"/>
        <w:jc w:val="both"/>
        <w:rPr>
          <w:rFonts w:eastAsia="Malgun Gothic"/>
          <w:szCs w:val="17"/>
          <w:lang w:val="fr-FR" w:eastAsia="ko-KR"/>
        </w:rPr>
      </w:pPr>
      <w:r w:rsidRPr="000C7324">
        <w:rPr>
          <w:szCs w:val="17"/>
          <w:lang w:val="fr-FR"/>
        </w:rPr>
        <w:tab/>
      </w:r>
      <w:r w:rsidRPr="000C7324">
        <w:rPr>
          <w:rStyle w:val="FootnoteReference"/>
          <w:szCs w:val="17"/>
        </w:rPr>
        <w:footnoteRef/>
      </w:r>
      <w:r w:rsidRPr="000C7324">
        <w:rPr>
          <w:szCs w:val="17"/>
          <w:lang w:val="fr-FR"/>
        </w:rPr>
        <w:tab/>
        <w:t xml:space="preserve">Ce tableau tient compte de tous les documents officiels produits pour le Groupe de travail qui ont été traduits dans les six langues officielles de </w:t>
      </w:r>
      <w:r w:rsidR="00152F0D" w:rsidRPr="000C7324">
        <w:rPr>
          <w:szCs w:val="17"/>
          <w:lang w:val="fr-FR"/>
        </w:rPr>
        <w:t>l’Organisation</w:t>
      </w:r>
      <w:r w:rsidRPr="000C7324">
        <w:rPr>
          <w:szCs w:val="17"/>
          <w:lang w:val="fr-FR"/>
        </w:rPr>
        <w:t xml:space="preserve">. Par souci de simplicité, les documents publiés sous forme d'addenda sont comptés comme des documents séparés et la longueur moyenne du document est calculée sur la base de leur version anglaise. Pour une ventilation des ressources documentaires moyennes utilisées par le Groupe de travail au cours de ses sept sessions, voir le tableau 2 du document </w:t>
      </w:r>
      <w:r w:rsidRPr="000C7324">
        <w:rPr>
          <w:lang w:val="fr-FR"/>
        </w:rPr>
        <w:t>A/CN.9/1011.</w:t>
      </w:r>
    </w:p>
  </w:footnote>
  <w:footnote w:id="10">
    <w:p w14:paraId="5016D18F" w14:textId="64DACEA2" w:rsidR="00DE0C47" w:rsidRPr="000C7324" w:rsidRDefault="00DE0C47" w:rsidP="00902A56">
      <w:pPr>
        <w:pStyle w:val="FootnoteText"/>
        <w:widowControl/>
        <w:tabs>
          <w:tab w:val="clear" w:pos="418"/>
          <w:tab w:val="right" w:pos="1195"/>
          <w:tab w:val="left" w:pos="1267"/>
          <w:tab w:val="left" w:pos="1742"/>
          <w:tab w:val="left" w:pos="2218"/>
          <w:tab w:val="left" w:pos="2693"/>
        </w:tabs>
        <w:ind w:left="1264" w:right="1259" w:hanging="431"/>
        <w:jc w:val="both"/>
        <w:rPr>
          <w:rFonts w:eastAsia="Malgun Gothic"/>
          <w:lang w:val="fr-FR" w:eastAsia="ko-KR"/>
        </w:rPr>
      </w:pPr>
      <w:r w:rsidRPr="000C7324">
        <w:rPr>
          <w:lang w:val="fr-FR"/>
        </w:rPr>
        <w:tab/>
      </w:r>
      <w:r w:rsidRPr="000C7324">
        <w:rPr>
          <w:rStyle w:val="FootnoteReference"/>
        </w:rPr>
        <w:footnoteRef/>
      </w:r>
      <w:r w:rsidRPr="000C7324">
        <w:rPr>
          <w:lang w:val="fr-FR"/>
        </w:rPr>
        <w:tab/>
        <w:t>Cela comprend trois rapports de réunions régionales intersessions soumis par les États hôtes.</w:t>
      </w:r>
    </w:p>
  </w:footnote>
  <w:footnote w:id="11">
    <w:p w14:paraId="0541866A" w14:textId="0F6FEAC5" w:rsidR="00DE0C47" w:rsidRPr="000C7324" w:rsidRDefault="00DE0C47" w:rsidP="00E54162">
      <w:pPr>
        <w:pStyle w:val="FootnoteText"/>
        <w:jc w:val="both"/>
        <w:rPr>
          <w:lang w:val="fr-FR"/>
        </w:rPr>
      </w:pPr>
      <w:r w:rsidRPr="000C7324">
        <w:rPr>
          <w:lang w:val="fr-FR"/>
        </w:rPr>
        <w:tab/>
      </w:r>
      <w:r w:rsidRPr="000C7324">
        <w:rPr>
          <w:lang w:val="fr-FR"/>
        </w:rPr>
        <w:tab/>
      </w:r>
      <w:r w:rsidRPr="000C7324">
        <w:rPr>
          <w:lang w:val="fr-FR"/>
        </w:rPr>
        <w:tab/>
      </w:r>
      <w:r w:rsidR="00CC19BA" w:rsidRPr="000C7324">
        <w:rPr>
          <w:lang w:val="fr-FR"/>
        </w:rPr>
        <w:t xml:space="preserve"> </w:t>
      </w:r>
      <w:r w:rsidRPr="000C7324">
        <w:rPr>
          <w:lang w:val="fr-FR"/>
        </w:rPr>
        <w:t xml:space="preserve"> </w:t>
      </w:r>
      <w:r w:rsidRPr="000C7324">
        <w:rPr>
          <w:rStyle w:val="FootnoteReference"/>
        </w:rPr>
        <w:footnoteRef/>
      </w:r>
      <w:r w:rsidRPr="000C7324">
        <w:rPr>
          <w:lang w:val="fr-FR"/>
        </w:rPr>
        <w:t xml:space="preserve"> Le poste est financé par le gouvernement allemand et le mandat expire en 2021.</w:t>
      </w:r>
    </w:p>
  </w:footnote>
  <w:footnote w:id="12">
    <w:p w14:paraId="62C70B01" w14:textId="6AFB9E9D" w:rsidR="00DE0C47" w:rsidRPr="000C7324" w:rsidRDefault="00DE0C47" w:rsidP="000D0624">
      <w:pPr>
        <w:pStyle w:val="FootnoteText"/>
        <w:widowControl/>
        <w:tabs>
          <w:tab w:val="clear" w:pos="418"/>
          <w:tab w:val="right" w:pos="1195"/>
          <w:tab w:val="left" w:pos="1267"/>
          <w:tab w:val="left" w:pos="1742"/>
          <w:tab w:val="left" w:pos="2218"/>
          <w:tab w:val="left" w:pos="2693"/>
        </w:tabs>
        <w:ind w:left="1264" w:right="1259" w:hanging="431"/>
        <w:jc w:val="both"/>
        <w:rPr>
          <w:rFonts w:eastAsia="Malgun Gothic"/>
          <w:szCs w:val="17"/>
          <w:lang w:val="fr-FR" w:eastAsia="ko-KR"/>
        </w:rPr>
      </w:pPr>
      <w:r w:rsidRPr="000C7324">
        <w:rPr>
          <w:szCs w:val="17"/>
          <w:lang w:val="fr-FR"/>
        </w:rPr>
        <w:tab/>
      </w:r>
      <w:r w:rsidRPr="000C7324">
        <w:rPr>
          <w:rStyle w:val="FootnoteReference"/>
          <w:szCs w:val="17"/>
        </w:rPr>
        <w:footnoteRef/>
      </w:r>
      <w:r w:rsidRPr="000C7324">
        <w:rPr>
          <w:szCs w:val="17"/>
          <w:lang w:val="fr-FR"/>
        </w:rPr>
        <w:tab/>
      </w:r>
      <w:r w:rsidRPr="000C7324">
        <w:rPr>
          <w:lang w:val="fr-FR"/>
        </w:rPr>
        <w:t xml:space="preserve">En ce qui concerne le temps inutilisé de la Commission, la Commission a indiqué que deux semaines pour ses sessions annuelles suffiraient généralement. </w:t>
      </w:r>
      <w:proofErr w:type="spellStart"/>
      <w:r w:rsidRPr="000C7324">
        <w:rPr>
          <w:lang w:val="fr-FR"/>
        </w:rPr>
        <w:t>Ibid</w:t>
      </w:r>
      <w:proofErr w:type="spellEnd"/>
      <w:r w:rsidRPr="000C7324">
        <w:rPr>
          <w:lang w:val="fr-FR"/>
        </w:rPr>
        <w:t>, soixante-quatorzième session, Supplément no 17 (A/74/17), par. 331.</w:t>
      </w:r>
      <w:r w:rsidRPr="000C7324">
        <w:rPr>
          <w:szCs w:val="17"/>
          <w:lang w:val="fr-FR"/>
        </w:rPr>
        <w:t xml:space="preserve"> </w:t>
      </w:r>
    </w:p>
  </w:footnote>
  <w:footnote w:id="13">
    <w:p w14:paraId="645DD9A6" w14:textId="5200D496" w:rsidR="00DE0C47" w:rsidRPr="000C7324" w:rsidRDefault="00DE0C47" w:rsidP="000D0624">
      <w:pPr>
        <w:pStyle w:val="FootnoteText"/>
        <w:widowControl/>
        <w:tabs>
          <w:tab w:val="clear" w:pos="418"/>
          <w:tab w:val="right" w:pos="1195"/>
          <w:tab w:val="left" w:pos="1267"/>
          <w:tab w:val="left" w:pos="1742"/>
          <w:tab w:val="left" w:pos="2218"/>
          <w:tab w:val="left" w:pos="2693"/>
        </w:tabs>
        <w:ind w:left="1264" w:right="1259" w:hanging="431"/>
        <w:jc w:val="both"/>
        <w:rPr>
          <w:rFonts w:eastAsia="Malgun Gothic"/>
          <w:szCs w:val="17"/>
          <w:lang w:val="fr-FR" w:eastAsia="ko-KR"/>
        </w:rPr>
      </w:pPr>
      <w:r w:rsidRPr="000C7324">
        <w:rPr>
          <w:szCs w:val="17"/>
          <w:lang w:val="fr-FR"/>
        </w:rPr>
        <w:tab/>
      </w:r>
      <w:r w:rsidRPr="000C7324">
        <w:rPr>
          <w:rStyle w:val="FootnoteReference"/>
          <w:szCs w:val="17"/>
        </w:rPr>
        <w:footnoteRef/>
      </w:r>
      <w:r w:rsidRPr="000C7324">
        <w:rPr>
          <w:szCs w:val="17"/>
          <w:lang w:val="fr-FR"/>
        </w:rPr>
        <w:tab/>
        <w:t>Ibid., par. 329.</w:t>
      </w:r>
    </w:p>
  </w:footnote>
  <w:footnote w:id="14">
    <w:p w14:paraId="62AF8CF1" w14:textId="13AAFE1A" w:rsidR="00DE0C47" w:rsidRPr="000C7324" w:rsidRDefault="00DE0C47" w:rsidP="000D0624">
      <w:pPr>
        <w:pStyle w:val="FootnoteText"/>
        <w:widowControl/>
        <w:tabs>
          <w:tab w:val="clear" w:pos="418"/>
          <w:tab w:val="right" w:pos="1195"/>
          <w:tab w:val="left" w:pos="1267"/>
          <w:tab w:val="left" w:pos="1742"/>
          <w:tab w:val="left" w:pos="2218"/>
          <w:tab w:val="left" w:pos="2693"/>
        </w:tabs>
        <w:ind w:left="1264" w:right="1259" w:hanging="431"/>
        <w:jc w:val="both"/>
        <w:rPr>
          <w:rFonts w:eastAsia="Malgun Gothic"/>
          <w:szCs w:val="17"/>
          <w:lang w:val="fr-FR" w:eastAsia="ko-KR"/>
        </w:rPr>
      </w:pPr>
      <w:r w:rsidRPr="000C7324">
        <w:rPr>
          <w:szCs w:val="17"/>
          <w:lang w:val="fr-FR"/>
        </w:rPr>
        <w:tab/>
      </w:r>
      <w:r w:rsidRPr="000C7324">
        <w:rPr>
          <w:rStyle w:val="FootnoteReference"/>
          <w:szCs w:val="17"/>
        </w:rPr>
        <w:footnoteRef/>
      </w:r>
      <w:r w:rsidRPr="000C7324">
        <w:rPr>
          <w:szCs w:val="17"/>
          <w:lang w:val="fr-FR"/>
        </w:rPr>
        <w:tab/>
      </w:r>
      <w:r w:rsidRPr="000C7324">
        <w:rPr>
          <w:lang w:val="fr-FR"/>
        </w:rPr>
        <w:t xml:space="preserve">Ibid., Cinquante-sixième session, Supplément no 17 (A/56/17), par. 376 à 383 et 425 c). La Commission, en 2001, a augmenté le nombre de groupes de travail de trois à six, dont chacun tiendrait généralement deux sessions annuelles d'une semaine chacune. Toutefois, le </w:t>
      </w:r>
      <w:r w:rsidR="00E75C28" w:rsidRPr="000C7324">
        <w:rPr>
          <w:lang w:val="fr-FR"/>
        </w:rPr>
        <w:t>G</w:t>
      </w:r>
      <w:r w:rsidRPr="000C7324">
        <w:rPr>
          <w:lang w:val="fr-FR"/>
        </w:rPr>
        <w:t xml:space="preserve">roupe de travail chargé d’élaborer les Règles de Rotterdam a été autorisé par la Commission à tenir des sessions de deux semaines de 2002 à 2008, à l’exception de sa session de septembre 2002, qui </w:t>
      </w:r>
      <w:r w:rsidR="00E75C28" w:rsidRPr="000C7324">
        <w:rPr>
          <w:lang w:val="fr-FR"/>
        </w:rPr>
        <w:t xml:space="preserve">a été d’une </w:t>
      </w:r>
      <w:r w:rsidRPr="000C7324">
        <w:rPr>
          <w:lang w:val="fr-FR"/>
        </w:rPr>
        <w:t>semaine.</w:t>
      </w:r>
    </w:p>
  </w:footnote>
  <w:footnote w:id="15">
    <w:p w14:paraId="36679988" w14:textId="18102F97" w:rsidR="00DE0C47" w:rsidRPr="000C7324" w:rsidRDefault="00DE0C47" w:rsidP="00710AAB">
      <w:pPr>
        <w:pStyle w:val="FootnoteText"/>
        <w:widowControl/>
        <w:tabs>
          <w:tab w:val="clear" w:pos="418"/>
          <w:tab w:val="right" w:pos="1195"/>
          <w:tab w:val="left" w:pos="1267"/>
          <w:tab w:val="left" w:pos="1742"/>
          <w:tab w:val="left" w:pos="2218"/>
          <w:tab w:val="left" w:pos="2693"/>
        </w:tabs>
        <w:ind w:left="1264" w:right="1259" w:hanging="431"/>
        <w:jc w:val="both"/>
        <w:rPr>
          <w:rFonts w:eastAsia="Malgun Gothic"/>
          <w:szCs w:val="17"/>
          <w:lang w:val="fr-FR" w:eastAsia="ko-KR"/>
        </w:rPr>
      </w:pPr>
      <w:r w:rsidRPr="000C7324">
        <w:rPr>
          <w:szCs w:val="17"/>
          <w:lang w:val="fr-FR"/>
        </w:rPr>
        <w:tab/>
      </w:r>
      <w:r w:rsidRPr="000C7324">
        <w:rPr>
          <w:rStyle w:val="FootnoteReference"/>
          <w:szCs w:val="17"/>
        </w:rPr>
        <w:footnoteRef/>
      </w:r>
      <w:r w:rsidRPr="000C7324">
        <w:rPr>
          <w:szCs w:val="17"/>
          <w:lang w:val="fr-FR"/>
        </w:rPr>
        <w:tab/>
        <w:t>Un ordre du jour provisoire, deux à trois notes du Secrétariat et quatre communications d'États et autres, tous estimés à 8 500 mots. Il existe une limitation concernant les documents provenant du Secrétariat, qui ne devraient pas dépasser 16 pages (8500 mots). Les organes intergouvernementaux sont invités à envisager, le cas échéant, de réduire leur rapport à 20 pages (10700 mots). Voir Résolution 52/214 de l'Assemblée générale, section B, par. 4 et 7 (réitérés dans 53/208, 59/265).</w:t>
      </w:r>
      <w:r w:rsidRPr="000C7324">
        <w:rPr>
          <w:lang w:val="fr-FR"/>
        </w:rPr>
        <w:t xml:space="preserve"> </w:t>
      </w:r>
    </w:p>
  </w:footnote>
  <w:footnote w:id="16">
    <w:p w14:paraId="6D6109DD" w14:textId="0676494F" w:rsidR="00DE0C47" w:rsidRPr="000C7324" w:rsidRDefault="00DE0C47" w:rsidP="00710AAB">
      <w:pPr>
        <w:pStyle w:val="FootnoteText"/>
        <w:widowControl/>
        <w:tabs>
          <w:tab w:val="clear" w:pos="418"/>
          <w:tab w:val="right" w:pos="1195"/>
          <w:tab w:val="left" w:pos="1267"/>
          <w:tab w:val="left" w:pos="1742"/>
          <w:tab w:val="left" w:pos="2218"/>
          <w:tab w:val="left" w:pos="2693"/>
        </w:tabs>
        <w:ind w:left="1264" w:right="1259" w:hanging="431"/>
        <w:jc w:val="both"/>
        <w:rPr>
          <w:rFonts w:eastAsia="Malgun Gothic"/>
          <w:szCs w:val="17"/>
          <w:lang w:val="fr-FR" w:eastAsia="ko-KR"/>
        </w:rPr>
      </w:pPr>
      <w:r w:rsidRPr="000C7324">
        <w:rPr>
          <w:szCs w:val="17"/>
          <w:lang w:val="fr-FR"/>
        </w:rPr>
        <w:tab/>
      </w:r>
      <w:r w:rsidRPr="000C7324">
        <w:rPr>
          <w:rStyle w:val="FootnoteReference"/>
          <w:szCs w:val="17"/>
        </w:rPr>
        <w:footnoteRef/>
      </w:r>
      <w:r w:rsidRPr="000C7324">
        <w:rPr>
          <w:szCs w:val="17"/>
          <w:lang w:val="fr-FR"/>
        </w:rPr>
        <w:tab/>
        <w:t xml:space="preserve">D'après les chiffres fournis par les services de gestion de documents à Vienne. Le coût de la traduction d'une page standard en anglais (ESP, qui comprend 330 mots) dans une autre langue est fixé à 260 USD. Le taux d'implication du budget programme peut varier en fonction du lieu où les services documentaires doivent être fournis. </w:t>
      </w:r>
    </w:p>
  </w:footnote>
  <w:footnote w:id="17">
    <w:p w14:paraId="644D8E59" w14:textId="13BC1632" w:rsidR="00DE0C47" w:rsidRPr="000C7324" w:rsidRDefault="00DE0C47" w:rsidP="00710AAB">
      <w:pPr>
        <w:pStyle w:val="FootnoteText"/>
        <w:widowControl/>
        <w:tabs>
          <w:tab w:val="clear" w:pos="418"/>
          <w:tab w:val="right" w:pos="1195"/>
          <w:tab w:val="left" w:pos="1267"/>
          <w:tab w:val="left" w:pos="1742"/>
          <w:tab w:val="left" w:pos="2218"/>
          <w:tab w:val="left" w:pos="2693"/>
        </w:tabs>
        <w:ind w:left="1264" w:right="1259" w:hanging="431"/>
        <w:jc w:val="both"/>
        <w:rPr>
          <w:rFonts w:eastAsia="Malgun Gothic"/>
          <w:szCs w:val="17"/>
          <w:lang w:val="fr-FR" w:eastAsia="ko-KR"/>
        </w:rPr>
      </w:pPr>
      <w:r w:rsidRPr="000C7324">
        <w:rPr>
          <w:szCs w:val="17"/>
          <w:lang w:val="fr-FR"/>
        </w:rPr>
        <w:tab/>
      </w:r>
      <w:r w:rsidRPr="000C7324">
        <w:rPr>
          <w:rStyle w:val="FootnoteReference"/>
          <w:szCs w:val="17"/>
        </w:rPr>
        <w:footnoteRef/>
      </w:r>
      <w:r w:rsidRPr="000C7324">
        <w:rPr>
          <w:szCs w:val="17"/>
          <w:lang w:val="fr-FR"/>
        </w:rPr>
        <w:tab/>
        <w:t>Cela se fonde sur l’hypothèse qu’il ne serait pas nécessaire de produire un ordre du jour provisoire distinct ni le rapport d’après session.</w:t>
      </w:r>
    </w:p>
  </w:footnote>
  <w:footnote w:id="18">
    <w:p w14:paraId="77291D21" w14:textId="4A2F2323" w:rsidR="00DE0C47" w:rsidRPr="000C7324" w:rsidRDefault="00DE0C47" w:rsidP="00DE0C47">
      <w:pPr>
        <w:pStyle w:val="FootnoteText"/>
        <w:widowControl/>
        <w:tabs>
          <w:tab w:val="clear" w:pos="418"/>
          <w:tab w:val="right" w:pos="1195"/>
          <w:tab w:val="left" w:pos="1267"/>
          <w:tab w:val="left" w:pos="1742"/>
          <w:tab w:val="left" w:pos="2218"/>
          <w:tab w:val="left" w:pos="2693"/>
        </w:tabs>
        <w:ind w:left="1264" w:right="1259" w:hanging="431"/>
        <w:jc w:val="both"/>
        <w:rPr>
          <w:rFonts w:eastAsia="Malgun Gothic"/>
          <w:szCs w:val="17"/>
          <w:lang w:val="fr-FR" w:eastAsia="ko-KR"/>
        </w:rPr>
      </w:pPr>
      <w:r w:rsidRPr="000C7324">
        <w:rPr>
          <w:szCs w:val="17"/>
          <w:lang w:val="fr-FR"/>
        </w:rPr>
        <w:tab/>
      </w:r>
      <w:r w:rsidRPr="000C7324">
        <w:rPr>
          <w:rStyle w:val="FootnoteReference"/>
          <w:szCs w:val="17"/>
        </w:rPr>
        <w:footnoteRef/>
      </w:r>
      <w:r w:rsidRPr="000C7324">
        <w:rPr>
          <w:szCs w:val="17"/>
          <w:lang w:val="fr-FR"/>
        </w:rPr>
        <w:tab/>
        <w:t>Sur la base des coûts salariaux standard révisés ONUV / ONUDC (2020-2023) pour Vienne. Pour le poste financé par le budget ordinaire, le montant des dépenses de personnel «permanent» en 2021 a été utilisé.</w:t>
      </w:r>
    </w:p>
  </w:footnote>
  <w:footnote w:id="19">
    <w:p w14:paraId="383512F9" w14:textId="35B5A6C4" w:rsidR="00DE0C47" w:rsidRPr="000C7324" w:rsidRDefault="00DE0C47" w:rsidP="00DE0C47">
      <w:pPr>
        <w:pStyle w:val="FootnoteText"/>
        <w:widowControl/>
        <w:tabs>
          <w:tab w:val="clear" w:pos="418"/>
          <w:tab w:val="right" w:pos="1195"/>
          <w:tab w:val="left" w:pos="1267"/>
          <w:tab w:val="left" w:pos="1742"/>
          <w:tab w:val="left" w:pos="2218"/>
          <w:tab w:val="left" w:pos="2693"/>
        </w:tabs>
        <w:ind w:left="1264" w:right="1259" w:hanging="431"/>
        <w:jc w:val="both"/>
        <w:rPr>
          <w:szCs w:val="17"/>
          <w:lang w:val="fr-FR"/>
        </w:rPr>
      </w:pPr>
      <w:r w:rsidRPr="000C7324">
        <w:rPr>
          <w:i/>
          <w:iCs/>
          <w:szCs w:val="17"/>
          <w:lang w:val="fr-FR"/>
        </w:rPr>
        <w:tab/>
      </w:r>
      <w:r w:rsidRPr="000C7324">
        <w:rPr>
          <w:rStyle w:val="FootnoteReference"/>
          <w:szCs w:val="17"/>
        </w:rPr>
        <w:footnoteRef/>
      </w:r>
      <w:r w:rsidRPr="000C7324">
        <w:rPr>
          <w:i/>
          <w:iCs/>
          <w:szCs w:val="17"/>
          <w:lang w:val="fr-FR"/>
        </w:rPr>
        <w:tab/>
      </w:r>
      <w:r w:rsidRPr="000C7324">
        <w:rPr>
          <w:i/>
          <w:iCs/>
          <w:lang w:val="fr-FR"/>
        </w:rPr>
        <w:t>Documents officiels de l’Assemblée générale</w:t>
      </w:r>
      <w:r w:rsidRPr="000C7324">
        <w:rPr>
          <w:szCs w:val="17"/>
          <w:lang w:val="fr-FR"/>
        </w:rPr>
        <w:t xml:space="preserve">, </w:t>
      </w:r>
      <w:r w:rsidRPr="000C7324">
        <w:rPr>
          <w:i/>
          <w:iCs/>
          <w:szCs w:val="17"/>
          <w:lang w:val="fr-FR"/>
        </w:rPr>
        <w:t>Soixante-quatorzième Session, Supplément No. 17</w:t>
      </w:r>
      <w:r w:rsidRPr="000C7324">
        <w:rPr>
          <w:szCs w:val="17"/>
          <w:lang w:val="fr-FR"/>
        </w:rPr>
        <w:t xml:space="preserve"> (</w:t>
      </w:r>
      <w:hyperlink r:id="rId9" w:history="1">
        <w:r w:rsidRPr="000C7324">
          <w:rPr>
            <w:rStyle w:val="Hyperlink"/>
            <w:szCs w:val="17"/>
            <w:lang w:val="fr-FR"/>
          </w:rPr>
          <w:t>A/74/17</w:t>
        </w:r>
      </w:hyperlink>
      <w:r w:rsidRPr="000C7324">
        <w:rPr>
          <w:szCs w:val="17"/>
          <w:lang w:val="fr-FR"/>
        </w:rPr>
        <w:t>), par. 165.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DE0C47" w14:paraId="27E03615" w14:textId="77777777" w:rsidTr="00252269">
      <w:trPr>
        <w:trHeight w:hRule="exact" w:val="864"/>
        <w:jc w:val="center"/>
      </w:trPr>
      <w:tc>
        <w:tcPr>
          <w:tcW w:w="4882" w:type="dxa"/>
          <w:shd w:val="clear" w:color="auto" w:fill="auto"/>
          <w:vAlign w:val="bottom"/>
        </w:tcPr>
        <w:p w14:paraId="50A94318" w14:textId="1616B7E1" w:rsidR="00DE0C47" w:rsidRPr="00252269" w:rsidRDefault="00DE0C47" w:rsidP="00252269">
          <w:pPr>
            <w:pStyle w:val="Header"/>
            <w:spacing w:after="80"/>
            <w:rPr>
              <w:b/>
            </w:rPr>
          </w:pPr>
        </w:p>
      </w:tc>
      <w:tc>
        <w:tcPr>
          <w:tcW w:w="4923" w:type="dxa"/>
          <w:shd w:val="clear" w:color="auto" w:fill="auto"/>
          <w:vAlign w:val="bottom"/>
        </w:tcPr>
        <w:p w14:paraId="087FBF72" w14:textId="77777777" w:rsidR="00DE0C47" w:rsidRDefault="00DE0C47" w:rsidP="00252269">
          <w:pPr>
            <w:pStyle w:val="Header"/>
          </w:pPr>
        </w:p>
      </w:tc>
    </w:tr>
  </w:tbl>
  <w:p w14:paraId="5F8789E9" w14:textId="20AB78FB" w:rsidR="00DE0C47" w:rsidRPr="00252269" w:rsidRDefault="00DE0C47" w:rsidP="00252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DE0C47" w14:paraId="176B925D" w14:textId="77777777" w:rsidTr="00252269">
      <w:trPr>
        <w:trHeight w:hRule="exact" w:val="864"/>
        <w:jc w:val="center"/>
      </w:trPr>
      <w:tc>
        <w:tcPr>
          <w:tcW w:w="4882" w:type="dxa"/>
          <w:shd w:val="clear" w:color="auto" w:fill="auto"/>
          <w:vAlign w:val="bottom"/>
        </w:tcPr>
        <w:p w14:paraId="5D4ED2A1" w14:textId="77777777" w:rsidR="00DE0C47" w:rsidRDefault="00DE0C47" w:rsidP="00252269">
          <w:pPr>
            <w:pStyle w:val="Header"/>
          </w:pPr>
        </w:p>
      </w:tc>
      <w:tc>
        <w:tcPr>
          <w:tcW w:w="4923" w:type="dxa"/>
          <w:shd w:val="clear" w:color="auto" w:fill="auto"/>
          <w:vAlign w:val="bottom"/>
        </w:tcPr>
        <w:p w14:paraId="33F34A06" w14:textId="6D70E65E" w:rsidR="00DE0C47" w:rsidRPr="00252269" w:rsidRDefault="00DE0C47" w:rsidP="00252269">
          <w:pPr>
            <w:pStyle w:val="Header"/>
            <w:spacing w:after="80"/>
            <w:jc w:val="right"/>
            <w:rPr>
              <w:b/>
            </w:rPr>
          </w:pPr>
        </w:p>
      </w:tc>
    </w:tr>
  </w:tbl>
  <w:p w14:paraId="14DAA685" w14:textId="6D4D080D" w:rsidR="00DE0C47" w:rsidRPr="00252269" w:rsidRDefault="00DE0C47" w:rsidP="000D2C79">
    <w:pPr>
      <w:pStyle w:val="Header"/>
      <w:tabs>
        <w:tab w:val="clear" w:pos="4320"/>
        <w:tab w:val="clear" w:pos="8640"/>
        <w:tab w:val="left" w:pos="729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00"/>
      <w:gridCol w:w="11"/>
    </w:tblGrid>
    <w:tr w:rsidR="00DE0C47" w14:paraId="390AB721" w14:textId="77777777" w:rsidTr="00252269">
      <w:trPr>
        <w:trHeight w:hRule="exact" w:val="864"/>
      </w:trPr>
      <w:tc>
        <w:tcPr>
          <w:tcW w:w="1267" w:type="dxa"/>
          <w:tcBorders>
            <w:bottom w:val="single" w:sz="4" w:space="0" w:color="auto"/>
          </w:tcBorders>
          <w:shd w:val="clear" w:color="auto" w:fill="auto"/>
          <w:vAlign w:val="bottom"/>
        </w:tcPr>
        <w:p w14:paraId="1B46409F" w14:textId="77777777" w:rsidR="00DE0C47" w:rsidRDefault="00DE0C47" w:rsidP="00252269">
          <w:pPr>
            <w:pStyle w:val="Header"/>
            <w:spacing w:after="120"/>
          </w:pPr>
        </w:p>
      </w:tc>
      <w:tc>
        <w:tcPr>
          <w:tcW w:w="1872" w:type="dxa"/>
          <w:tcBorders>
            <w:bottom w:val="single" w:sz="4" w:space="0" w:color="auto"/>
          </w:tcBorders>
          <w:shd w:val="clear" w:color="auto" w:fill="auto"/>
          <w:vAlign w:val="bottom"/>
        </w:tcPr>
        <w:p w14:paraId="7129C703" w14:textId="2C5FA32C" w:rsidR="00DE0C47" w:rsidRPr="00252269" w:rsidRDefault="00DE0C47" w:rsidP="00252269">
          <w:pPr>
            <w:pStyle w:val="HCh"/>
            <w:spacing w:after="80"/>
            <w:rPr>
              <w:b w:val="0"/>
              <w:spacing w:val="2"/>
              <w:w w:val="96"/>
            </w:rPr>
          </w:pPr>
          <w:r>
            <w:rPr>
              <w:b w:val="0"/>
              <w:spacing w:val="2"/>
              <w:w w:val="96"/>
            </w:rPr>
            <w:t xml:space="preserve">Nations </w:t>
          </w:r>
          <w:proofErr w:type="spellStart"/>
          <w:r>
            <w:rPr>
              <w:b w:val="0"/>
              <w:spacing w:val="2"/>
              <w:w w:val="96"/>
            </w:rPr>
            <w:t>Unies</w:t>
          </w:r>
          <w:proofErr w:type="spellEnd"/>
        </w:p>
      </w:tc>
      <w:tc>
        <w:tcPr>
          <w:tcW w:w="245" w:type="dxa"/>
          <w:tcBorders>
            <w:bottom w:val="single" w:sz="4" w:space="0" w:color="auto"/>
          </w:tcBorders>
          <w:shd w:val="clear" w:color="auto" w:fill="auto"/>
          <w:vAlign w:val="bottom"/>
        </w:tcPr>
        <w:p w14:paraId="6AC4A138" w14:textId="77777777" w:rsidR="00DE0C47" w:rsidRDefault="00DE0C47" w:rsidP="00252269">
          <w:pPr>
            <w:pStyle w:val="Header"/>
            <w:spacing w:after="120"/>
          </w:pPr>
        </w:p>
      </w:tc>
      <w:tc>
        <w:tcPr>
          <w:tcW w:w="6466" w:type="dxa"/>
          <w:gridSpan w:val="4"/>
          <w:tcBorders>
            <w:bottom w:val="single" w:sz="4" w:space="0" w:color="auto"/>
          </w:tcBorders>
          <w:shd w:val="clear" w:color="auto" w:fill="auto"/>
          <w:vAlign w:val="bottom"/>
        </w:tcPr>
        <w:p w14:paraId="1469C72D" w14:textId="340C8D79" w:rsidR="00DE0C47" w:rsidRPr="00252269" w:rsidRDefault="00DE0C47" w:rsidP="00252269">
          <w:pPr>
            <w:spacing w:after="80" w:line="240" w:lineRule="auto"/>
            <w:jc w:val="right"/>
            <w:rPr>
              <w:position w:val="-4"/>
            </w:rPr>
          </w:pPr>
          <w:r>
            <w:rPr>
              <w:position w:val="-4"/>
              <w:sz w:val="40"/>
            </w:rPr>
            <w:t>A</w:t>
          </w:r>
          <w:r>
            <w:rPr>
              <w:position w:val="-4"/>
            </w:rPr>
            <w:t>/CN.9/WG.II/WP.****</w:t>
          </w:r>
        </w:p>
      </w:tc>
    </w:tr>
    <w:tr w:rsidR="00DE0C47" w:rsidRPr="000C7324" w14:paraId="749EDBB9" w14:textId="77777777" w:rsidTr="00252269">
      <w:trPr>
        <w:gridAfter w:val="1"/>
        <w:wAfter w:w="11" w:type="dxa"/>
        <w:trHeight w:hRule="exact" w:val="2880"/>
      </w:trPr>
      <w:tc>
        <w:tcPr>
          <w:tcW w:w="1267" w:type="dxa"/>
          <w:tcBorders>
            <w:top w:val="single" w:sz="4" w:space="0" w:color="auto"/>
            <w:bottom w:val="single" w:sz="12" w:space="0" w:color="auto"/>
          </w:tcBorders>
          <w:shd w:val="clear" w:color="auto" w:fill="auto"/>
        </w:tcPr>
        <w:p w14:paraId="6B204627" w14:textId="77777777" w:rsidR="00DE0C47" w:rsidRPr="00252269" w:rsidRDefault="00DE0C47" w:rsidP="00252269">
          <w:pPr>
            <w:pStyle w:val="Header"/>
            <w:spacing w:before="120"/>
            <w:jc w:val="center"/>
          </w:pPr>
          <w:r>
            <w:t xml:space="preserve"> </w:t>
          </w:r>
          <w:r>
            <w:rPr>
              <w:lang w:val="en-CA" w:eastAsia="en-CA"/>
            </w:rPr>
            <w:drawing>
              <wp:inline distT="0" distB="0" distL="0" distR="0" wp14:anchorId="36163C60" wp14:editId="0E170EC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03025DA" w14:textId="600C7E29" w:rsidR="00DE0C47" w:rsidRPr="00252269" w:rsidRDefault="00DE0C47" w:rsidP="00252269">
          <w:pPr>
            <w:pStyle w:val="XLarge"/>
            <w:spacing w:before="109" w:line="390" w:lineRule="atLeast"/>
          </w:pPr>
          <w:r>
            <w:t xml:space="preserve">Assemblée </w:t>
          </w:r>
          <w:proofErr w:type="spellStart"/>
          <w:r>
            <w:t>générale</w:t>
          </w:r>
          <w:proofErr w:type="spellEnd"/>
        </w:p>
      </w:tc>
      <w:tc>
        <w:tcPr>
          <w:tcW w:w="245" w:type="dxa"/>
          <w:tcBorders>
            <w:top w:val="single" w:sz="4" w:space="0" w:color="auto"/>
            <w:bottom w:val="single" w:sz="12" w:space="0" w:color="auto"/>
          </w:tcBorders>
          <w:shd w:val="clear" w:color="auto" w:fill="auto"/>
        </w:tcPr>
        <w:p w14:paraId="6228F462" w14:textId="77777777" w:rsidR="00DE0C47" w:rsidRPr="00252269" w:rsidRDefault="00DE0C47" w:rsidP="00252269">
          <w:pPr>
            <w:pStyle w:val="Header"/>
            <w:spacing w:before="109"/>
          </w:pPr>
        </w:p>
      </w:tc>
      <w:tc>
        <w:tcPr>
          <w:tcW w:w="3100" w:type="dxa"/>
          <w:tcBorders>
            <w:top w:val="single" w:sz="4" w:space="0" w:color="auto"/>
            <w:bottom w:val="single" w:sz="12" w:space="0" w:color="auto"/>
          </w:tcBorders>
          <w:shd w:val="clear" w:color="auto" w:fill="auto"/>
        </w:tcPr>
        <w:p w14:paraId="15B3E88B" w14:textId="48C5B6A3" w:rsidR="00DE0C47" w:rsidRPr="00E95A8D" w:rsidRDefault="00DE0C47" w:rsidP="00252269">
          <w:pPr>
            <w:rPr>
              <w:lang w:val="fr-FR"/>
            </w:rPr>
          </w:pPr>
        </w:p>
        <w:p w14:paraId="63FC553E" w14:textId="625F170B" w:rsidR="00DE0C47" w:rsidRPr="00E95A8D" w:rsidRDefault="00DE0C47" w:rsidP="00252269">
          <w:pPr>
            <w:rPr>
              <w:lang w:val="fr-FR"/>
            </w:rPr>
          </w:pPr>
        </w:p>
        <w:p w14:paraId="7503F3EF" w14:textId="33B20A17" w:rsidR="00DE0C47" w:rsidRPr="00E95A8D" w:rsidRDefault="00DE0C47" w:rsidP="00252269">
          <w:pPr>
            <w:rPr>
              <w:lang w:val="fr-FR"/>
            </w:rPr>
          </w:pPr>
        </w:p>
        <w:p w14:paraId="5039EE58" w14:textId="59798593" w:rsidR="00DE0C47" w:rsidRPr="00E95A8D" w:rsidRDefault="00DE0C47" w:rsidP="00252269">
          <w:pPr>
            <w:rPr>
              <w:color w:val="FF0000"/>
              <w:lang w:val="fr-FR"/>
            </w:rPr>
          </w:pPr>
        </w:p>
        <w:p w14:paraId="26064FEA" w14:textId="77777777" w:rsidR="00DE0C47" w:rsidRPr="00E95A8D" w:rsidRDefault="00DE0C47" w:rsidP="00252269">
          <w:pPr>
            <w:rPr>
              <w:color w:val="FF0000"/>
              <w:lang w:val="fr-FR"/>
            </w:rPr>
          </w:pPr>
        </w:p>
        <w:p w14:paraId="54DED6E3" w14:textId="2C7A8C53" w:rsidR="00DE0C47" w:rsidRPr="00E95A8D" w:rsidRDefault="00DE0C47" w:rsidP="000D7D65">
          <w:pPr>
            <w:rPr>
              <w:color w:val="FF0000"/>
              <w:lang w:val="fr-FR"/>
            </w:rPr>
          </w:pPr>
          <w:r w:rsidRPr="00E95A8D">
            <w:rPr>
              <w:color w:val="FF0000"/>
              <w:lang w:val="fr-FR"/>
            </w:rPr>
            <w:t xml:space="preserve">DOCUMENT NON OFFICIEL- POUR CONSULTATION </w:t>
          </w:r>
          <w:r>
            <w:rPr>
              <w:color w:val="FF0000"/>
              <w:lang w:val="fr-FR"/>
            </w:rPr>
            <w:t>UNIQUEMENT</w:t>
          </w:r>
        </w:p>
        <w:p w14:paraId="1C4A9766" w14:textId="118C77DB" w:rsidR="00DE0C47" w:rsidRPr="00E95A8D" w:rsidRDefault="00DE0C47" w:rsidP="00252269">
          <w:pPr>
            <w:rPr>
              <w:lang w:val="fr-FR"/>
            </w:rPr>
          </w:pPr>
        </w:p>
      </w:tc>
    </w:tr>
  </w:tbl>
  <w:p w14:paraId="0D6046D7" w14:textId="0D737065" w:rsidR="00DE0C47" w:rsidRPr="00681AFF" w:rsidRDefault="00DE0C47" w:rsidP="00252269">
    <w:pPr>
      <w:pStyle w:val="Header"/>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27C5"/>
    <w:multiLevelType w:val="hybridMultilevel"/>
    <w:tmpl w:val="23ACEF80"/>
    <w:lvl w:ilvl="0" w:tplc="2BFAA436">
      <w:start w:val="1"/>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4D7C4E15"/>
    <w:multiLevelType w:val="singleLevel"/>
    <w:tmpl w:val="E00246A4"/>
    <w:lvl w:ilvl="0">
      <w:start w:val="1"/>
      <w:numFmt w:val="decimal"/>
      <w:lvlRestart w:val="0"/>
      <w:lvlText w:val="%1."/>
      <w:lvlJc w:val="left"/>
      <w:pPr>
        <w:tabs>
          <w:tab w:val="num" w:pos="475"/>
        </w:tabs>
        <w:ind w:left="0" w:firstLine="0"/>
      </w:pPr>
      <w:rPr>
        <w:spacing w:val="0"/>
        <w:w w:val="100"/>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7B257D52"/>
    <w:multiLevelType w:val="multilevel"/>
    <w:tmpl w:val="AEAA35A8"/>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1"/>
  </w:num>
  <w:num w:numId="2">
    <w:abstractNumId w:val="3"/>
  </w:num>
  <w:num w:numId="3">
    <w:abstractNumId w:val="5"/>
  </w:num>
  <w:num w:numId="4">
    <w:abstractNumId w:val="2"/>
  </w:num>
  <w:num w:numId="5">
    <w:abstractNumId w:val="6"/>
  </w:num>
  <w:num w:numId="6">
    <w:abstractNumId w:val="4"/>
    <w:lvlOverride w:ilvl="0">
      <w:lvl w:ilvl="0">
        <w:start w:val="1"/>
        <w:numFmt w:val="decimal"/>
        <w:lvlRestart w:val="0"/>
        <w:lvlText w:val="%1."/>
        <w:lvlJc w:val="left"/>
        <w:pPr>
          <w:ind w:left="270" w:firstLine="0"/>
        </w:pPr>
        <w:rPr>
          <w:spacing w:val="0"/>
          <w:w w:val="100"/>
        </w:rPr>
      </w:lvl>
    </w:lvlOverride>
  </w:num>
  <w:num w:numId="7">
    <w:abstractNumId w:val="4"/>
    <w:lvlOverride w:ilvl="0">
      <w:lvl w:ilvl="0">
        <w:start w:val="1"/>
        <w:numFmt w:val="decimal"/>
        <w:lvlRestart w:val="0"/>
        <w:lvlText w:val="%1."/>
        <w:lvlJc w:val="left"/>
        <w:pPr>
          <w:ind w:left="0" w:firstLine="0"/>
        </w:pPr>
        <w:rPr>
          <w:spacing w:val="0"/>
          <w:w w:val="100"/>
          <w:sz w:val="20"/>
          <w:szCs w:val="20"/>
        </w:rPr>
      </w:lvl>
    </w:lvlOverride>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2002415*"/>
    <w:docVar w:name="CreationDt" w:val="07/05/2020 12:28:33"/>
    <w:docVar w:name="DocCategory" w:val="Doc"/>
    <w:docVar w:name="DocType" w:val="Final"/>
    <w:docVar w:name="DutyStation" w:val="Vienna"/>
    <w:docVar w:name="FooterJN" w:val="V.20-02415"/>
    <w:docVar w:name="jobn" w:val="V.20-02415 (E)"/>
    <w:docVar w:name="jobnDT" w:val="V.20-02415 (E)   070520"/>
    <w:docVar w:name="jobnDTDT" w:val="V.20-02415 (E)   070520   070520"/>
    <w:docVar w:name="JobNo" w:val="V.2002415E"/>
    <w:docVar w:name="JobNo2" w:val="2002415E"/>
    <w:docVar w:name="LocalDrive" w:val="0"/>
    <w:docVar w:name="OandT" w:val="JHK"/>
    <w:docVar w:name="sss1" w:val="A/CN.9/1011"/>
    <w:docVar w:name="sss2" w:val="-"/>
    <w:docVar w:name="Symbol1" w:val="A/CN.9/1011"/>
    <w:docVar w:name="Symbol2" w:val="-"/>
  </w:docVars>
  <w:rsids>
    <w:rsidRoot w:val="006D75F2"/>
    <w:rsid w:val="00000060"/>
    <w:rsid w:val="0000255E"/>
    <w:rsid w:val="00004394"/>
    <w:rsid w:val="00004428"/>
    <w:rsid w:val="00012805"/>
    <w:rsid w:val="0001325F"/>
    <w:rsid w:val="00017FCF"/>
    <w:rsid w:val="000218FB"/>
    <w:rsid w:val="00024D1E"/>
    <w:rsid w:val="000408AB"/>
    <w:rsid w:val="0004469D"/>
    <w:rsid w:val="000475AD"/>
    <w:rsid w:val="000509F3"/>
    <w:rsid w:val="00062455"/>
    <w:rsid w:val="000704E5"/>
    <w:rsid w:val="00072327"/>
    <w:rsid w:val="000836CD"/>
    <w:rsid w:val="000849E1"/>
    <w:rsid w:val="000A427A"/>
    <w:rsid w:val="000A62F8"/>
    <w:rsid w:val="000B3288"/>
    <w:rsid w:val="000B5AFB"/>
    <w:rsid w:val="000C2D5C"/>
    <w:rsid w:val="000C3D0A"/>
    <w:rsid w:val="000C4C9C"/>
    <w:rsid w:val="000C7324"/>
    <w:rsid w:val="000D0624"/>
    <w:rsid w:val="000D073E"/>
    <w:rsid w:val="000D2C79"/>
    <w:rsid w:val="000D7D65"/>
    <w:rsid w:val="000E004B"/>
    <w:rsid w:val="000E1AB7"/>
    <w:rsid w:val="000E2EBB"/>
    <w:rsid w:val="000E4D48"/>
    <w:rsid w:val="000E7BAE"/>
    <w:rsid w:val="000F3126"/>
    <w:rsid w:val="000F5266"/>
    <w:rsid w:val="00116F8A"/>
    <w:rsid w:val="0011766D"/>
    <w:rsid w:val="00121D87"/>
    <w:rsid w:val="00123280"/>
    <w:rsid w:val="00131791"/>
    <w:rsid w:val="0014556D"/>
    <w:rsid w:val="00150878"/>
    <w:rsid w:val="00152625"/>
    <w:rsid w:val="00152F0D"/>
    <w:rsid w:val="0016254C"/>
    <w:rsid w:val="00166F3B"/>
    <w:rsid w:val="00175E1E"/>
    <w:rsid w:val="001825A6"/>
    <w:rsid w:val="00184E7F"/>
    <w:rsid w:val="00192F30"/>
    <w:rsid w:val="001A207A"/>
    <w:rsid w:val="001C22A4"/>
    <w:rsid w:val="001C58E2"/>
    <w:rsid w:val="001C66B8"/>
    <w:rsid w:val="001D79B0"/>
    <w:rsid w:val="001E05BB"/>
    <w:rsid w:val="001E683C"/>
    <w:rsid w:val="001E7101"/>
    <w:rsid w:val="001F2587"/>
    <w:rsid w:val="002007C7"/>
    <w:rsid w:val="00200F9C"/>
    <w:rsid w:val="00201732"/>
    <w:rsid w:val="00214645"/>
    <w:rsid w:val="002269F0"/>
    <w:rsid w:val="00231298"/>
    <w:rsid w:val="00237BF8"/>
    <w:rsid w:val="002430C5"/>
    <w:rsid w:val="00243522"/>
    <w:rsid w:val="00246FD6"/>
    <w:rsid w:val="00252269"/>
    <w:rsid w:val="00257516"/>
    <w:rsid w:val="002706A2"/>
    <w:rsid w:val="00271FFA"/>
    <w:rsid w:val="00284079"/>
    <w:rsid w:val="00296FA9"/>
    <w:rsid w:val="002A52D7"/>
    <w:rsid w:val="002B1B64"/>
    <w:rsid w:val="002B27FC"/>
    <w:rsid w:val="002B6E72"/>
    <w:rsid w:val="002C49B9"/>
    <w:rsid w:val="002C633D"/>
    <w:rsid w:val="002D0BEE"/>
    <w:rsid w:val="002D3613"/>
    <w:rsid w:val="002D5AB8"/>
    <w:rsid w:val="002D7604"/>
    <w:rsid w:val="002E09A8"/>
    <w:rsid w:val="002E319D"/>
    <w:rsid w:val="002F0AA8"/>
    <w:rsid w:val="002F218A"/>
    <w:rsid w:val="002F3107"/>
    <w:rsid w:val="00300B6A"/>
    <w:rsid w:val="0030107A"/>
    <w:rsid w:val="00310E30"/>
    <w:rsid w:val="00314447"/>
    <w:rsid w:val="00325411"/>
    <w:rsid w:val="00346E64"/>
    <w:rsid w:val="003629AA"/>
    <w:rsid w:val="00371A3B"/>
    <w:rsid w:val="00377120"/>
    <w:rsid w:val="00380398"/>
    <w:rsid w:val="00380A30"/>
    <w:rsid w:val="00383625"/>
    <w:rsid w:val="00385425"/>
    <w:rsid w:val="00395407"/>
    <w:rsid w:val="003A0A16"/>
    <w:rsid w:val="003B54EF"/>
    <w:rsid w:val="003D159A"/>
    <w:rsid w:val="003D2EAB"/>
    <w:rsid w:val="003E3B08"/>
    <w:rsid w:val="003E53D8"/>
    <w:rsid w:val="003E723B"/>
    <w:rsid w:val="003F25BA"/>
    <w:rsid w:val="00406FCA"/>
    <w:rsid w:val="004113EC"/>
    <w:rsid w:val="00411A24"/>
    <w:rsid w:val="00430767"/>
    <w:rsid w:val="004409C2"/>
    <w:rsid w:val="00440F92"/>
    <w:rsid w:val="0044179B"/>
    <w:rsid w:val="00444805"/>
    <w:rsid w:val="00452A38"/>
    <w:rsid w:val="00455FB0"/>
    <w:rsid w:val="00460A31"/>
    <w:rsid w:val="00461DD5"/>
    <w:rsid w:val="00473F65"/>
    <w:rsid w:val="00476914"/>
    <w:rsid w:val="004856CD"/>
    <w:rsid w:val="0049156E"/>
    <w:rsid w:val="00492ED8"/>
    <w:rsid w:val="004A199E"/>
    <w:rsid w:val="004A64D2"/>
    <w:rsid w:val="004A6554"/>
    <w:rsid w:val="004A703C"/>
    <w:rsid w:val="004B0B18"/>
    <w:rsid w:val="004B4C46"/>
    <w:rsid w:val="004B5A09"/>
    <w:rsid w:val="004C3B1F"/>
    <w:rsid w:val="004C7337"/>
    <w:rsid w:val="004D17DB"/>
    <w:rsid w:val="004D187F"/>
    <w:rsid w:val="004E2D09"/>
    <w:rsid w:val="004E5FE2"/>
    <w:rsid w:val="004F15D4"/>
    <w:rsid w:val="004F7C8F"/>
    <w:rsid w:val="00503886"/>
    <w:rsid w:val="005154F7"/>
    <w:rsid w:val="005239E2"/>
    <w:rsid w:val="00525648"/>
    <w:rsid w:val="0052622A"/>
    <w:rsid w:val="00531BFC"/>
    <w:rsid w:val="00532313"/>
    <w:rsid w:val="00536FC7"/>
    <w:rsid w:val="0054091E"/>
    <w:rsid w:val="00541C3A"/>
    <w:rsid w:val="005530C3"/>
    <w:rsid w:val="00556720"/>
    <w:rsid w:val="0056350E"/>
    <w:rsid w:val="00564E7E"/>
    <w:rsid w:val="005676F9"/>
    <w:rsid w:val="00577CAC"/>
    <w:rsid w:val="0058283C"/>
    <w:rsid w:val="005914AB"/>
    <w:rsid w:val="00593D33"/>
    <w:rsid w:val="005973A3"/>
    <w:rsid w:val="005A1CBD"/>
    <w:rsid w:val="005A2C8C"/>
    <w:rsid w:val="005A6B6C"/>
    <w:rsid w:val="005B47FD"/>
    <w:rsid w:val="005B51AD"/>
    <w:rsid w:val="005B6EE1"/>
    <w:rsid w:val="005B7FD0"/>
    <w:rsid w:val="005C49C8"/>
    <w:rsid w:val="005D2071"/>
    <w:rsid w:val="005D3F17"/>
    <w:rsid w:val="005E1677"/>
    <w:rsid w:val="005E55D5"/>
    <w:rsid w:val="005F2F1C"/>
    <w:rsid w:val="005F4F13"/>
    <w:rsid w:val="006027DA"/>
    <w:rsid w:val="00603F2C"/>
    <w:rsid w:val="00612565"/>
    <w:rsid w:val="00612A8A"/>
    <w:rsid w:val="006137E4"/>
    <w:rsid w:val="00632445"/>
    <w:rsid w:val="00632D5E"/>
    <w:rsid w:val="0063595F"/>
    <w:rsid w:val="00636929"/>
    <w:rsid w:val="00637829"/>
    <w:rsid w:val="0064252E"/>
    <w:rsid w:val="00651750"/>
    <w:rsid w:val="00661FC2"/>
    <w:rsid w:val="00663911"/>
    <w:rsid w:val="00664E5A"/>
    <w:rsid w:val="00667EC1"/>
    <w:rsid w:val="00670329"/>
    <w:rsid w:val="00670877"/>
    <w:rsid w:val="00674235"/>
    <w:rsid w:val="00681AFF"/>
    <w:rsid w:val="00683109"/>
    <w:rsid w:val="006A16BD"/>
    <w:rsid w:val="006B02E3"/>
    <w:rsid w:val="006B5CBD"/>
    <w:rsid w:val="006C792F"/>
    <w:rsid w:val="006D4694"/>
    <w:rsid w:val="006D6278"/>
    <w:rsid w:val="006D65D7"/>
    <w:rsid w:val="006D75F2"/>
    <w:rsid w:val="006E18DD"/>
    <w:rsid w:val="006E19F3"/>
    <w:rsid w:val="006E2FA3"/>
    <w:rsid w:val="006F67F9"/>
    <w:rsid w:val="00707CAD"/>
    <w:rsid w:val="00707E47"/>
    <w:rsid w:val="00710AAB"/>
    <w:rsid w:val="0073270D"/>
    <w:rsid w:val="00736BBD"/>
    <w:rsid w:val="00746C9F"/>
    <w:rsid w:val="00747697"/>
    <w:rsid w:val="007521BA"/>
    <w:rsid w:val="00756778"/>
    <w:rsid w:val="00764DD9"/>
    <w:rsid w:val="00777887"/>
    <w:rsid w:val="007821B2"/>
    <w:rsid w:val="0078396C"/>
    <w:rsid w:val="00783AE5"/>
    <w:rsid w:val="007947CF"/>
    <w:rsid w:val="00795CEA"/>
    <w:rsid w:val="00795F36"/>
    <w:rsid w:val="007A0177"/>
    <w:rsid w:val="007A29E5"/>
    <w:rsid w:val="007A42AF"/>
    <w:rsid w:val="007A4C14"/>
    <w:rsid w:val="007A540B"/>
    <w:rsid w:val="007A620C"/>
    <w:rsid w:val="007A6711"/>
    <w:rsid w:val="007C432C"/>
    <w:rsid w:val="007E67D8"/>
    <w:rsid w:val="007F0A73"/>
    <w:rsid w:val="007F1EE6"/>
    <w:rsid w:val="007F4CFF"/>
    <w:rsid w:val="007F6BBC"/>
    <w:rsid w:val="008030E2"/>
    <w:rsid w:val="0080311A"/>
    <w:rsid w:val="00804C9E"/>
    <w:rsid w:val="00811400"/>
    <w:rsid w:val="008146FA"/>
    <w:rsid w:val="0081506A"/>
    <w:rsid w:val="00846D29"/>
    <w:rsid w:val="00851D98"/>
    <w:rsid w:val="00855FFA"/>
    <w:rsid w:val="00857917"/>
    <w:rsid w:val="00861F4F"/>
    <w:rsid w:val="008723C3"/>
    <w:rsid w:val="00881D47"/>
    <w:rsid w:val="00890050"/>
    <w:rsid w:val="00890662"/>
    <w:rsid w:val="0089085F"/>
    <w:rsid w:val="00895B1A"/>
    <w:rsid w:val="008A156F"/>
    <w:rsid w:val="008A434E"/>
    <w:rsid w:val="008B2236"/>
    <w:rsid w:val="008D539F"/>
    <w:rsid w:val="008E2513"/>
    <w:rsid w:val="008F1C5D"/>
    <w:rsid w:val="00901EC9"/>
    <w:rsid w:val="00902A56"/>
    <w:rsid w:val="00902D0E"/>
    <w:rsid w:val="00903FCB"/>
    <w:rsid w:val="0091606B"/>
    <w:rsid w:val="0092561C"/>
    <w:rsid w:val="009367E4"/>
    <w:rsid w:val="00943BE1"/>
    <w:rsid w:val="00947922"/>
    <w:rsid w:val="00947C23"/>
    <w:rsid w:val="009517EC"/>
    <w:rsid w:val="0095373C"/>
    <w:rsid w:val="0096140F"/>
    <w:rsid w:val="00965622"/>
    <w:rsid w:val="00972EFC"/>
    <w:rsid w:val="00977851"/>
    <w:rsid w:val="00980467"/>
    <w:rsid w:val="0098787D"/>
    <w:rsid w:val="00992F85"/>
    <w:rsid w:val="00994D27"/>
    <w:rsid w:val="0099637B"/>
    <w:rsid w:val="009B3F78"/>
    <w:rsid w:val="009C0A74"/>
    <w:rsid w:val="009C11F9"/>
    <w:rsid w:val="009D4AE7"/>
    <w:rsid w:val="009E0663"/>
    <w:rsid w:val="009E14E9"/>
    <w:rsid w:val="009E1969"/>
    <w:rsid w:val="009E3871"/>
    <w:rsid w:val="009E6CB2"/>
    <w:rsid w:val="009F6148"/>
    <w:rsid w:val="00A16480"/>
    <w:rsid w:val="00A20AC0"/>
    <w:rsid w:val="00A266DC"/>
    <w:rsid w:val="00A30DCB"/>
    <w:rsid w:val="00A30ED6"/>
    <w:rsid w:val="00A32A01"/>
    <w:rsid w:val="00A3665D"/>
    <w:rsid w:val="00A412A3"/>
    <w:rsid w:val="00A43076"/>
    <w:rsid w:val="00A57FBE"/>
    <w:rsid w:val="00A62F6B"/>
    <w:rsid w:val="00A64F68"/>
    <w:rsid w:val="00A65457"/>
    <w:rsid w:val="00A65B42"/>
    <w:rsid w:val="00A67B69"/>
    <w:rsid w:val="00A73452"/>
    <w:rsid w:val="00A81678"/>
    <w:rsid w:val="00A93A73"/>
    <w:rsid w:val="00A95CC4"/>
    <w:rsid w:val="00A9697F"/>
    <w:rsid w:val="00AA2E74"/>
    <w:rsid w:val="00AA31F4"/>
    <w:rsid w:val="00AB2BAB"/>
    <w:rsid w:val="00AB42E0"/>
    <w:rsid w:val="00AC0076"/>
    <w:rsid w:val="00AC2C08"/>
    <w:rsid w:val="00AC617F"/>
    <w:rsid w:val="00AD26D4"/>
    <w:rsid w:val="00AE72A3"/>
    <w:rsid w:val="00B02E60"/>
    <w:rsid w:val="00B14879"/>
    <w:rsid w:val="00B2110D"/>
    <w:rsid w:val="00B27E2C"/>
    <w:rsid w:val="00B34822"/>
    <w:rsid w:val="00B40842"/>
    <w:rsid w:val="00B4359D"/>
    <w:rsid w:val="00B524DF"/>
    <w:rsid w:val="00B53745"/>
    <w:rsid w:val="00B56A03"/>
    <w:rsid w:val="00B56BE9"/>
    <w:rsid w:val="00B608E0"/>
    <w:rsid w:val="00B7059B"/>
    <w:rsid w:val="00B737B1"/>
    <w:rsid w:val="00B81D6D"/>
    <w:rsid w:val="00B90F09"/>
    <w:rsid w:val="00B92CC5"/>
    <w:rsid w:val="00B93E6C"/>
    <w:rsid w:val="00B95410"/>
    <w:rsid w:val="00BA666B"/>
    <w:rsid w:val="00BB0C34"/>
    <w:rsid w:val="00BB5C57"/>
    <w:rsid w:val="00BB5C7D"/>
    <w:rsid w:val="00BC09BB"/>
    <w:rsid w:val="00BC233F"/>
    <w:rsid w:val="00BD3FB8"/>
    <w:rsid w:val="00BE196B"/>
    <w:rsid w:val="00BE2B0E"/>
    <w:rsid w:val="00BE3768"/>
    <w:rsid w:val="00BF5B27"/>
    <w:rsid w:val="00BF62C0"/>
    <w:rsid w:val="00BF6BE0"/>
    <w:rsid w:val="00C275E0"/>
    <w:rsid w:val="00C33C6B"/>
    <w:rsid w:val="00C44797"/>
    <w:rsid w:val="00C57738"/>
    <w:rsid w:val="00C66181"/>
    <w:rsid w:val="00C717D6"/>
    <w:rsid w:val="00C779E4"/>
    <w:rsid w:val="00C87527"/>
    <w:rsid w:val="00C9144C"/>
    <w:rsid w:val="00C93570"/>
    <w:rsid w:val="00C96618"/>
    <w:rsid w:val="00CC19BA"/>
    <w:rsid w:val="00CC3D17"/>
    <w:rsid w:val="00CD4AC4"/>
    <w:rsid w:val="00CD78F5"/>
    <w:rsid w:val="00CD7AE7"/>
    <w:rsid w:val="00CE0811"/>
    <w:rsid w:val="00CE1A35"/>
    <w:rsid w:val="00CF7580"/>
    <w:rsid w:val="00D0140E"/>
    <w:rsid w:val="00D01FED"/>
    <w:rsid w:val="00D076E0"/>
    <w:rsid w:val="00D1360D"/>
    <w:rsid w:val="00D140E1"/>
    <w:rsid w:val="00D26A24"/>
    <w:rsid w:val="00D3027E"/>
    <w:rsid w:val="00D35EBB"/>
    <w:rsid w:val="00D405C1"/>
    <w:rsid w:val="00D42722"/>
    <w:rsid w:val="00D47675"/>
    <w:rsid w:val="00D511A7"/>
    <w:rsid w:val="00D52532"/>
    <w:rsid w:val="00D526E8"/>
    <w:rsid w:val="00D622A2"/>
    <w:rsid w:val="00D64ADB"/>
    <w:rsid w:val="00D7007D"/>
    <w:rsid w:val="00D72CA0"/>
    <w:rsid w:val="00D74C75"/>
    <w:rsid w:val="00D94A42"/>
    <w:rsid w:val="00DB2678"/>
    <w:rsid w:val="00DC491F"/>
    <w:rsid w:val="00DC692F"/>
    <w:rsid w:val="00DC7B16"/>
    <w:rsid w:val="00DD0E55"/>
    <w:rsid w:val="00DD19A6"/>
    <w:rsid w:val="00DD2C58"/>
    <w:rsid w:val="00DD42F7"/>
    <w:rsid w:val="00DE076C"/>
    <w:rsid w:val="00DE0C47"/>
    <w:rsid w:val="00DE378A"/>
    <w:rsid w:val="00DE53C8"/>
    <w:rsid w:val="00DF1FA0"/>
    <w:rsid w:val="00DF522A"/>
    <w:rsid w:val="00DF6474"/>
    <w:rsid w:val="00E020EF"/>
    <w:rsid w:val="00E05777"/>
    <w:rsid w:val="00E11424"/>
    <w:rsid w:val="00E27644"/>
    <w:rsid w:val="00E33B3F"/>
    <w:rsid w:val="00E438E8"/>
    <w:rsid w:val="00E46C7F"/>
    <w:rsid w:val="00E50B0E"/>
    <w:rsid w:val="00E53BC2"/>
    <w:rsid w:val="00E53D32"/>
    <w:rsid w:val="00E54162"/>
    <w:rsid w:val="00E720F1"/>
    <w:rsid w:val="00E74E90"/>
    <w:rsid w:val="00E75C28"/>
    <w:rsid w:val="00E862FD"/>
    <w:rsid w:val="00E870C2"/>
    <w:rsid w:val="00E92AC5"/>
    <w:rsid w:val="00E95A8D"/>
    <w:rsid w:val="00E96FCF"/>
    <w:rsid w:val="00EA4DDD"/>
    <w:rsid w:val="00EC09A6"/>
    <w:rsid w:val="00EC7072"/>
    <w:rsid w:val="00ED0016"/>
    <w:rsid w:val="00ED1094"/>
    <w:rsid w:val="00ED42F5"/>
    <w:rsid w:val="00ED5AA7"/>
    <w:rsid w:val="00EE1E72"/>
    <w:rsid w:val="00EE570F"/>
    <w:rsid w:val="00F07B0C"/>
    <w:rsid w:val="00F1608A"/>
    <w:rsid w:val="00F25151"/>
    <w:rsid w:val="00F27BF6"/>
    <w:rsid w:val="00F30184"/>
    <w:rsid w:val="00F315AB"/>
    <w:rsid w:val="00F40458"/>
    <w:rsid w:val="00F404B5"/>
    <w:rsid w:val="00F44C93"/>
    <w:rsid w:val="00F51386"/>
    <w:rsid w:val="00F5593E"/>
    <w:rsid w:val="00F56BA2"/>
    <w:rsid w:val="00F60016"/>
    <w:rsid w:val="00F6553D"/>
    <w:rsid w:val="00F66E5B"/>
    <w:rsid w:val="00F70F8F"/>
    <w:rsid w:val="00F72B00"/>
    <w:rsid w:val="00F7600D"/>
    <w:rsid w:val="00F83AAF"/>
    <w:rsid w:val="00F85F73"/>
    <w:rsid w:val="00F8600E"/>
    <w:rsid w:val="00F874E3"/>
    <w:rsid w:val="00F87A09"/>
    <w:rsid w:val="00F94BC6"/>
    <w:rsid w:val="00F96AC4"/>
    <w:rsid w:val="00F96CF0"/>
    <w:rsid w:val="00FA06F8"/>
    <w:rsid w:val="00FB5275"/>
    <w:rsid w:val="00FC2973"/>
    <w:rsid w:val="00FC3B48"/>
    <w:rsid w:val="00FC49F5"/>
    <w:rsid w:val="00FD01B0"/>
    <w:rsid w:val="00FD088D"/>
    <w:rsid w:val="00FD2468"/>
    <w:rsid w:val="00FF27FD"/>
    <w:rsid w:val="00FF79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ED295D9"/>
  <w15:chartTrackingRefBased/>
  <w15:docId w15:val="{4941A45F-FBC5-4952-9CAC-8BE7D2E9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313"/>
    <w:pPr>
      <w:suppressAutoHyphens/>
      <w:spacing w:after="0" w:line="240" w:lineRule="atLeas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3A0A16"/>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3A0A16"/>
    <w:pPr>
      <w:numPr>
        <w:ilvl w:val="7"/>
        <w:numId w:val="5"/>
      </w:numPr>
      <w:outlineLvl w:val="7"/>
    </w:pPr>
    <w:rPr>
      <w:rFonts w:ascii="Cambria" w:eastAsia="Times New Roman" w:hAnsi="Cambria"/>
    </w:rPr>
  </w:style>
  <w:style w:type="paragraph" w:styleId="Heading9">
    <w:name w:val="heading 9"/>
    <w:basedOn w:val="Normal"/>
    <w:next w:val="Normal"/>
    <w:link w:val="Heading9Char"/>
    <w:uiPriority w:val="9"/>
    <w:unhideWhenUsed/>
    <w:qFormat/>
    <w:rsid w:val="003A0A16"/>
    <w:pPr>
      <w:numPr>
        <w:ilvl w:val="8"/>
        <w:numId w:val="5"/>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4F7C8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sz w:val="24"/>
    </w:rPr>
  </w:style>
  <w:style w:type="paragraph" w:customStyle="1" w:styleId="HCh">
    <w:name w:val="_ H _Ch"/>
    <w:basedOn w:val="H1"/>
    <w:next w:val="SingleTxt"/>
    <w:rsid w:val="004F7C8F"/>
    <w:pPr>
      <w:spacing w:line="300" w:lineRule="exact"/>
      <w:ind w:left="0" w:right="0" w:firstLine="0"/>
    </w:pPr>
    <w:rPr>
      <w:spacing w:val="-2"/>
      <w:sz w:val="28"/>
    </w:rPr>
  </w:style>
  <w:style w:type="paragraph" w:customStyle="1" w:styleId="HM">
    <w:name w:val="_ H __M"/>
    <w:basedOn w:val="HCh"/>
    <w:next w:val="Normal"/>
    <w:rsid w:val="004F7C8F"/>
    <w:pPr>
      <w:spacing w:line="360" w:lineRule="exact"/>
    </w:pPr>
    <w:rPr>
      <w:spacing w:val="-3"/>
      <w:w w:val="99"/>
      <w:sz w:val="34"/>
    </w:rPr>
  </w:style>
  <w:style w:type="paragraph" w:customStyle="1" w:styleId="H23">
    <w:name w:val="_ H_2/3"/>
    <w:basedOn w:val="H1"/>
    <w:next w:val="DualTxt"/>
    <w:rsid w:val="004F7C8F"/>
    <w:pPr>
      <w:spacing w:line="240" w:lineRule="exact"/>
      <w:outlineLvl w:val="1"/>
    </w:pPr>
    <w:rPr>
      <w:spacing w:val="2"/>
      <w:sz w:val="20"/>
    </w:rPr>
  </w:style>
  <w:style w:type="paragraph" w:customStyle="1" w:styleId="H4">
    <w:name w:val="_ H_4"/>
    <w:basedOn w:val="Normal"/>
    <w:next w:val="SingleTxt"/>
    <w:rsid w:val="004F7C8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H56">
    <w:name w:val="_ H_5/6"/>
    <w:basedOn w:val="Normal"/>
    <w:next w:val="Normal"/>
    <w:rsid w:val="004F7C8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4"/>
    </w:pPr>
  </w:style>
  <w:style w:type="paragraph" w:customStyle="1" w:styleId="DualTxt">
    <w:name w:val="__Dual Txt"/>
    <w:basedOn w:val="Normal"/>
    <w:rsid w:val="004F7C8F"/>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F7C8F"/>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F7C8F"/>
    <w:pPr>
      <w:spacing w:line="540" w:lineRule="exact"/>
    </w:pPr>
    <w:rPr>
      <w:spacing w:val="-8"/>
      <w:w w:val="96"/>
      <w:sz w:val="57"/>
    </w:rPr>
  </w:style>
  <w:style w:type="paragraph" w:customStyle="1" w:styleId="SS">
    <w:name w:val="__S_S"/>
    <w:basedOn w:val="HCh"/>
    <w:next w:val="Normal"/>
    <w:rsid w:val="004F7C8F"/>
    <w:pPr>
      <w:ind w:left="1267" w:right="1267"/>
    </w:pPr>
  </w:style>
  <w:style w:type="paragraph" w:customStyle="1" w:styleId="SingleTxt">
    <w:name w:val="__Single Txt"/>
    <w:basedOn w:val="Normal"/>
    <w:link w:val="SingleTxtChar"/>
    <w:qFormat/>
    <w:rsid w:val="004F7C8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style>
  <w:style w:type="paragraph" w:customStyle="1" w:styleId="AgendaItemNormal">
    <w:name w:val="Agenda_Item_Normal"/>
    <w:next w:val="Normal"/>
    <w:qFormat/>
    <w:rsid w:val="004F7C8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4F7C8F"/>
    <w:pPr>
      <w:keepNext w:val="0"/>
      <w:keepLines w:val="0"/>
    </w:pPr>
  </w:style>
  <w:style w:type="paragraph" w:customStyle="1" w:styleId="AgendaTitleH2">
    <w:name w:val="Agenda_Title_H2"/>
    <w:basedOn w:val="TitleH1"/>
    <w:next w:val="Normal"/>
    <w:qFormat/>
    <w:rsid w:val="004F7C8F"/>
    <w:pPr>
      <w:keepNext/>
      <w:keepLines/>
      <w:spacing w:line="240" w:lineRule="exact"/>
      <w:ind w:left="0" w:firstLine="0"/>
      <w:outlineLvl w:val="1"/>
    </w:pPr>
    <w:rPr>
      <w:sz w:val="20"/>
    </w:rPr>
  </w:style>
  <w:style w:type="paragraph" w:styleId="BalloonText">
    <w:name w:val="Balloon Text"/>
    <w:basedOn w:val="Normal"/>
    <w:link w:val="BalloonTextChar"/>
    <w:semiHidden/>
    <w:rsid w:val="004F7C8F"/>
    <w:rPr>
      <w:rFonts w:ascii="Tahoma" w:hAnsi="Tahoma" w:cs="Tahoma"/>
      <w:sz w:val="16"/>
      <w:szCs w:val="16"/>
    </w:rPr>
  </w:style>
  <w:style w:type="character" w:customStyle="1" w:styleId="BalloonTextChar">
    <w:name w:val="Balloon Text Char"/>
    <w:basedOn w:val="DefaultParagraphFont"/>
    <w:link w:val="BalloonText"/>
    <w:semiHidden/>
    <w:rsid w:val="004F7C8F"/>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F7C8F"/>
    <w:pPr>
      <w:numPr>
        <w:numId w:val="3"/>
      </w:numPr>
      <w:spacing w:after="120"/>
      <w:ind w:right="1267"/>
      <w:jc w:val="both"/>
    </w:pPr>
  </w:style>
  <w:style w:type="paragraph" w:customStyle="1" w:styleId="Bullet2">
    <w:name w:val="Bullet 2"/>
    <w:basedOn w:val="Normal"/>
    <w:qFormat/>
    <w:rsid w:val="003A0A16"/>
    <w:pPr>
      <w:numPr>
        <w:numId w:val="1"/>
      </w:numPr>
      <w:spacing w:after="120"/>
      <w:ind w:right="1264"/>
      <w:jc w:val="both"/>
    </w:pPr>
  </w:style>
  <w:style w:type="paragraph" w:customStyle="1" w:styleId="Bullet3">
    <w:name w:val="Bullet 3"/>
    <w:basedOn w:val="SingleTxt"/>
    <w:qFormat/>
    <w:rsid w:val="004F7C8F"/>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4F7C8F"/>
    <w:rPr>
      <w:sz w:val="6"/>
    </w:rPr>
  </w:style>
  <w:style w:type="paragraph" w:customStyle="1" w:styleId="Distribution">
    <w:name w:val="Distribution"/>
    <w:next w:val="Normal"/>
    <w:rsid w:val="004F7C8F"/>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F7C8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4F7C8F"/>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uiPriority w:val="99"/>
    <w:rsid w:val="004F7C8F"/>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F7C8F"/>
  </w:style>
  <w:style w:type="character" w:customStyle="1" w:styleId="EndnoteTextChar">
    <w:name w:val="Endnote Text Char"/>
    <w:basedOn w:val="DefaultParagraphFont"/>
    <w:link w:val="EndnoteText"/>
    <w:semiHidden/>
    <w:rsid w:val="004F7C8F"/>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4F7C8F"/>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F7C8F"/>
    <w:rPr>
      <w:rFonts w:ascii="Times New Roman" w:eastAsiaTheme="minorHAnsi" w:hAnsi="Times New Roman" w:cs="Times New Roman"/>
      <w:b/>
      <w:noProof/>
      <w:sz w:val="17"/>
      <w:szCs w:val="20"/>
      <w:lang w:val="en-US" w:eastAsia="en-US"/>
    </w:rPr>
  </w:style>
  <w:style w:type="character" w:styleId="FootnoteReference">
    <w:name w:val="footnote reference"/>
    <w:aliases w:val="BVI fnr,Footnote,Ref,Ref. de nota al pie,de nota al pie,ftref,Знак сноски 1"/>
    <w:uiPriority w:val="99"/>
    <w:rsid w:val="004F7C8F"/>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4F7C8F"/>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F7C8F"/>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4F7C8F"/>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2"/>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4F7C8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F7C8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F7C8F"/>
    <w:pPr>
      <w:tabs>
        <w:tab w:val="right" w:pos="9965"/>
      </w:tabs>
      <w:spacing w:line="210" w:lineRule="exact"/>
    </w:pPr>
    <w:rPr>
      <w:spacing w:val="5"/>
      <w:w w:val="104"/>
      <w:sz w:val="17"/>
    </w:rPr>
  </w:style>
  <w:style w:type="paragraph" w:customStyle="1" w:styleId="SmallX">
    <w:name w:val="SmallX"/>
    <w:basedOn w:val="Small"/>
    <w:next w:val="Normal"/>
    <w:rsid w:val="004F7C8F"/>
    <w:pPr>
      <w:spacing w:line="180" w:lineRule="exact"/>
      <w:jc w:val="right"/>
    </w:pPr>
    <w:rPr>
      <w:spacing w:val="6"/>
      <w:w w:val="106"/>
      <w:sz w:val="14"/>
    </w:rPr>
  </w:style>
  <w:style w:type="paragraph" w:customStyle="1" w:styleId="TitleHCH">
    <w:name w:val="Title_H_CH"/>
    <w:basedOn w:val="Normal"/>
    <w:next w:val="SingleTxt"/>
    <w:qFormat/>
    <w:rsid w:val="004F7C8F"/>
  </w:style>
  <w:style w:type="paragraph" w:customStyle="1" w:styleId="TitleH2">
    <w:name w:val="Title_H2"/>
    <w:basedOn w:val="H23"/>
    <w:qFormat/>
    <w:rsid w:val="004F7C8F"/>
  </w:style>
  <w:style w:type="paragraph" w:styleId="TOCHeading">
    <w:name w:val="TOC Heading"/>
    <w:basedOn w:val="Heading1"/>
    <w:next w:val="Normal"/>
    <w:uiPriority w:val="39"/>
    <w:unhideWhenUsed/>
    <w:qFormat/>
    <w:rsid w:val="003A0A16"/>
    <w:pPr>
      <w:outlineLvl w:val="9"/>
    </w:pPr>
    <w:rPr>
      <w:rFonts w:eastAsiaTheme="majorEastAsia" w:cstheme="majorBidi"/>
      <w:lang w:bidi="en-US"/>
    </w:rPr>
  </w:style>
  <w:style w:type="paragraph" w:customStyle="1" w:styleId="XLarge">
    <w:name w:val="XLarge"/>
    <w:basedOn w:val="HM"/>
    <w:rsid w:val="004F7C8F"/>
    <w:pPr>
      <w:spacing w:line="390" w:lineRule="exact"/>
    </w:pPr>
    <w:rPr>
      <w:spacing w:val="-4"/>
      <w:w w:val="98"/>
      <w:sz w:val="40"/>
    </w:rPr>
  </w:style>
  <w:style w:type="character" w:styleId="Hyperlink">
    <w:name w:val="Hyperlink"/>
    <w:basedOn w:val="DefaultParagraphFont"/>
    <w:uiPriority w:val="99"/>
    <w:rsid w:val="004F7C8F"/>
    <w:rPr>
      <w:color w:val="0000FF" w:themeColor="hyperlink"/>
      <w:u w:val="none"/>
    </w:rPr>
  </w:style>
  <w:style w:type="paragraph" w:styleId="PlainText">
    <w:name w:val="Plain Text"/>
    <w:basedOn w:val="Normal"/>
    <w:link w:val="PlainTextChar"/>
    <w:rsid w:val="004F7C8F"/>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F7C8F"/>
    <w:rPr>
      <w:rFonts w:ascii="Courier New" w:eastAsia="Times New Roman" w:hAnsi="Courier New" w:cs="Times New Roman"/>
      <w:sz w:val="20"/>
      <w:szCs w:val="20"/>
      <w:lang w:val="en-US" w:eastAsia="en-GB"/>
    </w:rPr>
  </w:style>
  <w:style w:type="paragraph" w:customStyle="1" w:styleId="ReleaseDate0">
    <w:name w:val="Release Date"/>
    <w:next w:val="Footer"/>
    <w:rsid w:val="004F7C8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F7C8F"/>
    <w:pPr>
      <w:ind w:left="0" w:firstLine="0"/>
    </w:pPr>
    <w:rPr>
      <w:spacing w:val="4"/>
    </w:rPr>
  </w:style>
  <w:style w:type="table" w:styleId="TableGrid">
    <w:name w:val="Table Grid"/>
    <w:basedOn w:val="TableNormal"/>
    <w:uiPriority w:val="59"/>
    <w:rsid w:val="004F7C8F"/>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252269"/>
    <w:pPr>
      <w:spacing w:line="240" w:lineRule="auto"/>
    </w:pPr>
  </w:style>
  <w:style w:type="character" w:customStyle="1" w:styleId="CommentTextChar">
    <w:name w:val="Comment Text Char"/>
    <w:basedOn w:val="DefaultParagraphFont"/>
    <w:link w:val="CommentText"/>
    <w:uiPriority w:val="99"/>
    <w:semiHidden/>
    <w:rsid w:val="00252269"/>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252269"/>
    <w:rPr>
      <w:b/>
      <w:bCs/>
    </w:rPr>
  </w:style>
  <w:style w:type="character" w:customStyle="1" w:styleId="CommentSubjectChar">
    <w:name w:val="Comment Subject Char"/>
    <w:basedOn w:val="CommentTextChar"/>
    <w:link w:val="CommentSubject"/>
    <w:uiPriority w:val="99"/>
    <w:semiHidden/>
    <w:rsid w:val="00252269"/>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440F92"/>
    <w:pPr>
      <w:ind w:left="720"/>
      <w:contextualSpacing/>
    </w:pPr>
  </w:style>
  <w:style w:type="character" w:customStyle="1" w:styleId="UnresolvedMention1">
    <w:name w:val="Unresolved Mention1"/>
    <w:basedOn w:val="DefaultParagraphFont"/>
    <w:uiPriority w:val="99"/>
    <w:semiHidden/>
    <w:unhideWhenUsed/>
    <w:rsid w:val="00A3665D"/>
    <w:rPr>
      <w:color w:val="605E5C"/>
      <w:shd w:val="clear" w:color="auto" w:fill="E1DFDD"/>
    </w:rPr>
  </w:style>
  <w:style w:type="paragraph" w:styleId="Revision">
    <w:name w:val="Revision"/>
    <w:hidden/>
    <w:uiPriority w:val="99"/>
    <w:semiHidden/>
    <w:rsid w:val="00A3665D"/>
    <w:pPr>
      <w:spacing w:after="0" w:line="240" w:lineRule="auto"/>
    </w:pPr>
    <w:rPr>
      <w:rFonts w:ascii="Times New Roman" w:eastAsiaTheme="minorHAnsi" w:hAnsi="Times New Roman" w:cs="Times New Roman"/>
      <w:spacing w:val="4"/>
      <w:w w:val="103"/>
      <w:kern w:val="14"/>
      <w:sz w:val="20"/>
      <w:szCs w:val="20"/>
      <w:lang w:eastAsia="en-US"/>
    </w:rPr>
  </w:style>
  <w:style w:type="character" w:customStyle="1" w:styleId="None">
    <w:name w:val="None"/>
    <w:rsid w:val="00A3665D"/>
  </w:style>
  <w:style w:type="paragraph" w:customStyle="1" w:styleId="Default">
    <w:name w:val="Default"/>
    <w:rsid w:val="00A3665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14:textOutline w14:w="12700" w14:cap="flat" w14:cmpd="sng" w14:algn="ctr">
        <w14:noFill/>
        <w14:prstDash w14:val="solid"/>
        <w14:miter w14:lim="400000"/>
      </w14:textOutline>
    </w:rPr>
  </w:style>
  <w:style w:type="character" w:customStyle="1" w:styleId="SingleTxtChar">
    <w:name w:val="__Single Txt Char"/>
    <w:basedOn w:val="HeaderChar"/>
    <w:link w:val="SingleTxt"/>
    <w:qFormat/>
    <w:rsid w:val="00A3665D"/>
    <w:rPr>
      <w:rFonts w:ascii="Times New Roman" w:eastAsiaTheme="minorHAnsi" w:hAnsi="Times New Roman" w:cs="Times New Roman"/>
      <w:noProof/>
      <w:spacing w:val="4"/>
      <w:w w:val="103"/>
      <w:kern w:val="14"/>
      <w:sz w:val="20"/>
      <w:szCs w:val="20"/>
      <w:lang w:val="en-US" w:eastAsia="en-US"/>
    </w:rPr>
  </w:style>
  <w:style w:type="paragraph" w:styleId="TOC1">
    <w:name w:val="toc 1"/>
    <w:basedOn w:val="Normal"/>
    <w:next w:val="Normal"/>
    <w:autoRedefine/>
    <w:uiPriority w:val="39"/>
    <w:unhideWhenUsed/>
    <w:rsid w:val="00A3665D"/>
    <w:pPr>
      <w:spacing w:after="100"/>
    </w:pPr>
  </w:style>
  <w:style w:type="paragraph" w:styleId="TOC2">
    <w:name w:val="toc 2"/>
    <w:basedOn w:val="Normal"/>
    <w:next w:val="Normal"/>
    <w:autoRedefine/>
    <w:uiPriority w:val="39"/>
    <w:unhideWhenUsed/>
    <w:rsid w:val="00A3665D"/>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5416">
      <w:bodyDiv w:val="1"/>
      <w:marLeft w:val="0"/>
      <w:marRight w:val="0"/>
      <w:marTop w:val="0"/>
      <w:marBottom w:val="0"/>
      <w:divBdr>
        <w:top w:val="none" w:sz="0" w:space="0" w:color="auto"/>
        <w:left w:val="none" w:sz="0" w:space="0" w:color="auto"/>
        <w:bottom w:val="none" w:sz="0" w:space="0" w:color="auto"/>
        <w:right w:val="none" w:sz="0" w:space="0" w:color="auto"/>
      </w:divBdr>
    </w:div>
    <w:div w:id="341468227">
      <w:bodyDiv w:val="1"/>
      <w:marLeft w:val="0"/>
      <w:marRight w:val="0"/>
      <w:marTop w:val="0"/>
      <w:marBottom w:val="0"/>
      <w:divBdr>
        <w:top w:val="none" w:sz="0" w:space="0" w:color="auto"/>
        <w:left w:val="none" w:sz="0" w:space="0" w:color="auto"/>
        <w:bottom w:val="none" w:sz="0" w:space="0" w:color="auto"/>
        <w:right w:val="none" w:sz="0" w:space="0" w:color="auto"/>
      </w:divBdr>
    </w:div>
    <w:div w:id="537661864">
      <w:bodyDiv w:val="1"/>
      <w:marLeft w:val="0"/>
      <w:marRight w:val="0"/>
      <w:marTop w:val="0"/>
      <w:marBottom w:val="0"/>
      <w:divBdr>
        <w:top w:val="none" w:sz="0" w:space="0" w:color="auto"/>
        <w:left w:val="none" w:sz="0" w:space="0" w:color="auto"/>
        <w:bottom w:val="none" w:sz="0" w:space="0" w:color="auto"/>
        <w:right w:val="none" w:sz="0" w:space="0" w:color="auto"/>
      </w:divBdr>
    </w:div>
    <w:div w:id="848561944">
      <w:bodyDiv w:val="1"/>
      <w:marLeft w:val="0"/>
      <w:marRight w:val="0"/>
      <w:marTop w:val="0"/>
      <w:marBottom w:val="0"/>
      <w:divBdr>
        <w:top w:val="none" w:sz="0" w:space="0" w:color="auto"/>
        <w:left w:val="none" w:sz="0" w:space="0" w:color="auto"/>
        <w:bottom w:val="none" w:sz="0" w:space="0" w:color="auto"/>
        <w:right w:val="none" w:sz="0" w:space="0" w:color="auto"/>
      </w:divBdr>
    </w:div>
    <w:div w:id="855315594">
      <w:bodyDiv w:val="1"/>
      <w:marLeft w:val="0"/>
      <w:marRight w:val="0"/>
      <w:marTop w:val="0"/>
      <w:marBottom w:val="0"/>
      <w:divBdr>
        <w:top w:val="none" w:sz="0" w:space="0" w:color="auto"/>
        <w:left w:val="none" w:sz="0" w:space="0" w:color="auto"/>
        <w:bottom w:val="none" w:sz="0" w:space="0" w:color="auto"/>
        <w:right w:val="none" w:sz="0" w:space="0" w:color="auto"/>
      </w:divBdr>
    </w:div>
    <w:div w:id="1031343174">
      <w:bodyDiv w:val="1"/>
      <w:marLeft w:val="0"/>
      <w:marRight w:val="0"/>
      <w:marTop w:val="0"/>
      <w:marBottom w:val="0"/>
      <w:divBdr>
        <w:top w:val="none" w:sz="0" w:space="0" w:color="auto"/>
        <w:left w:val="none" w:sz="0" w:space="0" w:color="auto"/>
        <w:bottom w:val="none" w:sz="0" w:space="0" w:color="auto"/>
        <w:right w:val="none" w:sz="0" w:space="0" w:color="auto"/>
      </w:divBdr>
    </w:div>
    <w:div w:id="1190409206">
      <w:bodyDiv w:val="1"/>
      <w:marLeft w:val="0"/>
      <w:marRight w:val="0"/>
      <w:marTop w:val="0"/>
      <w:marBottom w:val="0"/>
      <w:divBdr>
        <w:top w:val="none" w:sz="0" w:space="0" w:color="auto"/>
        <w:left w:val="none" w:sz="0" w:space="0" w:color="auto"/>
        <w:bottom w:val="none" w:sz="0" w:space="0" w:color="auto"/>
        <w:right w:val="none" w:sz="0" w:space="0" w:color="auto"/>
      </w:divBdr>
    </w:div>
    <w:div w:id="1550461435">
      <w:bodyDiv w:val="1"/>
      <w:marLeft w:val="0"/>
      <w:marRight w:val="0"/>
      <w:marTop w:val="0"/>
      <w:marBottom w:val="0"/>
      <w:divBdr>
        <w:top w:val="none" w:sz="0" w:space="0" w:color="auto"/>
        <w:left w:val="none" w:sz="0" w:space="0" w:color="auto"/>
        <w:bottom w:val="none" w:sz="0" w:space="0" w:color="auto"/>
        <w:right w:val="none" w:sz="0" w:space="0" w:color="auto"/>
      </w:divBdr>
    </w:div>
    <w:div w:id="1807621065">
      <w:bodyDiv w:val="1"/>
      <w:marLeft w:val="0"/>
      <w:marRight w:val="0"/>
      <w:marTop w:val="0"/>
      <w:marBottom w:val="0"/>
      <w:divBdr>
        <w:top w:val="none" w:sz="0" w:space="0" w:color="auto"/>
        <w:left w:val="none" w:sz="0" w:space="0" w:color="auto"/>
        <w:bottom w:val="none" w:sz="0" w:space="0" w:color="auto"/>
        <w:right w:val="none" w:sz="0" w:space="0" w:color="auto"/>
      </w:divBdr>
    </w:div>
    <w:div w:id="1906797628">
      <w:bodyDiv w:val="1"/>
      <w:marLeft w:val="0"/>
      <w:marRight w:val="0"/>
      <w:marTop w:val="0"/>
      <w:marBottom w:val="0"/>
      <w:divBdr>
        <w:top w:val="none" w:sz="0" w:space="0" w:color="auto"/>
        <w:left w:val="none" w:sz="0" w:space="0" w:color="auto"/>
        <w:bottom w:val="none" w:sz="0" w:space="0" w:color="auto"/>
        <w:right w:val="none" w:sz="0" w:space="0" w:color="auto"/>
      </w:divBdr>
    </w:div>
    <w:div w:id="206753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undocs.org/A/CN.9/1004/Add.1" TargetMode="External"/><Relationship Id="rId3" Type="http://schemas.openxmlformats.org/officeDocument/2006/relationships/hyperlink" Target="http://undocs.org/A/CN.9/930/Rev.1" TargetMode="External"/><Relationship Id="rId7" Type="http://schemas.openxmlformats.org/officeDocument/2006/relationships/hyperlink" Target="https://undocs.org/en/A/CN.9/1004" TargetMode="External"/><Relationship Id="rId2" Type="http://schemas.openxmlformats.org/officeDocument/2006/relationships/hyperlink" Target="http://undocs.org/A/RES/61/31" TargetMode="External"/><Relationship Id="rId1" Type="http://schemas.openxmlformats.org/officeDocument/2006/relationships/hyperlink" Target="http://undocs.org/fr/A/72/17" TargetMode="External"/><Relationship Id="rId6" Type="http://schemas.openxmlformats.org/officeDocument/2006/relationships/hyperlink" Target="http://undocs.org/A/CN.9/970" TargetMode="External"/><Relationship Id="rId5" Type="http://schemas.openxmlformats.org/officeDocument/2006/relationships/hyperlink" Target="http://undocs.org/A/CN.9/964" TargetMode="External"/><Relationship Id="rId4" Type="http://schemas.openxmlformats.org/officeDocument/2006/relationships/hyperlink" Target="http://undocs.org/A/CN.9/935" TargetMode="External"/><Relationship Id="rId9" Type="http://schemas.openxmlformats.org/officeDocument/2006/relationships/hyperlink" Target="http://undocs.org/A/74/1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DFBC434140BFB4F8C0920F7C08F8836" ma:contentTypeVersion="12" ma:contentTypeDescription="Create a new document." ma:contentTypeScope="" ma:versionID="4c3b8046d4788176cef6f261329d7f77">
  <xsd:schema xmlns:xsd="http://www.w3.org/2001/XMLSchema" xmlns:xs="http://www.w3.org/2001/XMLSchema" xmlns:p="http://schemas.microsoft.com/office/2006/metadata/properties" xmlns:ns2="1df04fd7-7c47-4838-8290-c52492add04a" xmlns:ns3="4798ff29-8bf1-47a9-abe4-3ab95d3a1097" targetNamespace="http://schemas.microsoft.com/office/2006/metadata/properties" ma:root="true" ma:fieldsID="f05ece1bd1c8bb48e3bb92c45654972c" ns2:_="" ns3:_="">
    <xsd:import namespace="1df04fd7-7c47-4838-8290-c52492add04a"/>
    <xsd:import namespace="4798ff29-8bf1-47a9-abe4-3ab95d3a1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04fd7-7c47-4838-8290-c52492add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98ff29-8bf1-47a9-abe4-3ab95d3a10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3323FD-0A64-42FD-8088-7CB8F07CA6E7}">
  <ds:schemaRefs>
    <ds:schemaRef ds:uri="http://schemas.microsoft.com/sharepoint/v3/contenttype/forms"/>
  </ds:schemaRefs>
</ds:datastoreItem>
</file>

<file path=customXml/itemProps2.xml><?xml version="1.0" encoding="utf-8"?>
<ds:datastoreItem xmlns:ds="http://schemas.openxmlformats.org/officeDocument/2006/customXml" ds:itemID="{20733831-6CC1-4DAA-AAE5-51775C5EF5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CC5FD3-BCD7-4538-9FCC-67444FD7248F}">
  <ds:schemaRefs>
    <ds:schemaRef ds:uri="http://schemas.openxmlformats.org/officeDocument/2006/bibliography"/>
  </ds:schemaRefs>
</ds:datastoreItem>
</file>

<file path=customXml/itemProps4.xml><?xml version="1.0" encoding="utf-8"?>
<ds:datastoreItem xmlns:ds="http://schemas.openxmlformats.org/officeDocument/2006/customXml" ds:itemID="{F5DF4601-32AA-4135-91E4-9AD539253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04fd7-7c47-4838-8290-c52492add04a"/>
    <ds:schemaRef ds:uri="4798ff29-8bf1-47a9-abe4-3ab95d3a1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4063</Words>
  <Characters>23161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HART-KILIC</dc:creator>
  <cp:keywords>UNCITRAL</cp:keywords>
  <dc:description/>
  <cp:lastModifiedBy>David Nikolaus Probst</cp:lastModifiedBy>
  <cp:revision>3</cp:revision>
  <cp:lastPrinted>2021-01-27T16:03:00Z</cp:lastPrinted>
  <dcterms:created xsi:type="dcterms:W3CDTF">2021-02-01T10:12:00Z</dcterms:created>
  <dcterms:modified xsi:type="dcterms:W3CDTF">2021-02-01T10:50:00Z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2002415</vt:lpwstr>
  </property>
  <property fmtid="{D5CDD505-2E9C-101B-9397-08002B2CF9AE}" pid="3" name="ODSRefJobNo">
    <vt:lpwstr>2002415E</vt:lpwstr>
  </property>
  <property fmtid="{D5CDD505-2E9C-101B-9397-08002B2CF9AE}" pid="4" name="Symbol1">
    <vt:lpwstr>A/CN.9/1011</vt:lpwstr>
  </property>
  <property fmtid="{D5CDD505-2E9C-101B-9397-08002B2CF9AE}" pid="5" name="Symbol2">
    <vt:lpwstr/>
  </property>
  <property fmtid="{D5CDD505-2E9C-101B-9397-08002B2CF9AE}" pid="6" name="Translator">
    <vt:lpwstr/>
  </property>
  <property fmtid="{D5CDD505-2E9C-101B-9397-08002B2CF9AE}" pid="7" name="Operator">
    <vt:lpwstr>JHK</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6 May 2020</vt:lpwstr>
  </property>
  <property fmtid="{D5CDD505-2E9C-101B-9397-08002B2CF9AE}" pid="12" name="Original">
    <vt:lpwstr>English</vt:lpwstr>
  </property>
  <property fmtid="{D5CDD505-2E9C-101B-9397-08002B2CF9AE}" pid="13" name="Release Date">
    <vt:lpwstr>070520</vt:lpwstr>
  </property>
  <property fmtid="{D5CDD505-2E9C-101B-9397-08002B2CF9AE}" pid="14" name="ContentTypeId">
    <vt:lpwstr>0x0101001DFBC434140BFB4F8C0920F7C08F8836</vt:lpwstr>
  </property>
</Properties>
</file>