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29E61" w14:textId="77777777" w:rsidR="00F639A5" w:rsidRPr="001649B9" w:rsidRDefault="00F639A5" w:rsidP="00F639A5">
      <w:pPr>
        <w:pStyle w:val="HCh0"/>
        <w:ind w:left="1267" w:right="1260" w:hanging="1267"/>
        <w:rPr>
          <w:lang w:val="fr-FR"/>
        </w:rPr>
      </w:pPr>
      <w:bookmarkStart w:id="0" w:name="_GoBack"/>
      <w:bookmarkEnd w:id="0"/>
      <w:r>
        <w:rPr>
          <w:bCs/>
          <w:lang w:val="fr-FR"/>
        </w:rPr>
        <w:t>Pièce jointe</w:t>
      </w:r>
    </w:p>
    <w:p w14:paraId="6F02AD0D" w14:textId="77777777" w:rsidR="00F639A5" w:rsidRPr="001649B9" w:rsidRDefault="00F639A5" w:rsidP="00F639A5">
      <w:pPr>
        <w:pStyle w:val="HCh0"/>
        <w:ind w:left="1267" w:right="1260" w:hanging="1267"/>
        <w:rPr>
          <w:lang w:val="fr-FR"/>
        </w:rPr>
      </w:pPr>
    </w:p>
    <w:p w14:paraId="54B5C64E" w14:textId="77777777" w:rsidR="00F639A5" w:rsidRPr="001649B9" w:rsidRDefault="00F639A5" w:rsidP="00F639A5">
      <w:pPr>
        <w:pStyle w:val="HCh0"/>
        <w:ind w:left="1267" w:right="1260" w:hanging="1267"/>
        <w:rPr>
          <w:lang w:val="fr-FR"/>
        </w:rPr>
      </w:pPr>
      <w:r>
        <w:rPr>
          <w:lang w:val="fr-FR"/>
        </w:rPr>
        <w:t xml:space="preserve">I. </w:t>
      </w:r>
      <w:r>
        <w:rPr>
          <w:bCs/>
          <w:lang w:val="fr-FR"/>
        </w:rPr>
        <w:t>Introduction</w:t>
      </w:r>
    </w:p>
    <w:p w14:paraId="5C857E78" w14:textId="77777777" w:rsidR="00F639A5" w:rsidRPr="001649B9" w:rsidRDefault="00F639A5" w:rsidP="00F639A5">
      <w:pPr>
        <w:pStyle w:val="SingleTxt"/>
        <w:spacing w:after="0" w:line="120" w:lineRule="atLeast"/>
        <w:ind w:left="0"/>
        <w:rPr>
          <w:sz w:val="10"/>
        </w:rPr>
      </w:pPr>
    </w:p>
    <w:p w14:paraId="08519D29" w14:textId="77777777" w:rsidR="00F639A5" w:rsidRPr="001649B9" w:rsidRDefault="00F639A5" w:rsidP="00F639A5">
      <w:pPr>
        <w:pStyle w:val="SingleTxt"/>
        <w:spacing w:after="0" w:line="120" w:lineRule="atLeast"/>
        <w:ind w:left="0"/>
        <w:rPr>
          <w:sz w:val="10"/>
        </w:rPr>
      </w:pPr>
    </w:p>
    <w:p w14:paraId="3E06E006" w14:textId="12ABA101" w:rsidR="00F639A5" w:rsidRPr="001649B9" w:rsidRDefault="00F639A5" w:rsidP="00F639A5">
      <w:pPr>
        <w:pStyle w:val="SingleTxt"/>
        <w:tabs>
          <w:tab w:val="clear" w:pos="1267"/>
          <w:tab w:val="clear" w:pos="2218"/>
          <w:tab w:val="clear" w:pos="2693"/>
          <w:tab w:val="clear" w:pos="3182"/>
          <w:tab w:val="clear" w:pos="3658"/>
          <w:tab w:val="clear" w:pos="4133"/>
          <w:tab w:val="clear" w:pos="4622"/>
          <w:tab w:val="clear" w:pos="5098"/>
          <w:tab w:val="clear" w:pos="5573"/>
          <w:tab w:val="clear" w:pos="6048"/>
        </w:tabs>
        <w:ind w:left="0"/>
        <w:rPr>
          <w:sz w:val="22"/>
        </w:rPr>
      </w:pPr>
      <w:r>
        <w:t xml:space="preserve">Les États et les diverses organisations sont invités à utiliser ce modèle pour communiquer au Secrétariat leurs observations sur le projet de dispositions relatives à l’utilisation et à la reconnaissance internationale de la gestion de l’identité et des services de confiance figurant dans le document </w:t>
      </w:r>
      <w:hyperlink r:id="rId7" w:history="1">
        <w:r w:rsidRPr="00D12014">
          <w:rPr>
            <w:rStyle w:val="af3"/>
          </w:rPr>
          <w:t>A/CN.9/WG.IV/WP.162</w:t>
        </w:r>
      </w:hyperlink>
      <w:r>
        <w:t xml:space="preserve"> (le « projet de dispositions »), disponible sur la page Web du Groupe de travail IV (</w:t>
      </w:r>
      <w:hyperlink r:id="rId8" w:history="1">
        <w:r w:rsidR="00EF5094" w:rsidRPr="009E1396">
          <w:rPr>
            <w:rStyle w:val="af3"/>
          </w:rPr>
          <w:t>https://uncitral.un.org/fr/working_groups/4/</w:t>
        </w:r>
        <w:r w:rsidR="00EF5094" w:rsidRPr="009E1396">
          <w:rPr>
            <w:rStyle w:val="af3"/>
          </w:rPr>
          <w:br/>
          <w:t>electronic_commerce</w:t>
        </w:r>
      </w:hyperlink>
      <w:r>
        <w:t>) dans les six langues officielles de l’Organisation des Nations Unies. Une note contenant les observations de la Banque mondiale sur le projet de dispositions (A/CN.9/WG.IV/WP.163) est également disponible sur la page Web.</w:t>
      </w:r>
    </w:p>
    <w:p w14:paraId="28CD0D83" w14:textId="5D4C6CDE" w:rsidR="00F639A5" w:rsidRPr="001649B9" w:rsidRDefault="00F639A5" w:rsidP="00F639A5">
      <w:pPr>
        <w:pStyle w:val="SingleTxt"/>
        <w:tabs>
          <w:tab w:val="clear" w:pos="1267"/>
          <w:tab w:val="clear" w:pos="2218"/>
          <w:tab w:val="clear" w:pos="2693"/>
          <w:tab w:val="clear" w:pos="3182"/>
          <w:tab w:val="clear" w:pos="3658"/>
          <w:tab w:val="clear" w:pos="4133"/>
          <w:tab w:val="clear" w:pos="4622"/>
          <w:tab w:val="clear" w:pos="5098"/>
          <w:tab w:val="clear" w:pos="5573"/>
          <w:tab w:val="clear" w:pos="6048"/>
        </w:tabs>
        <w:ind w:left="0"/>
        <w:rPr>
          <w:sz w:val="22"/>
        </w:rPr>
      </w:pPr>
      <w:r>
        <w:t xml:space="preserve">On pourra utiliser le tableau 1 pour communiquer des commentaires par article, et le tableau 2 pour des commentaires généraux. Les commentaires peuvent être soumis au Secrétariat, dans l’une des six langues officielles de l’Organisation, par courrier électronique adressé à </w:t>
      </w:r>
      <w:hyperlink r:id="rId9" w:history="1">
        <w:r w:rsidRPr="00D12014">
          <w:rPr>
            <w:rStyle w:val="af3"/>
          </w:rPr>
          <w:t>uncitral@un.org</w:t>
        </w:r>
      </w:hyperlink>
      <w:r>
        <w:t xml:space="preserve">, au plus tard le </w:t>
      </w:r>
      <w:r w:rsidRPr="00D12014">
        <w:rPr>
          <w:b/>
          <w:bCs/>
        </w:rPr>
        <w:t>30</w:t>
      </w:r>
      <w:r>
        <w:rPr>
          <w:b/>
          <w:bCs/>
        </w:rPr>
        <w:t> </w:t>
      </w:r>
      <w:r w:rsidRPr="00D12014">
        <w:rPr>
          <w:b/>
          <w:bCs/>
        </w:rPr>
        <w:t>juin 2020</w:t>
      </w:r>
      <w:r>
        <w:t xml:space="preserve">. Ils ne seront </w:t>
      </w:r>
      <w:r w:rsidRPr="004E1520">
        <w:rPr>
          <w:b/>
          <w:bCs/>
        </w:rPr>
        <w:t>pas</w:t>
      </w:r>
      <w:r>
        <w:t xml:space="preserve"> publiés individuellement, mais serviront à l’élaboration de documents d’avant-session, en vue de permettre au Groupe de travail IV de reprendre ses travaux lors de la tenue de sa soixantième session aux nouvelles dates qui seront arrêtées.</w:t>
      </w:r>
    </w:p>
    <w:p w14:paraId="5D8C316E" w14:textId="77777777" w:rsidR="00993CB7" w:rsidRDefault="00F639A5" w:rsidP="00401058">
      <w:pPr>
        <w:pStyle w:val="SingleTxt"/>
        <w:tabs>
          <w:tab w:val="clear" w:pos="1267"/>
          <w:tab w:val="clear" w:pos="2218"/>
          <w:tab w:val="clear" w:pos="2693"/>
          <w:tab w:val="clear" w:pos="3182"/>
          <w:tab w:val="clear" w:pos="3658"/>
          <w:tab w:val="clear" w:pos="4133"/>
          <w:tab w:val="clear" w:pos="4622"/>
          <w:tab w:val="clear" w:pos="5098"/>
          <w:tab w:val="clear" w:pos="5573"/>
          <w:tab w:val="clear" w:pos="6048"/>
        </w:tabs>
        <w:ind w:left="0"/>
      </w:pPr>
      <w:r>
        <w:t xml:space="preserve">La présente pièce jointe est disponible en format Word sur les versions anglaise, espagnole et française de la page </w:t>
      </w:r>
      <w:r w:rsidR="00B6198C">
        <w:t xml:space="preserve">Web </w:t>
      </w:r>
      <w:r>
        <w:t>du Groupe de travail IV.</w:t>
      </w:r>
    </w:p>
    <w:p w14:paraId="665136CE" w14:textId="77777777" w:rsidR="00F639A5" w:rsidRPr="001649B9" w:rsidRDefault="00F639A5" w:rsidP="00F639A5">
      <w:pPr>
        <w:pStyle w:val="SingleTxt"/>
        <w:spacing w:after="0" w:line="120" w:lineRule="atLeast"/>
        <w:ind w:left="0"/>
        <w:rPr>
          <w:sz w:val="10"/>
        </w:rPr>
      </w:pPr>
    </w:p>
    <w:p w14:paraId="54B0619D" w14:textId="77777777" w:rsidR="00F639A5" w:rsidRPr="001649B9" w:rsidRDefault="00F639A5" w:rsidP="00F639A5">
      <w:pPr>
        <w:pStyle w:val="SingleTxt"/>
        <w:spacing w:after="0" w:line="120" w:lineRule="atLeast"/>
        <w:ind w:left="0"/>
        <w:rPr>
          <w:sz w:val="10"/>
        </w:rPr>
      </w:pPr>
    </w:p>
    <w:p w14:paraId="05A8A4F6" w14:textId="77777777" w:rsidR="00BF3867" w:rsidRDefault="00BF3867">
      <w:pPr>
        <w:suppressAutoHyphens w:val="0"/>
        <w:spacing w:after="200" w:line="276" w:lineRule="auto"/>
        <w:rPr>
          <w:b/>
          <w:spacing w:val="-2"/>
          <w:sz w:val="28"/>
          <w:lang w:val="fr-FR"/>
        </w:rPr>
      </w:pPr>
      <w:r>
        <w:rPr>
          <w:lang w:val="fr-FR"/>
        </w:rPr>
        <w:br w:type="page"/>
      </w:r>
    </w:p>
    <w:p w14:paraId="0D9DA9A4" w14:textId="069E6580" w:rsidR="00F639A5" w:rsidRPr="001649B9" w:rsidRDefault="00F639A5" w:rsidP="00F639A5">
      <w:pPr>
        <w:pStyle w:val="HCh0"/>
        <w:ind w:left="1267" w:right="1260" w:hanging="1267"/>
        <w:rPr>
          <w:lang w:val="fr-FR"/>
        </w:rPr>
      </w:pPr>
      <w:r>
        <w:rPr>
          <w:lang w:val="fr-FR"/>
        </w:rPr>
        <w:lastRenderedPageBreak/>
        <w:t xml:space="preserve">II. </w:t>
      </w:r>
      <w:r>
        <w:rPr>
          <w:bCs/>
          <w:lang w:val="fr-FR"/>
        </w:rPr>
        <w:t>Commentaires</w:t>
      </w:r>
    </w:p>
    <w:p w14:paraId="7481B7BD" w14:textId="77777777" w:rsidR="00F639A5" w:rsidRPr="001649B9" w:rsidRDefault="00F639A5" w:rsidP="00F639A5">
      <w:pPr>
        <w:pStyle w:val="SingleTxt"/>
        <w:spacing w:after="0" w:line="120" w:lineRule="atLeast"/>
        <w:ind w:left="0"/>
        <w:rPr>
          <w:sz w:val="10"/>
        </w:rPr>
      </w:pPr>
    </w:p>
    <w:p w14:paraId="2F72D296" w14:textId="77777777" w:rsidR="00F639A5" w:rsidRPr="001649B9" w:rsidRDefault="00F639A5" w:rsidP="00F639A5">
      <w:pPr>
        <w:pStyle w:val="SingleTxt"/>
        <w:spacing w:after="0" w:line="120" w:lineRule="atLeast"/>
        <w:ind w:left="0"/>
        <w:rPr>
          <w:sz w:val="10"/>
        </w:rPr>
      </w:pPr>
    </w:p>
    <w:p w14:paraId="630580F5" w14:textId="77777777" w:rsidR="00F639A5" w:rsidRPr="001649B9" w:rsidRDefault="00F639A5" w:rsidP="00F639A5">
      <w:pPr>
        <w:pStyle w:val="SingleTxt"/>
        <w:tabs>
          <w:tab w:val="clear" w:pos="1267"/>
          <w:tab w:val="clear" w:pos="2218"/>
          <w:tab w:val="clear" w:pos="2693"/>
          <w:tab w:val="clear" w:pos="3182"/>
          <w:tab w:val="clear" w:pos="3658"/>
          <w:tab w:val="clear" w:pos="4133"/>
          <w:tab w:val="clear" w:pos="4622"/>
          <w:tab w:val="clear" w:pos="5098"/>
          <w:tab w:val="clear" w:pos="5573"/>
          <w:tab w:val="clear" w:pos="6048"/>
        </w:tabs>
        <w:ind w:left="0"/>
        <w:rPr>
          <w:sz w:val="22"/>
        </w:rPr>
      </w:pPr>
      <w:r>
        <w:t>Nom de l’État/observateur : [</w:t>
      </w:r>
      <w:r w:rsidRPr="0018025D">
        <w:rPr>
          <w:i/>
          <w:iCs/>
        </w:rPr>
        <w:t>insérer</w:t>
      </w:r>
      <w:r>
        <w:t>]</w:t>
      </w:r>
    </w:p>
    <w:p w14:paraId="6531273F" w14:textId="78D985F3" w:rsidR="00F639A5" w:rsidRPr="00401058" w:rsidRDefault="00F639A5" w:rsidP="00401058">
      <w:pPr>
        <w:spacing w:line="120" w:lineRule="exact"/>
        <w:rPr>
          <w:w w:val="100"/>
          <w:sz w:val="10"/>
          <w:lang w:val="fr-FR"/>
        </w:rPr>
      </w:pPr>
    </w:p>
    <w:p w14:paraId="29BB7979" w14:textId="77777777" w:rsidR="00F639A5" w:rsidRPr="001649B9" w:rsidRDefault="00F639A5" w:rsidP="00F639A5">
      <w:pPr>
        <w:rPr>
          <w:w w:val="100"/>
          <w:lang w:val="fr-FR"/>
        </w:rPr>
      </w:pPr>
      <w:r>
        <w:rPr>
          <w:lang w:val="fr-FR"/>
        </w:rPr>
        <w:t>Tableau 1</w:t>
      </w:r>
    </w:p>
    <w:p w14:paraId="182FEBC7" w14:textId="5CB30744" w:rsidR="00F639A5" w:rsidRDefault="00F639A5" w:rsidP="00F639A5">
      <w:pPr>
        <w:rPr>
          <w:b/>
          <w:bCs/>
          <w:lang w:val="fr-FR"/>
        </w:rPr>
      </w:pPr>
      <w:r>
        <w:rPr>
          <w:b/>
          <w:bCs/>
          <w:lang w:val="fr-FR"/>
        </w:rPr>
        <w:t>Commentaires par article sur le projet de dispositions</w:t>
      </w:r>
    </w:p>
    <w:p w14:paraId="5B2AA5F3" w14:textId="73A848F0" w:rsidR="00E04751" w:rsidRPr="00401058" w:rsidRDefault="00E04751" w:rsidP="00401058">
      <w:pPr>
        <w:spacing w:line="120" w:lineRule="exact"/>
        <w:rPr>
          <w:b/>
          <w:bCs/>
          <w:sz w:val="10"/>
          <w:lang w:val="fr-FR"/>
        </w:rPr>
      </w:pPr>
    </w:p>
    <w:tbl>
      <w:tblPr>
        <w:tblW w:w="14292" w:type="dxa"/>
        <w:tblLayout w:type="fixed"/>
        <w:tblCellMar>
          <w:left w:w="0" w:type="dxa"/>
          <w:right w:w="0" w:type="dxa"/>
        </w:tblCellMar>
        <w:tblLook w:val="0000" w:firstRow="0" w:lastRow="0" w:firstColumn="0" w:lastColumn="0" w:noHBand="0" w:noVBand="0"/>
      </w:tblPr>
      <w:tblGrid>
        <w:gridCol w:w="2127"/>
        <w:gridCol w:w="5953"/>
        <w:gridCol w:w="6212"/>
      </w:tblGrid>
      <w:tr w:rsidR="00BB2ADA" w:rsidRPr="00A664F4" w14:paraId="0CC1A706" w14:textId="77777777" w:rsidTr="00401058">
        <w:trPr>
          <w:tblHeader/>
        </w:trPr>
        <w:tc>
          <w:tcPr>
            <w:tcW w:w="2127" w:type="dxa"/>
            <w:tcBorders>
              <w:top w:val="single" w:sz="4" w:space="0" w:color="auto"/>
              <w:bottom w:val="single" w:sz="12" w:space="0" w:color="auto"/>
            </w:tcBorders>
            <w:shd w:val="clear" w:color="auto" w:fill="auto"/>
            <w:vAlign w:val="bottom"/>
          </w:tcPr>
          <w:p w14:paraId="0174FC73" w14:textId="77777777" w:rsidR="00BB2ADA" w:rsidRPr="00A664F4" w:rsidRDefault="00BB2ADA" w:rsidP="003B2C56">
            <w:pPr>
              <w:spacing w:before="80" w:after="80" w:line="160" w:lineRule="exact"/>
              <w:ind w:right="40"/>
              <w:rPr>
                <w:i/>
                <w:sz w:val="14"/>
                <w:lang w:val="fr-FR"/>
              </w:rPr>
            </w:pPr>
            <w:r w:rsidRPr="00D12014">
              <w:rPr>
                <w:i/>
                <w:iCs/>
                <w:sz w:val="14"/>
                <w:szCs w:val="14"/>
                <w:lang w:val="fr-FR"/>
              </w:rPr>
              <w:t>Article</w:t>
            </w:r>
          </w:p>
        </w:tc>
        <w:tc>
          <w:tcPr>
            <w:tcW w:w="5953" w:type="dxa"/>
            <w:tcBorders>
              <w:top w:val="single" w:sz="4" w:space="0" w:color="auto"/>
              <w:bottom w:val="single" w:sz="12" w:space="0" w:color="auto"/>
            </w:tcBorders>
            <w:shd w:val="clear" w:color="auto" w:fill="auto"/>
            <w:vAlign w:val="bottom"/>
          </w:tcPr>
          <w:p w14:paraId="00058260" w14:textId="77777777" w:rsidR="00BB2ADA" w:rsidRPr="00A664F4" w:rsidRDefault="00BB2ADA" w:rsidP="00101652">
            <w:pPr>
              <w:spacing w:before="80" w:after="80" w:line="160" w:lineRule="exact"/>
              <w:ind w:right="113"/>
              <w:rPr>
                <w:i/>
                <w:sz w:val="14"/>
                <w:lang w:val="fr-FR"/>
              </w:rPr>
            </w:pPr>
            <w:r w:rsidRPr="00D12014">
              <w:rPr>
                <w:i/>
                <w:iCs/>
                <w:sz w:val="14"/>
                <w:szCs w:val="14"/>
                <w:lang w:val="fr-FR"/>
              </w:rPr>
              <w:t xml:space="preserve">Liste non exhaustive de questions à examiner </w:t>
            </w:r>
            <w:r>
              <w:rPr>
                <w:i/>
                <w:iCs/>
                <w:sz w:val="14"/>
                <w:szCs w:val="14"/>
                <w:lang w:val="fr-FR"/>
              </w:rPr>
              <w:br/>
            </w:r>
            <w:r w:rsidRPr="00D12014">
              <w:rPr>
                <w:i/>
                <w:iCs/>
                <w:sz w:val="14"/>
                <w:szCs w:val="14"/>
                <w:lang w:val="fr-FR"/>
              </w:rPr>
              <w:t xml:space="preserve">(tirées du document </w:t>
            </w:r>
            <w:r w:rsidRPr="00D12014">
              <w:rPr>
                <w:sz w:val="14"/>
                <w:szCs w:val="14"/>
                <w:lang w:val="fr-FR"/>
              </w:rPr>
              <w:t>A/CN.9/WG.IV/WP.162</w:t>
            </w:r>
            <w:r w:rsidRPr="00D12014">
              <w:rPr>
                <w:i/>
                <w:iCs/>
                <w:sz w:val="14"/>
                <w:szCs w:val="14"/>
                <w:lang w:val="fr-FR"/>
              </w:rPr>
              <w:t xml:space="preserve">) </w:t>
            </w:r>
          </w:p>
        </w:tc>
        <w:tc>
          <w:tcPr>
            <w:tcW w:w="6212" w:type="dxa"/>
            <w:tcBorders>
              <w:top w:val="single" w:sz="4" w:space="0" w:color="auto"/>
              <w:bottom w:val="single" w:sz="12" w:space="0" w:color="auto"/>
            </w:tcBorders>
            <w:shd w:val="clear" w:color="auto" w:fill="auto"/>
            <w:vAlign w:val="bottom"/>
          </w:tcPr>
          <w:p w14:paraId="6E6751FF" w14:textId="77777777" w:rsidR="00BB2ADA" w:rsidRPr="00A664F4" w:rsidRDefault="00BB2ADA" w:rsidP="00101652">
            <w:pPr>
              <w:spacing w:before="80" w:after="80" w:line="160" w:lineRule="exact"/>
              <w:ind w:right="113"/>
              <w:rPr>
                <w:i/>
                <w:sz w:val="14"/>
                <w:lang w:val="fr-FR"/>
              </w:rPr>
            </w:pPr>
            <w:r w:rsidRPr="00D12014">
              <w:rPr>
                <w:i/>
                <w:iCs/>
                <w:sz w:val="14"/>
                <w:szCs w:val="14"/>
                <w:lang w:val="fr-FR"/>
              </w:rPr>
              <w:t>Commentaires</w:t>
            </w:r>
          </w:p>
        </w:tc>
      </w:tr>
      <w:tr w:rsidR="00BB2ADA" w:rsidRPr="00A664F4" w14:paraId="4ECFC349" w14:textId="77777777" w:rsidTr="00401058">
        <w:trPr>
          <w:trHeight w:hRule="exact" w:val="115"/>
          <w:tblHeader/>
        </w:trPr>
        <w:tc>
          <w:tcPr>
            <w:tcW w:w="2127" w:type="dxa"/>
            <w:tcBorders>
              <w:top w:val="single" w:sz="12" w:space="0" w:color="auto"/>
            </w:tcBorders>
            <w:shd w:val="clear" w:color="auto" w:fill="auto"/>
            <w:vAlign w:val="bottom"/>
          </w:tcPr>
          <w:p w14:paraId="7C3156A3" w14:textId="77777777" w:rsidR="00BB2ADA" w:rsidRPr="00A664F4" w:rsidRDefault="00BB2ADA" w:rsidP="003B2C56">
            <w:pPr>
              <w:spacing w:before="40" w:after="40" w:line="210" w:lineRule="exact"/>
              <w:ind w:right="40"/>
              <w:rPr>
                <w:sz w:val="17"/>
                <w:lang w:val="fr-FR"/>
              </w:rPr>
            </w:pPr>
          </w:p>
        </w:tc>
        <w:tc>
          <w:tcPr>
            <w:tcW w:w="5953" w:type="dxa"/>
            <w:tcBorders>
              <w:top w:val="single" w:sz="12" w:space="0" w:color="auto"/>
            </w:tcBorders>
            <w:shd w:val="clear" w:color="auto" w:fill="auto"/>
            <w:vAlign w:val="bottom"/>
          </w:tcPr>
          <w:p w14:paraId="0BD593AB" w14:textId="77777777" w:rsidR="00BB2ADA" w:rsidRPr="00A664F4" w:rsidRDefault="00BB2ADA" w:rsidP="00101652">
            <w:pPr>
              <w:spacing w:before="40" w:after="40" w:line="210" w:lineRule="exact"/>
              <w:ind w:right="113"/>
              <w:rPr>
                <w:sz w:val="17"/>
                <w:lang w:val="fr-FR"/>
              </w:rPr>
            </w:pPr>
          </w:p>
        </w:tc>
        <w:tc>
          <w:tcPr>
            <w:tcW w:w="6212" w:type="dxa"/>
            <w:tcBorders>
              <w:top w:val="single" w:sz="12" w:space="0" w:color="auto"/>
            </w:tcBorders>
            <w:shd w:val="clear" w:color="auto" w:fill="auto"/>
            <w:vAlign w:val="bottom"/>
          </w:tcPr>
          <w:p w14:paraId="1B8EC2B1" w14:textId="77777777" w:rsidR="00BB2ADA" w:rsidRPr="00A664F4" w:rsidRDefault="00BB2ADA" w:rsidP="00101652">
            <w:pPr>
              <w:spacing w:before="40" w:after="40" w:line="210" w:lineRule="exact"/>
              <w:ind w:right="113"/>
              <w:rPr>
                <w:sz w:val="17"/>
                <w:lang w:val="fr-FR"/>
              </w:rPr>
            </w:pPr>
          </w:p>
        </w:tc>
      </w:tr>
      <w:tr w:rsidR="004E1520" w:rsidRPr="00A664F4" w14:paraId="3E0B3E7D" w14:textId="77777777" w:rsidTr="00A21512">
        <w:tc>
          <w:tcPr>
            <w:tcW w:w="14292" w:type="dxa"/>
            <w:gridSpan w:val="3"/>
            <w:shd w:val="clear" w:color="auto" w:fill="auto"/>
          </w:tcPr>
          <w:p w14:paraId="1383B033" w14:textId="77777777" w:rsidR="004E1520" w:rsidRPr="00A664F4" w:rsidRDefault="004E1520" w:rsidP="00401058">
            <w:pPr>
              <w:tabs>
                <w:tab w:val="left" w:pos="288"/>
                <w:tab w:val="left" w:pos="576"/>
                <w:tab w:val="left" w:pos="864"/>
                <w:tab w:val="left" w:pos="1152"/>
              </w:tabs>
              <w:spacing w:before="40" w:after="40" w:line="210" w:lineRule="exact"/>
              <w:ind w:right="142"/>
              <w:rPr>
                <w:sz w:val="17"/>
                <w:lang w:val="fr-FR"/>
              </w:rPr>
            </w:pPr>
            <w:r>
              <w:rPr>
                <w:b/>
                <w:bCs/>
                <w:lang w:val="fr-FR"/>
              </w:rPr>
              <w:t>Chapitre premier. Dispositions générales</w:t>
            </w:r>
          </w:p>
        </w:tc>
      </w:tr>
      <w:tr w:rsidR="00BB2ADA" w:rsidRPr="00A664F4" w14:paraId="2057A6A7" w14:textId="77777777" w:rsidTr="00401058">
        <w:trPr>
          <w:trHeight w:hRule="exact" w:val="113"/>
        </w:trPr>
        <w:tc>
          <w:tcPr>
            <w:tcW w:w="2127" w:type="dxa"/>
            <w:shd w:val="clear" w:color="auto" w:fill="auto"/>
          </w:tcPr>
          <w:p w14:paraId="50691075" w14:textId="77777777" w:rsidR="00BB2ADA" w:rsidRPr="00A664F4" w:rsidRDefault="00BB2ADA"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69A94A8B" w14:textId="77777777" w:rsidR="00BB2ADA" w:rsidRPr="00A664F4" w:rsidRDefault="00BB2ADA"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1E9DA1DF" w14:textId="77777777" w:rsidR="00BB2ADA" w:rsidRPr="00A664F4" w:rsidRDefault="00BB2ADA"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47448605" w14:textId="77777777" w:rsidTr="00401058">
        <w:tc>
          <w:tcPr>
            <w:tcW w:w="2127" w:type="dxa"/>
            <w:shd w:val="clear" w:color="auto" w:fill="auto"/>
          </w:tcPr>
          <w:p w14:paraId="5DA128D0"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r>
              <w:rPr>
                <w:i/>
                <w:iCs/>
                <w:lang w:val="fr-FR"/>
              </w:rPr>
              <w:t>Article 1</w:t>
            </w:r>
            <w:r>
              <w:rPr>
                <w:lang w:val="fr-FR"/>
              </w:rPr>
              <w:t xml:space="preserve"> </w:t>
            </w:r>
            <w:r w:rsidR="006400EB">
              <w:rPr>
                <w:lang w:val="fr-FR"/>
              </w:rPr>
              <w:br/>
            </w:r>
            <w:r>
              <w:rPr>
                <w:i/>
                <w:iCs/>
                <w:lang w:val="fr-FR"/>
              </w:rPr>
              <w:t>Définitions</w:t>
            </w:r>
          </w:p>
        </w:tc>
        <w:tc>
          <w:tcPr>
            <w:tcW w:w="5953" w:type="dxa"/>
            <w:shd w:val="clear" w:color="auto" w:fill="auto"/>
          </w:tcPr>
          <w:p w14:paraId="0AA78CBB" w14:textId="77777777" w:rsidR="00101652" w:rsidRPr="001649B9" w:rsidRDefault="00101652" w:rsidP="00401058">
            <w:pPr>
              <w:tabs>
                <w:tab w:val="left" w:pos="288"/>
                <w:tab w:val="left" w:pos="576"/>
                <w:tab w:val="left" w:pos="864"/>
              </w:tabs>
              <w:spacing w:before="40" w:after="40" w:line="210" w:lineRule="atLeast"/>
              <w:ind w:right="142"/>
              <w:rPr>
                <w:lang w:val="fr-FR"/>
              </w:rPr>
            </w:pPr>
            <w:r>
              <w:rPr>
                <w:lang w:val="fr-FR"/>
              </w:rPr>
              <w:t>1. Selon la terminologie utilisée dans le document A/CN.9/WG.IV/WP.162, le processus de gestion de l’identité comprend deux étapes (ou phases), à savoir le « contrôle d’identité » et l’« identification électronique » (voir A/CN.9/WG.IV/WP.162, par. 2). Ces termes sont-ils adaptés pour décrire les étapes du processus de gestion de l’identité ? Les définitions de ces termes sont-elles précises ?</w:t>
            </w:r>
            <w:bookmarkStart w:id="1" w:name="_Hlk36128852"/>
            <w:bookmarkEnd w:id="1"/>
          </w:p>
          <w:p w14:paraId="58CE9B41" w14:textId="77777777" w:rsidR="00101652" w:rsidRPr="001649B9" w:rsidRDefault="00101652" w:rsidP="00401058">
            <w:pPr>
              <w:tabs>
                <w:tab w:val="left" w:pos="288"/>
                <w:tab w:val="left" w:pos="576"/>
                <w:tab w:val="left" w:pos="864"/>
              </w:tabs>
              <w:spacing w:before="40" w:after="40" w:line="210" w:lineRule="atLeast"/>
              <w:ind w:right="142"/>
              <w:rPr>
                <w:lang w:val="fr-FR"/>
              </w:rPr>
            </w:pPr>
            <w:r>
              <w:rPr>
                <w:lang w:val="fr-FR"/>
              </w:rPr>
              <w:t>2. La nouvelle définition du terme « authentification » dans le contexte des services de confiance (</w:t>
            </w:r>
            <w:r w:rsidR="00B6198C">
              <w:rPr>
                <w:lang w:val="fr-FR"/>
              </w:rPr>
              <w:t>art. </w:t>
            </w:r>
            <w:r>
              <w:rPr>
                <w:lang w:val="fr-FR"/>
              </w:rPr>
              <w:t>21 et 22) est-elle acceptable (voir A/CN.9/WG.IV/WP.162, note de bas de page</w:t>
            </w:r>
            <w:r w:rsidR="00767F7A">
              <w:rPr>
                <w:lang w:val="fr-FR"/>
              </w:rPr>
              <w:t> </w:t>
            </w:r>
            <w:r>
              <w:rPr>
                <w:lang w:val="fr-FR"/>
              </w:rPr>
              <w:t>3) ?</w:t>
            </w:r>
          </w:p>
          <w:p w14:paraId="0926E4BC" w14:textId="77777777" w:rsidR="00101652" w:rsidRPr="001649B9" w:rsidRDefault="00101652" w:rsidP="00401058">
            <w:pPr>
              <w:keepLines/>
              <w:tabs>
                <w:tab w:val="left" w:pos="288"/>
                <w:tab w:val="left" w:pos="576"/>
                <w:tab w:val="left" w:pos="864"/>
              </w:tabs>
              <w:spacing w:before="40" w:after="40" w:line="210" w:lineRule="atLeast"/>
              <w:ind w:right="142"/>
              <w:rPr>
                <w:lang w:val="fr-FR"/>
              </w:rPr>
            </w:pPr>
            <w:r>
              <w:rPr>
                <w:lang w:val="fr-FR"/>
              </w:rPr>
              <w:t xml:space="preserve">3. Faut-il inclure une définition des </w:t>
            </w:r>
            <w:r w:rsidR="00B6198C">
              <w:rPr>
                <w:lang w:val="fr-FR"/>
              </w:rPr>
              <w:t>« </w:t>
            </w:r>
            <w:r>
              <w:rPr>
                <w:lang w:val="fr-FR"/>
              </w:rPr>
              <w:t>facteurs d’identification électronique</w:t>
            </w:r>
            <w:r w:rsidR="00B6198C">
              <w:rPr>
                <w:lang w:val="fr-FR"/>
              </w:rPr>
              <w:t> »</w:t>
            </w:r>
            <w:r>
              <w:rPr>
                <w:lang w:val="fr-FR"/>
              </w:rPr>
              <w:t xml:space="preserve"> (tels qu’ils apparaissent à l’article 6) ? Le cas échéant, la définition figurant dans la note de bas de page</w:t>
            </w:r>
            <w:r w:rsidR="00767F7A">
              <w:rPr>
                <w:lang w:val="fr-FR"/>
              </w:rPr>
              <w:t> </w:t>
            </w:r>
            <w:r>
              <w:rPr>
                <w:lang w:val="fr-FR"/>
              </w:rPr>
              <w:t>6 du document A/CN.9/WG.IV/WP.162 est-elle acceptable ?</w:t>
            </w:r>
          </w:p>
          <w:p w14:paraId="3421A4CA" w14:textId="77777777" w:rsidR="00101652" w:rsidRPr="001649B9" w:rsidRDefault="00101652" w:rsidP="00401058">
            <w:pPr>
              <w:tabs>
                <w:tab w:val="left" w:pos="288"/>
                <w:tab w:val="left" w:pos="576"/>
                <w:tab w:val="left" w:pos="864"/>
              </w:tabs>
              <w:spacing w:before="40" w:after="40" w:line="210" w:lineRule="atLeast"/>
              <w:ind w:right="142"/>
              <w:rPr>
                <w:lang w:val="fr-FR"/>
              </w:rPr>
            </w:pPr>
            <w:r>
              <w:rPr>
                <w:lang w:val="fr-FR"/>
              </w:rPr>
              <w:t xml:space="preserve">4. Faut-il inclure une définition des </w:t>
            </w:r>
            <w:r w:rsidR="00767F7A">
              <w:rPr>
                <w:lang w:val="fr-FR"/>
              </w:rPr>
              <w:t>« </w:t>
            </w:r>
            <w:r>
              <w:rPr>
                <w:lang w:val="fr-FR"/>
              </w:rPr>
              <w:t>mécanismes d’identification électronique</w:t>
            </w:r>
            <w:r w:rsidR="00767F7A">
              <w:rPr>
                <w:lang w:val="fr-FR"/>
              </w:rPr>
              <w:t> »</w:t>
            </w:r>
            <w:r>
              <w:rPr>
                <w:lang w:val="fr-FR"/>
              </w:rPr>
              <w:t xml:space="preserve"> (tels qu’ils apparaissent à l’article</w:t>
            </w:r>
            <w:r w:rsidR="00767F7A">
              <w:rPr>
                <w:lang w:val="fr-FR"/>
              </w:rPr>
              <w:t> </w:t>
            </w:r>
            <w:r>
              <w:rPr>
                <w:lang w:val="fr-FR"/>
              </w:rPr>
              <w:t>6) ? Le cas échéant, la définition figurant dans la note de bas de page</w:t>
            </w:r>
            <w:r w:rsidR="00767F7A">
              <w:rPr>
                <w:lang w:val="fr-FR"/>
              </w:rPr>
              <w:t> </w:t>
            </w:r>
            <w:r>
              <w:rPr>
                <w:lang w:val="fr-FR"/>
              </w:rPr>
              <w:t>7 du document A/CN.9/WG.IV/WP.162 est-elle acceptable ?</w:t>
            </w:r>
          </w:p>
          <w:p w14:paraId="09BB9E78" w14:textId="77777777" w:rsidR="00101652" w:rsidRPr="001649B9" w:rsidRDefault="00101652" w:rsidP="00401058">
            <w:pPr>
              <w:tabs>
                <w:tab w:val="left" w:pos="288"/>
                <w:tab w:val="left" w:pos="576"/>
                <w:tab w:val="left" w:pos="864"/>
              </w:tabs>
              <w:spacing w:before="40" w:after="40" w:line="210" w:lineRule="atLeast"/>
              <w:ind w:right="142"/>
              <w:rPr>
                <w:lang w:val="fr-FR"/>
              </w:rPr>
            </w:pPr>
            <w:r>
              <w:rPr>
                <w:lang w:val="fr-FR"/>
              </w:rPr>
              <w:t>5. La définition du terme «</w:t>
            </w:r>
            <w:r w:rsidR="00767F7A">
              <w:rPr>
                <w:lang w:val="fr-FR"/>
              </w:rPr>
              <w:t> </w:t>
            </w:r>
            <w:r>
              <w:rPr>
                <w:lang w:val="fr-FR"/>
              </w:rPr>
              <w:t>services de gestion de l’identité</w:t>
            </w:r>
            <w:r w:rsidR="00767F7A">
              <w:rPr>
                <w:lang w:val="fr-FR"/>
              </w:rPr>
              <w:t> </w:t>
            </w:r>
            <w:r>
              <w:rPr>
                <w:lang w:val="fr-FR"/>
              </w:rPr>
              <w:t xml:space="preserve">» devrait-elle faire état de </w:t>
            </w:r>
            <w:r w:rsidR="00767F7A">
              <w:rPr>
                <w:lang w:val="fr-FR"/>
              </w:rPr>
              <w:t>« </w:t>
            </w:r>
            <w:r>
              <w:rPr>
                <w:lang w:val="fr-FR"/>
              </w:rPr>
              <w:t xml:space="preserve">services consistant à gérer le contrôle d’identité ou l’identification électronique de [sujets][personnes] </w:t>
            </w:r>
            <w:r>
              <w:rPr>
                <w:i/>
                <w:iCs/>
                <w:lang w:val="fr-FR"/>
              </w:rPr>
              <w:t>intégralement ou en partie</w:t>
            </w:r>
            <w:r>
              <w:rPr>
                <w:lang w:val="fr-FR"/>
              </w:rPr>
              <w:t xml:space="preserve"> sous forme électronique</w:t>
            </w:r>
            <w:r w:rsidR="00767F7A">
              <w:rPr>
                <w:lang w:val="fr-FR"/>
              </w:rPr>
              <w:t> »</w:t>
            </w:r>
            <w:r>
              <w:rPr>
                <w:lang w:val="fr-FR"/>
              </w:rPr>
              <w:t>, de façon à inclure dans cette définition toute étape (par exemple, le contrôle d’identité) susceptible d’être effectuée hors ligne</w:t>
            </w:r>
            <w:r w:rsidR="00767F7A">
              <w:rPr>
                <w:lang w:val="fr-FR"/>
              </w:rPr>
              <w:t> </w:t>
            </w:r>
            <w:r>
              <w:rPr>
                <w:lang w:val="fr-FR"/>
              </w:rPr>
              <w:t>? (En ce qui concerne le choix entre [sujets] et [personnes], voir la note de bas de page</w:t>
            </w:r>
            <w:r w:rsidR="00767F7A">
              <w:rPr>
                <w:lang w:val="fr-FR"/>
              </w:rPr>
              <w:t> </w:t>
            </w:r>
            <w:r>
              <w:rPr>
                <w:lang w:val="fr-FR"/>
              </w:rPr>
              <w:t>14).</w:t>
            </w:r>
          </w:p>
          <w:p w14:paraId="7DBB2733" w14:textId="39893C99" w:rsidR="00101652" w:rsidRPr="001649B9" w:rsidRDefault="00101652" w:rsidP="00401058">
            <w:pPr>
              <w:tabs>
                <w:tab w:val="left" w:pos="288"/>
                <w:tab w:val="left" w:pos="576"/>
                <w:tab w:val="left" w:pos="864"/>
              </w:tabs>
              <w:spacing w:before="40" w:after="40" w:line="210" w:lineRule="atLeast"/>
              <w:ind w:right="142"/>
              <w:rPr>
                <w:lang w:val="fr-FR"/>
              </w:rPr>
            </w:pPr>
            <w:r>
              <w:rPr>
                <w:lang w:val="fr-FR"/>
              </w:rPr>
              <w:t xml:space="preserve">6. Est-il nécessaire d’ajouter une précision (soit dans une définition, par exemple celle du terme « identité » ou celle du </w:t>
            </w:r>
            <w:r>
              <w:rPr>
                <w:lang w:val="fr-FR"/>
              </w:rPr>
              <w:lastRenderedPageBreak/>
              <w:t>terme « contrôle d’identité », soit dans un document explicatif) pour indiquer que les registres et statistiques de l’état civil peuvent constituer une source fiable en ce qui concerne les attributs de personnes physiques et, de même, qu’un registre spécialisé peut constituer une source fiable</w:t>
            </w:r>
            <w:r w:rsidR="00E04751">
              <w:rPr>
                <w:lang w:val="fr-FR"/>
              </w:rPr>
              <w:t xml:space="preserve"> en </w:t>
            </w:r>
            <w:r>
              <w:rPr>
                <w:lang w:val="fr-FR"/>
              </w:rPr>
              <w:t>ce qui concerne les attributs de personnes morales</w:t>
            </w:r>
            <w:r w:rsidR="00E04751">
              <w:rPr>
                <w:lang w:val="fr-FR"/>
              </w:rPr>
              <w:t> </w:t>
            </w:r>
            <w:r>
              <w:rPr>
                <w:lang w:val="fr-FR"/>
              </w:rPr>
              <w:t>?</w:t>
            </w:r>
          </w:p>
          <w:p w14:paraId="0FDBC5EB" w14:textId="60E6796B" w:rsidR="00101652" w:rsidRPr="001649B9" w:rsidRDefault="00101652" w:rsidP="00401058">
            <w:pPr>
              <w:tabs>
                <w:tab w:val="left" w:pos="288"/>
                <w:tab w:val="left" w:pos="576"/>
                <w:tab w:val="left" w:pos="864"/>
              </w:tabs>
              <w:spacing w:before="40" w:after="40" w:line="210" w:lineRule="atLeast"/>
              <w:ind w:right="142"/>
              <w:rPr>
                <w:lang w:val="fr-FR"/>
              </w:rPr>
            </w:pPr>
            <w:r>
              <w:rPr>
                <w:lang w:val="fr-FR"/>
              </w:rPr>
              <w:t xml:space="preserve">7. Faut-il inclure une définition du terme </w:t>
            </w:r>
            <w:r w:rsidR="00767F7A">
              <w:rPr>
                <w:lang w:val="fr-FR"/>
              </w:rPr>
              <w:t>« </w:t>
            </w:r>
            <w:r>
              <w:rPr>
                <w:lang w:val="fr-FR"/>
              </w:rPr>
              <w:t>niveau de garantie</w:t>
            </w:r>
            <w:r w:rsidR="00767F7A">
              <w:rPr>
                <w:lang w:val="fr-FR"/>
              </w:rPr>
              <w:t> »</w:t>
            </w:r>
            <w:r>
              <w:rPr>
                <w:lang w:val="fr-FR"/>
              </w:rPr>
              <w:t>, tel qu’il apparaît aux articles 10-1 b), 11-3 et 27</w:t>
            </w:r>
            <w:r w:rsidR="00E04751">
              <w:rPr>
                <w:lang w:val="fr-FR"/>
              </w:rPr>
              <w:t> </w:t>
            </w:r>
            <w:r>
              <w:rPr>
                <w:lang w:val="fr-FR"/>
              </w:rPr>
              <w:t>c)</w:t>
            </w:r>
            <w:r w:rsidR="00E04751">
              <w:rPr>
                <w:lang w:val="fr-FR"/>
              </w:rPr>
              <w:t> </w:t>
            </w:r>
            <w:r>
              <w:rPr>
                <w:lang w:val="fr-FR"/>
              </w:rPr>
              <w:t>? À l’article</w:t>
            </w:r>
            <w:r w:rsidR="00E04751">
              <w:rPr>
                <w:lang w:val="fr-FR"/>
              </w:rPr>
              <w:t> </w:t>
            </w:r>
            <w:r>
              <w:rPr>
                <w:lang w:val="fr-FR"/>
              </w:rPr>
              <w:t>4</w:t>
            </w:r>
            <w:r w:rsidR="00767F7A">
              <w:rPr>
                <w:lang w:val="fr-FR"/>
              </w:rPr>
              <w:t> </w:t>
            </w:r>
            <w:r>
              <w:rPr>
                <w:lang w:val="fr-FR"/>
              </w:rPr>
              <w:t>g) du document A/CN.9/WG.IV/WP.157, il est proposé la définition suivante</w:t>
            </w:r>
            <w:r w:rsidR="00E04751">
              <w:rPr>
                <w:lang w:val="fr-FR"/>
              </w:rPr>
              <w:t> </w:t>
            </w:r>
            <w:r>
              <w:rPr>
                <w:lang w:val="fr-FR"/>
              </w:rPr>
              <w:t xml:space="preserve">: </w:t>
            </w:r>
            <w:r w:rsidR="00767F7A">
              <w:rPr>
                <w:lang w:val="fr-FR"/>
              </w:rPr>
              <w:t>« </w:t>
            </w:r>
            <w:r>
              <w:rPr>
                <w:lang w:val="fr-FR"/>
              </w:rPr>
              <w:t xml:space="preserve">Par </w:t>
            </w:r>
            <w:r w:rsidR="00767F7A" w:rsidRPr="00767F7A">
              <w:rPr>
                <w:lang w:val="fr-FR"/>
              </w:rPr>
              <w:t>“</w:t>
            </w:r>
            <w:r>
              <w:rPr>
                <w:lang w:val="fr-FR"/>
              </w:rPr>
              <w:t>niveau de garantie</w:t>
            </w:r>
            <w:r w:rsidR="00D0179C" w:rsidRPr="00D0179C">
              <w:rPr>
                <w:lang w:val="fr-FR"/>
              </w:rPr>
              <w:t>”</w:t>
            </w:r>
            <w:r>
              <w:rPr>
                <w:lang w:val="fr-FR"/>
              </w:rPr>
              <w:t>, on entend le degré de confiance dans les processus d’identification et d’authentification, à savoir</w:t>
            </w:r>
            <w:r w:rsidR="00E04751">
              <w:rPr>
                <w:lang w:val="fr-FR"/>
              </w:rPr>
              <w:t> </w:t>
            </w:r>
            <w:r>
              <w:rPr>
                <w:lang w:val="fr-FR"/>
              </w:rPr>
              <w:t>: a)</w:t>
            </w:r>
            <w:r w:rsidR="00D0179C">
              <w:rPr>
                <w:lang w:val="fr-FR"/>
              </w:rPr>
              <w:t> </w:t>
            </w:r>
            <w:r>
              <w:rPr>
                <w:lang w:val="fr-FR"/>
              </w:rPr>
              <w:t>le degré de confiance dans le processus de validation utilisé pour établir l’identité d’un sujet à qui un justificatif a été délivré</w:t>
            </w:r>
            <w:r w:rsidR="00E04751">
              <w:rPr>
                <w:lang w:val="fr-FR"/>
              </w:rPr>
              <w:t> </w:t>
            </w:r>
            <w:r w:rsidR="00767F7A">
              <w:rPr>
                <w:lang w:val="fr-FR"/>
              </w:rPr>
              <w:t>;</w:t>
            </w:r>
            <w:r>
              <w:rPr>
                <w:lang w:val="fr-FR"/>
              </w:rPr>
              <w:t xml:space="preserve"> et</w:t>
            </w:r>
            <w:r w:rsidR="00D0179C">
              <w:rPr>
                <w:lang w:val="fr-FR"/>
              </w:rPr>
              <w:t> </w:t>
            </w:r>
            <w:r>
              <w:rPr>
                <w:lang w:val="fr-FR"/>
              </w:rPr>
              <w:t>b)</w:t>
            </w:r>
            <w:r w:rsidR="00D0179C">
              <w:rPr>
                <w:lang w:val="fr-FR"/>
              </w:rPr>
              <w:t> </w:t>
            </w:r>
            <w:r>
              <w:rPr>
                <w:lang w:val="fr-FR"/>
              </w:rPr>
              <w:t>le degré de confiance dans le fait que le sujet qui utilise le justificatif est celui à qui ce dernier a été délivré. La garantie traduit la fiabilité des méthodes, des processus et des technologies utilisés</w:t>
            </w:r>
            <w:r w:rsidR="00E04751">
              <w:rPr>
                <w:lang w:val="fr-FR"/>
              </w:rPr>
              <w:t> </w:t>
            </w:r>
            <w:r w:rsidR="00767F7A">
              <w:rPr>
                <w:lang w:val="fr-FR"/>
              </w:rPr>
              <w:t>;</w:t>
            </w:r>
            <w:r>
              <w:rPr>
                <w:lang w:val="fr-FR"/>
              </w:rPr>
              <w:t> ».</w:t>
            </w:r>
          </w:p>
        </w:tc>
        <w:tc>
          <w:tcPr>
            <w:tcW w:w="6212" w:type="dxa"/>
            <w:shd w:val="clear" w:color="auto" w:fill="auto"/>
          </w:tcPr>
          <w:p w14:paraId="7D447B8B"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r>
              <w:rPr>
                <w:lang w:val="fr-FR"/>
              </w:rPr>
              <w:lastRenderedPageBreak/>
              <w:t>[</w:t>
            </w:r>
            <w:r w:rsidRPr="00D12014">
              <w:rPr>
                <w:i/>
                <w:iCs/>
                <w:lang w:val="fr-FR"/>
              </w:rPr>
              <w:t>insérer</w:t>
            </w:r>
            <w:r>
              <w:rPr>
                <w:lang w:val="fr-FR"/>
              </w:rPr>
              <w:t>]</w:t>
            </w:r>
          </w:p>
        </w:tc>
      </w:tr>
      <w:tr w:rsidR="00101652" w:rsidRPr="00B6198C" w14:paraId="4C338DC1" w14:textId="77777777" w:rsidTr="00401058">
        <w:trPr>
          <w:trHeight w:hRule="exact" w:val="113"/>
        </w:trPr>
        <w:tc>
          <w:tcPr>
            <w:tcW w:w="2127" w:type="dxa"/>
            <w:shd w:val="clear" w:color="auto" w:fill="auto"/>
          </w:tcPr>
          <w:p w14:paraId="2AD657D7"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7BF4ADC4"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74BB3029"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18C7F527" w14:textId="77777777" w:rsidTr="00401058">
        <w:tc>
          <w:tcPr>
            <w:tcW w:w="2127" w:type="dxa"/>
            <w:shd w:val="clear" w:color="auto" w:fill="auto"/>
          </w:tcPr>
          <w:p w14:paraId="70D1FE80" w14:textId="77777777" w:rsidR="00101652" w:rsidRPr="00D50D95" w:rsidRDefault="00101652" w:rsidP="00401058">
            <w:pPr>
              <w:tabs>
                <w:tab w:val="left" w:pos="288"/>
                <w:tab w:val="left" w:pos="576"/>
                <w:tab w:val="left" w:pos="864"/>
                <w:tab w:val="left" w:pos="1152"/>
              </w:tabs>
              <w:spacing w:before="40" w:after="40" w:line="210" w:lineRule="atLeast"/>
              <w:ind w:right="142"/>
              <w:rPr>
                <w:i/>
                <w:iCs/>
              </w:rPr>
            </w:pPr>
            <w:r>
              <w:rPr>
                <w:i/>
                <w:iCs/>
                <w:lang w:val="fr-FR"/>
              </w:rPr>
              <w:t>Article 2</w:t>
            </w:r>
            <w:r>
              <w:rPr>
                <w:lang w:val="fr-FR"/>
              </w:rPr>
              <w:t xml:space="preserve"> </w:t>
            </w:r>
            <w:r w:rsidR="006400EB">
              <w:rPr>
                <w:lang w:val="fr-FR"/>
              </w:rPr>
              <w:br/>
            </w:r>
            <w:r>
              <w:rPr>
                <w:i/>
                <w:iCs/>
                <w:lang w:val="fr-FR"/>
              </w:rPr>
              <w:t>Champ d’application</w:t>
            </w:r>
          </w:p>
        </w:tc>
        <w:tc>
          <w:tcPr>
            <w:tcW w:w="5953" w:type="dxa"/>
            <w:shd w:val="clear" w:color="auto" w:fill="auto"/>
          </w:tcPr>
          <w:p w14:paraId="431D6917" w14:textId="4E6A0A84" w:rsidR="00101652" w:rsidRPr="00EC2FAB" w:rsidRDefault="00A21512" w:rsidP="00401058">
            <w:pPr>
              <w:tabs>
                <w:tab w:val="left" w:pos="288"/>
                <w:tab w:val="left" w:pos="576"/>
                <w:tab w:val="left" w:pos="864"/>
              </w:tabs>
              <w:spacing w:before="40" w:after="40" w:line="210" w:lineRule="atLeast"/>
              <w:ind w:right="142"/>
            </w:pPr>
            <w:r>
              <w:rPr>
                <w:lang w:val="fr-FR"/>
              </w:rPr>
              <w:t>–</w:t>
            </w:r>
          </w:p>
        </w:tc>
        <w:tc>
          <w:tcPr>
            <w:tcW w:w="6212" w:type="dxa"/>
            <w:shd w:val="clear" w:color="auto" w:fill="auto"/>
          </w:tcPr>
          <w:p w14:paraId="5A55631B" w14:textId="77777777" w:rsidR="00101652" w:rsidRPr="007E28CD" w:rsidRDefault="00101652" w:rsidP="00401058">
            <w:pPr>
              <w:tabs>
                <w:tab w:val="left" w:pos="288"/>
                <w:tab w:val="left" w:pos="576"/>
                <w:tab w:val="left" w:pos="864"/>
                <w:tab w:val="left" w:pos="1152"/>
              </w:tabs>
              <w:spacing w:before="40" w:after="40" w:line="210" w:lineRule="atLeast"/>
              <w:ind w:right="142"/>
            </w:pPr>
            <w:r>
              <w:rPr>
                <w:lang w:val="fr-FR"/>
              </w:rPr>
              <w:t>[</w:t>
            </w:r>
            <w:r w:rsidRPr="00401058">
              <w:rPr>
                <w:i/>
                <w:iCs/>
                <w:lang w:val="fr-FR"/>
              </w:rPr>
              <w:t>insérer</w:t>
            </w:r>
            <w:r>
              <w:rPr>
                <w:lang w:val="fr-FR"/>
              </w:rPr>
              <w:t>]</w:t>
            </w:r>
          </w:p>
        </w:tc>
      </w:tr>
      <w:tr w:rsidR="00101652" w:rsidRPr="00101652" w14:paraId="347955E2" w14:textId="77777777" w:rsidTr="00401058">
        <w:trPr>
          <w:trHeight w:hRule="exact" w:val="113"/>
        </w:trPr>
        <w:tc>
          <w:tcPr>
            <w:tcW w:w="2127" w:type="dxa"/>
            <w:shd w:val="clear" w:color="auto" w:fill="auto"/>
          </w:tcPr>
          <w:p w14:paraId="4A1493B0"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12729B76"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51C2AD25"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144820B7" w14:textId="77777777" w:rsidTr="00401058">
        <w:tc>
          <w:tcPr>
            <w:tcW w:w="2127" w:type="dxa"/>
            <w:shd w:val="clear" w:color="auto" w:fill="auto"/>
          </w:tcPr>
          <w:p w14:paraId="2DE09918"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3</w:t>
            </w:r>
            <w:r>
              <w:rPr>
                <w:lang w:val="fr-FR"/>
              </w:rPr>
              <w:t xml:space="preserve"> </w:t>
            </w:r>
            <w:r w:rsidR="006400EB">
              <w:rPr>
                <w:lang w:val="fr-FR"/>
              </w:rPr>
              <w:br/>
            </w:r>
            <w:r>
              <w:rPr>
                <w:i/>
                <w:iCs/>
                <w:lang w:val="fr-FR"/>
              </w:rPr>
              <w:t>Caractère volontaire de l’utilisation de services de gestion de l’identité et de services de confiance</w:t>
            </w:r>
          </w:p>
        </w:tc>
        <w:tc>
          <w:tcPr>
            <w:tcW w:w="5953" w:type="dxa"/>
            <w:shd w:val="clear" w:color="auto" w:fill="auto"/>
          </w:tcPr>
          <w:p w14:paraId="1C5DE6F7" w14:textId="45D7809C"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1. Des questions ont été posées au sujet des liens entre les articles</w:t>
            </w:r>
            <w:r w:rsidR="00401058">
              <w:rPr>
                <w:lang w:val="fr-FR"/>
              </w:rPr>
              <w:t> </w:t>
            </w:r>
            <w:r>
              <w:rPr>
                <w:lang w:val="fr-FR"/>
              </w:rPr>
              <w:t>2 et 3. Ces liens seraient-ils plus clairs si l’article</w:t>
            </w:r>
            <w:r w:rsidR="00D0179C">
              <w:rPr>
                <w:lang w:val="fr-FR"/>
              </w:rPr>
              <w:t> </w:t>
            </w:r>
            <w:r>
              <w:rPr>
                <w:lang w:val="fr-FR"/>
              </w:rPr>
              <w:t>3 était reformulé comme suit</w:t>
            </w:r>
            <w:r w:rsidR="00E04751">
              <w:rPr>
                <w:lang w:val="fr-FR"/>
              </w:rPr>
              <w:t> </w:t>
            </w:r>
            <w:r>
              <w:rPr>
                <w:lang w:val="fr-FR"/>
              </w:rPr>
              <w:t xml:space="preserve">: </w:t>
            </w:r>
            <w:r w:rsidR="00767F7A">
              <w:rPr>
                <w:lang w:val="fr-FR"/>
              </w:rPr>
              <w:t>« </w:t>
            </w:r>
            <w:r>
              <w:rPr>
                <w:lang w:val="fr-FR"/>
              </w:rPr>
              <w:t>Aucune disposition du présent [instrument] n’exige d’une [personne] [partie se fiant à un service] qu’elle accepte l’identification électronique d’un sujet ou qu’elle se fie à un service de confiance sans y avoir consenti. »</w:t>
            </w:r>
            <w:r w:rsidR="00E04751">
              <w:rPr>
                <w:lang w:val="fr-FR"/>
              </w:rPr>
              <w:t> </w:t>
            </w:r>
            <w:r>
              <w:rPr>
                <w:lang w:val="fr-FR"/>
              </w:rPr>
              <w:t>?</w:t>
            </w:r>
          </w:p>
        </w:tc>
        <w:tc>
          <w:tcPr>
            <w:tcW w:w="6212" w:type="dxa"/>
            <w:shd w:val="clear" w:color="auto" w:fill="auto"/>
          </w:tcPr>
          <w:p w14:paraId="597262E0" w14:textId="77777777" w:rsidR="00101652" w:rsidRPr="007E28CD" w:rsidRDefault="00101652" w:rsidP="00401058">
            <w:pPr>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142E7219" w14:textId="77777777" w:rsidTr="00401058">
        <w:trPr>
          <w:trHeight w:hRule="exact" w:val="113"/>
        </w:trPr>
        <w:tc>
          <w:tcPr>
            <w:tcW w:w="2127" w:type="dxa"/>
            <w:shd w:val="clear" w:color="auto" w:fill="auto"/>
          </w:tcPr>
          <w:p w14:paraId="2E1BD131"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7C350DED"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1A644818"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60A9BB2F" w14:textId="77777777" w:rsidTr="00401058">
        <w:tc>
          <w:tcPr>
            <w:tcW w:w="2127" w:type="dxa"/>
            <w:shd w:val="clear" w:color="auto" w:fill="auto"/>
          </w:tcPr>
          <w:p w14:paraId="54DBF775" w14:textId="77777777" w:rsidR="00101652" w:rsidRPr="00D50D95" w:rsidRDefault="00101652" w:rsidP="00401058">
            <w:pPr>
              <w:tabs>
                <w:tab w:val="left" w:pos="288"/>
                <w:tab w:val="left" w:pos="576"/>
                <w:tab w:val="left" w:pos="864"/>
                <w:tab w:val="left" w:pos="1152"/>
              </w:tabs>
              <w:spacing w:before="40" w:after="40" w:line="210" w:lineRule="atLeast"/>
              <w:ind w:right="142"/>
              <w:rPr>
                <w:i/>
                <w:iCs/>
              </w:rPr>
            </w:pPr>
            <w:r>
              <w:rPr>
                <w:i/>
                <w:iCs/>
                <w:lang w:val="fr-FR"/>
              </w:rPr>
              <w:t>Article 4</w:t>
            </w:r>
            <w:r>
              <w:rPr>
                <w:lang w:val="fr-FR"/>
              </w:rPr>
              <w:t xml:space="preserve"> </w:t>
            </w:r>
            <w:r w:rsidR="006400EB">
              <w:rPr>
                <w:lang w:val="fr-FR"/>
              </w:rPr>
              <w:br/>
            </w:r>
            <w:r>
              <w:rPr>
                <w:i/>
                <w:iCs/>
                <w:lang w:val="fr-FR"/>
              </w:rPr>
              <w:t>Interprétation</w:t>
            </w:r>
          </w:p>
        </w:tc>
        <w:tc>
          <w:tcPr>
            <w:tcW w:w="5953" w:type="dxa"/>
            <w:shd w:val="clear" w:color="auto" w:fill="auto"/>
          </w:tcPr>
          <w:p w14:paraId="15B11D32" w14:textId="02DA4DC6" w:rsidR="00101652" w:rsidRDefault="00A21512" w:rsidP="00401058">
            <w:pPr>
              <w:tabs>
                <w:tab w:val="left" w:pos="288"/>
                <w:tab w:val="left" w:pos="576"/>
                <w:tab w:val="left" w:pos="864"/>
                <w:tab w:val="left" w:pos="1152"/>
              </w:tabs>
              <w:spacing w:before="40" w:after="40" w:line="210" w:lineRule="atLeast"/>
              <w:ind w:right="142"/>
            </w:pPr>
            <w:r>
              <w:rPr>
                <w:lang w:val="fr-FR"/>
              </w:rPr>
              <w:t>–</w:t>
            </w:r>
          </w:p>
        </w:tc>
        <w:tc>
          <w:tcPr>
            <w:tcW w:w="6212" w:type="dxa"/>
            <w:shd w:val="clear" w:color="auto" w:fill="auto"/>
          </w:tcPr>
          <w:p w14:paraId="46B9CAE6"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1A84E588" w14:textId="77777777" w:rsidTr="00401058">
        <w:trPr>
          <w:trHeight w:hRule="exact" w:val="113"/>
        </w:trPr>
        <w:tc>
          <w:tcPr>
            <w:tcW w:w="2127" w:type="dxa"/>
            <w:shd w:val="clear" w:color="auto" w:fill="auto"/>
          </w:tcPr>
          <w:p w14:paraId="6A7EEDE9"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2279FCCE"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3CE439A9"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D0179C" w:rsidRPr="00BF3867" w14:paraId="2E0EAD2C" w14:textId="77777777" w:rsidTr="00A21512">
        <w:tc>
          <w:tcPr>
            <w:tcW w:w="14292" w:type="dxa"/>
            <w:gridSpan w:val="3"/>
            <w:shd w:val="clear" w:color="auto" w:fill="auto"/>
          </w:tcPr>
          <w:p w14:paraId="776663C6" w14:textId="77777777" w:rsidR="00D0179C" w:rsidRPr="00A664F4" w:rsidRDefault="00D0179C" w:rsidP="00401058">
            <w:pPr>
              <w:tabs>
                <w:tab w:val="left" w:pos="288"/>
                <w:tab w:val="left" w:pos="576"/>
                <w:tab w:val="left" w:pos="864"/>
                <w:tab w:val="left" w:pos="1152"/>
              </w:tabs>
              <w:spacing w:before="40" w:after="40" w:line="210" w:lineRule="exact"/>
              <w:ind w:right="142"/>
              <w:rPr>
                <w:sz w:val="17"/>
                <w:lang w:val="fr-FR"/>
              </w:rPr>
            </w:pPr>
            <w:r>
              <w:rPr>
                <w:b/>
                <w:bCs/>
                <w:lang w:val="fr-FR"/>
              </w:rPr>
              <w:t>Chapitre II.</w:t>
            </w:r>
            <w:r>
              <w:rPr>
                <w:lang w:val="fr-FR"/>
              </w:rPr>
              <w:t xml:space="preserve"> </w:t>
            </w:r>
            <w:r>
              <w:rPr>
                <w:b/>
                <w:bCs/>
                <w:lang w:val="fr-FR"/>
              </w:rPr>
              <w:t>Gestion de l’identité</w:t>
            </w:r>
          </w:p>
        </w:tc>
      </w:tr>
      <w:tr w:rsidR="00101652" w:rsidRPr="00BF3867" w14:paraId="3EA7371B" w14:textId="77777777" w:rsidTr="00401058">
        <w:trPr>
          <w:trHeight w:hRule="exact" w:val="113"/>
        </w:trPr>
        <w:tc>
          <w:tcPr>
            <w:tcW w:w="2127" w:type="dxa"/>
            <w:shd w:val="clear" w:color="auto" w:fill="auto"/>
          </w:tcPr>
          <w:p w14:paraId="04164FC6"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66FF09C9"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61276053"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278019EF" w14:textId="77777777" w:rsidTr="00401058">
        <w:tc>
          <w:tcPr>
            <w:tcW w:w="2127" w:type="dxa"/>
            <w:shd w:val="clear" w:color="auto" w:fill="auto"/>
          </w:tcPr>
          <w:p w14:paraId="2FF9D051"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5</w:t>
            </w:r>
            <w:r>
              <w:rPr>
                <w:lang w:val="fr-FR"/>
              </w:rPr>
              <w:t xml:space="preserve"> </w:t>
            </w:r>
            <w:r w:rsidR="006400EB">
              <w:rPr>
                <w:lang w:val="fr-FR"/>
              </w:rPr>
              <w:br/>
            </w:r>
            <w:r>
              <w:rPr>
                <w:i/>
                <w:iCs/>
                <w:lang w:val="fr-FR"/>
              </w:rPr>
              <w:t>Reconnaissance juridique de la gestion de l’identité</w:t>
            </w:r>
          </w:p>
          <w:p w14:paraId="1DB96E2C"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lang w:val="fr-FR"/>
              </w:rPr>
              <w:lastRenderedPageBreak/>
              <w:t>Note</w:t>
            </w:r>
            <w:r w:rsidR="00D0179C">
              <w:rPr>
                <w:lang w:val="fr-FR"/>
              </w:rPr>
              <w:t> </w:t>
            </w:r>
            <w:r>
              <w:rPr>
                <w:lang w:val="fr-FR"/>
              </w:rPr>
              <w:t>: L’article 5 suit le modèle de l’article</w:t>
            </w:r>
            <w:r w:rsidR="00D0179C">
              <w:rPr>
                <w:lang w:val="fr-FR"/>
              </w:rPr>
              <w:t> </w:t>
            </w:r>
            <w:r>
              <w:rPr>
                <w:lang w:val="fr-FR"/>
              </w:rPr>
              <w:t xml:space="preserve">13. </w:t>
            </w:r>
          </w:p>
        </w:tc>
        <w:tc>
          <w:tcPr>
            <w:tcW w:w="5953" w:type="dxa"/>
            <w:shd w:val="clear" w:color="auto" w:fill="auto"/>
          </w:tcPr>
          <w:p w14:paraId="6DC4510B" w14:textId="0BE653FD" w:rsidR="00101652" w:rsidRDefault="00A21512" w:rsidP="00401058">
            <w:pPr>
              <w:tabs>
                <w:tab w:val="left" w:pos="288"/>
                <w:tab w:val="left" w:pos="576"/>
                <w:tab w:val="left" w:pos="864"/>
                <w:tab w:val="left" w:pos="1152"/>
              </w:tabs>
              <w:spacing w:before="40" w:after="40" w:line="210" w:lineRule="atLeast"/>
              <w:ind w:right="142"/>
            </w:pPr>
            <w:r>
              <w:rPr>
                <w:lang w:val="fr-FR"/>
              </w:rPr>
              <w:lastRenderedPageBreak/>
              <w:t>–</w:t>
            </w:r>
          </w:p>
        </w:tc>
        <w:tc>
          <w:tcPr>
            <w:tcW w:w="6212" w:type="dxa"/>
            <w:shd w:val="clear" w:color="auto" w:fill="auto"/>
          </w:tcPr>
          <w:p w14:paraId="1F6602A4"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719BFB94" w14:textId="77777777" w:rsidTr="00401058">
        <w:trPr>
          <w:trHeight w:hRule="exact" w:val="113"/>
        </w:trPr>
        <w:tc>
          <w:tcPr>
            <w:tcW w:w="2127" w:type="dxa"/>
            <w:shd w:val="clear" w:color="auto" w:fill="auto"/>
          </w:tcPr>
          <w:p w14:paraId="786F9CD2"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6CE00A90"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6A023444"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3DCE5D62" w14:textId="77777777" w:rsidTr="00401058">
        <w:tc>
          <w:tcPr>
            <w:tcW w:w="2127" w:type="dxa"/>
            <w:shd w:val="clear" w:color="auto" w:fill="auto"/>
          </w:tcPr>
          <w:p w14:paraId="080F45AB"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6</w:t>
            </w:r>
            <w:r>
              <w:rPr>
                <w:lang w:val="fr-FR"/>
              </w:rPr>
              <w:t xml:space="preserve"> </w:t>
            </w:r>
            <w:r w:rsidR="00D0179C">
              <w:rPr>
                <w:lang w:val="fr-FR"/>
              </w:rPr>
              <w:br/>
            </w:r>
            <w:r>
              <w:rPr>
                <w:i/>
                <w:iCs/>
                <w:lang w:val="fr-FR"/>
              </w:rPr>
              <w:t>Obligations incombant aux prestataires de services de gestion de l’identité</w:t>
            </w:r>
            <w:r>
              <w:rPr>
                <w:lang w:val="fr-FR"/>
              </w:rPr>
              <w:t xml:space="preserve">  </w:t>
            </w:r>
          </w:p>
        </w:tc>
        <w:tc>
          <w:tcPr>
            <w:tcW w:w="5953" w:type="dxa"/>
            <w:shd w:val="clear" w:color="auto" w:fill="auto"/>
          </w:tcPr>
          <w:p w14:paraId="4CF06FFC"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 xml:space="preserve">1. Est-il souhaitable de conserver dans le chapeau les mots </w:t>
            </w:r>
            <w:r w:rsidR="00767F7A">
              <w:rPr>
                <w:lang w:val="fr-FR"/>
              </w:rPr>
              <w:t>« </w:t>
            </w:r>
            <w:r>
              <w:rPr>
                <w:lang w:val="fr-FR"/>
              </w:rPr>
              <w:t>au minimum</w:t>
            </w:r>
            <w:r w:rsidR="00767F7A">
              <w:rPr>
                <w:lang w:val="fr-FR"/>
              </w:rPr>
              <w:t> »</w:t>
            </w:r>
            <w:r>
              <w:rPr>
                <w:lang w:val="fr-FR"/>
              </w:rPr>
              <w:t> ?</w:t>
            </w:r>
          </w:p>
        </w:tc>
        <w:tc>
          <w:tcPr>
            <w:tcW w:w="6212" w:type="dxa"/>
            <w:shd w:val="clear" w:color="auto" w:fill="auto"/>
          </w:tcPr>
          <w:p w14:paraId="3F04FF99"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44D842AA" w14:textId="77777777" w:rsidTr="00401058">
        <w:trPr>
          <w:trHeight w:hRule="exact" w:val="113"/>
        </w:trPr>
        <w:tc>
          <w:tcPr>
            <w:tcW w:w="2127" w:type="dxa"/>
            <w:shd w:val="clear" w:color="auto" w:fill="auto"/>
          </w:tcPr>
          <w:p w14:paraId="30E15969"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502FDEB2"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577F2C6D"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7B5770AF" w14:textId="77777777" w:rsidTr="00401058">
        <w:tc>
          <w:tcPr>
            <w:tcW w:w="2127" w:type="dxa"/>
            <w:shd w:val="clear" w:color="auto" w:fill="auto"/>
          </w:tcPr>
          <w:p w14:paraId="37825145"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7</w:t>
            </w:r>
            <w:r>
              <w:rPr>
                <w:lang w:val="fr-FR"/>
              </w:rPr>
              <w:t xml:space="preserve"> </w:t>
            </w:r>
            <w:r w:rsidR="00D0179C">
              <w:rPr>
                <w:lang w:val="fr-FR"/>
              </w:rPr>
              <w:br/>
            </w:r>
            <w:r>
              <w:rPr>
                <w:i/>
                <w:iCs/>
                <w:lang w:val="fr-FR"/>
              </w:rPr>
              <w:t>Obligations incombant aux prestataires de services de gestion de l’identité en cas de violation des données</w:t>
            </w:r>
          </w:p>
          <w:p w14:paraId="1D7491EB" w14:textId="77777777" w:rsidR="00101652" w:rsidRPr="001649B9" w:rsidRDefault="00101652" w:rsidP="00401058">
            <w:pPr>
              <w:tabs>
                <w:tab w:val="left" w:pos="288"/>
                <w:tab w:val="left" w:pos="576"/>
                <w:tab w:val="left" w:pos="864"/>
                <w:tab w:val="left" w:pos="1152"/>
              </w:tabs>
              <w:spacing w:before="40" w:after="40" w:line="210" w:lineRule="atLeast"/>
              <w:ind w:right="142"/>
              <w:rPr>
                <w:sz w:val="18"/>
                <w:szCs w:val="18"/>
                <w:lang w:val="fr-FR"/>
              </w:rPr>
            </w:pPr>
            <w:r>
              <w:rPr>
                <w:lang w:val="fr-FR"/>
              </w:rPr>
              <w:t>Note</w:t>
            </w:r>
            <w:r w:rsidR="00D0179C">
              <w:rPr>
                <w:lang w:val="fr-FR"/>
              </w:rPr>
              <w:t> </w:t>
            </w:r>
            <w:r>
              <w:rPr>
                <w:lang w:val="fr-FR"/>
              </w:rPr>
              <w:t>: L’article 7 suit le modèle de l’article</w:t>
            </w:r>
            <w:r w:rsidR="00D0179C">
              <w:rPr>
                <w:lang w:val="fr-FR"/>
              </w:rPr>
              <w:t> </w:t>
            </w:r>
            <w:r>
              <w:rPr>
                <w:lang w:val="fr-FR"/>
              </w:rPr>
              <w:t>14-2.</w:t>
            </w:r>
          </w:p>
        </w:tc>
        <w:tc>
          <w:tcPr>
            <w:tcW w:w="5953" w:type="dxa"/>
            <w:shd w:val="clear" w:color="auto" w:fill="auto"/>
          </w:tcPr>
          <w:p w14:paraId="1C0EB3A6" w14:textId="1E30C71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 xml:space="preserve">1. Le fait de </w:t>
            </w:r>
            <w:r w:rsidR="00767F7A">
              <w:rPr>
                <w:lang w:val="fr-FR"/>
              </w:rPr>
              <w:t>« </w:t>
            </w:r>
            <w:r>
              <w:rPr>
                <w:lang w:val="fr-FR"/>
              </w:rPr>
              <w:t>mettre fin à</w:t>
            </w:r>
            <w:r w:rsidR="00767F7A">
              <w:rPr>
                <w:lang w:val="fr-FR"/>
              </w:rPr>
              <w:t> »</w:t>
            </w:r>
            <w:r>
              <w:rPr>
                <w:lang w:val="fr-FR"/>
              </w:rPr>
              <w:t xml:space="preserve"> (</w:t>
            </w:r>
            <w:r w:rsidR="00767F7A">
              <w:rPr>
                <w:lang w:val="fr-FR"/>
              </w:rPr>
              <w:t>« </w:t>
            </w:r>
            <w:r>
              <w:rPr>
                <w:lang w:val="fr-FR"/>
              </w:rPr>
              <w:t>to contain</w:t>
            </w:r>
            <w:r w:rsidR="00767F7A">
              <w:rPr>
                <w:lang w:val="fr-FR"/>
              </w:rPr>
              <w:t> »</w:t>
            </w:r>
            <w:r>
              <w:rPr>
                <w:lang w:val="fr-FR"/>
              </w:rPr>
              <w:t xml:space="preserve"> dans la version anglaise) une atteinte à la sécurité constitue-t-il l’objectif visé par les mesures prises par le prestataire de services de gestion de l’identité pour y répondre, comme l’exige l’article</w:t>
            </w:r>
            <w:r w:rsidR="00D0179C">
              <w:rPr>
                <w:lang w:val="fr-FR"/>
              </w:rPr>
              <w:t> </w:t>
            </w:r>
            <w:r>
              <w:rPr>
                <w:lang w:val="fr-FR"/>
              </w:rPr>
              <w:t>7-1 a) (voir A/CN.9/WG.IV/WP.162, art.</w:t>
            </w:r>
            <w:r w:rsidR="00D0179C">
              <w:rPr>
                <w:lang w:val="fr-FR"/>
              </w:rPr>
              <w:t> </w:t>
            </w:r>
            <w:r>
              <w:rPr>
                <w:lang w:val="fr-FR"/>
              </w:rPr>
              <w:t>14-2 et notes de bas de page 28 et</w:t>
            </w:r>
            <w:r w:rsidR="00813DC2">
              <w:rPr>
                <w:lang w:val="fr-FR"/>
              </w:rPr>
              <w:t> </w:t>
            </w:r>
            <w:r>
              <w:rPr>
                <w:lang w:val="fr-FR"/>
              </w:rPr>
              <w:t>43) ?</w:t>
            </w:r>
          </w:p>
        </w:tc>
        <w:tc>
          <w:tcPr>
            <w:tcW w:w="6212" w:type="dxa"/>
            <w:shd w:val="clear" w:color="auto" w:fill="auto"/>
          </w:tcPr>
          <w:p w14:paraId="7B0EA185"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61B60FA1" w14:textId="77777777" w:rsidTr="00401058">
        <w:trPr>
          <w:trHeight w:hRule="exact" w:val="113"/>
        </w:trPr>
        <w:tc>
          <w:tcPr>
            <w:tcW w:w="2127" w:type="dxa"/>
            <w:shd w:val="clear" w:color="auto" w:fill="auto"/>
          </w:tcPr>
          <w:p w14:paraId="648AF610"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420EB3D5"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4915BB0F"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24699658" w14:textId="77777777" w:rsidTr="00401058">
        <w:tc>
          <w:tcPr>
            <w:tcW w:w="2127" w:type="dxa"/>
            <w:shd w:val="clear" w:color="auto" w:fill="auto"/>
          </w:tcPr>
          <w:p w14:paraId="208283E2" w14:textId="77777777" w:rsidR="00101652" w:rsidRPr="001649B9" w:rsidRDefault="00101652" w:rsidP="00401058">
            <w:pPr>
              <w:keepNext/>
              <w:keepLines/>
              <w:tabs>
                <w:tab w:val="left" w:pos="288"/>
                <w:tab w:val="left" w:pos="576"/>
                <w:tab w:val="left" w:pos="864"/>
                <w:tab w:val="left" w:pos="1152"/>
              </w:tabs>
              <w:spacing w:before="40" w:after="40" w:line="210" w:lineRule="atLeast"/>
              <w:ind w:right="142"/>
              <w:rPr>
                <w:i/>
                <w:iCs/>
                <w:lang w:val="fr-FR"/>
              </w:rPr>
            </w:pPr>
            <w:r>
              <w:rPr>
                <w:i/>
                <w:iCs/>
                <w:lang w:val="fr-FR"/>
              </w:rPr>
              <w:t>Article 8</w:t>
            </w:r>
            <w:r>
              <w:rPr>
                <w:lang w:val="fr-FR"/>
              </w:rPr>
              <w:t xml:space="preserve"> </w:t>
            </w:r>
            <w:r w:rsidR="00D0179C">
              <w:rPr>
                <w:lang w:val="fr-FR"/>
              </w:rPr>
              <w:br/>
            </w:r>
            <w:r>
              <w:rPr>
                <w:i/>
                <w:iCs/>
                <w:lang w:val="fr-FR"/>
              </w:rPr>
              <w:t>Obligations incombant aux abonnés</w:t>
            </w:r>
          </w:p>
          <w:p w14:paraId="4A0A3A43" w14:textId="0551D5FF" w:rsidR="00101652" w:rsidRPr="001649B9" w:rsidRDefault="00101652" w:rsidP="00401058">
            <w:pPr>
              <w:keepNext/>
              <w:keepLines/>
              <w:tabs>
                <w:tab w:val="left" w:pos="288"/>
                <w:tab w:val="left" w:pos="576"/>
                <w:tab w:val="left" w:pos="864"/>
                <w:tab w:val="left" w:pos="1152"/>
              </w:tabs>
              <w:spacing w:before="40" w:after="40" w:line="210" w:lineRule="atLeast"/>
              <w:ind w:right="142"/>
              <w:rPr>
                <w:sz w:val="18"/>
                <w:szCs w:val="18"/>
                <w:lang w:val="fr-FR"/>
              </w:rPr>
            </w:pPr>
            <w:r>
              <w:rPr>
                <w:lang w:val="fr-FR"/>
              </w:rPr>
              <w:t>Note</w:t>
            </w:r>
            <w:r w:rsidR="00813DC2">
              <w:rPr>
                <w:lang w:val="fr-FR"/>
              </w:rPr>
              <w:t> </w:t>
            </w:r>
            <w:r>
              <w:rPr>
                <w:lang w:val="fr-FR"/>
              </w:rPr>
              <w:t>: L’article 8 suit le modèle de l’article</w:t>
            </w:r>
            <w:r w:rsidR="00813DC2">
              <w:rPr>
                <w:lang w:val="fr-FR"/>
              </w:rPr>
              <w:t> </w:t>
            </w:r>
            <w:r>
              <w:rPr>
                <w:lang w:val="fr-FR"/>
              </w:rPr>
              <w:t>15.</w:t>
            </w:r>
          </w:p>
        </w:tc>
        <w:tc>
          <w:tcPr>
            <w:tcW w:w="5953" w:type="dxa"/>
            <w:shd w:val="clear" w:color="auto" w:fill="auto"/>
          </w:tcPr>
          <w:p w14:paraId="0569E8EC" w14:textId="2F8B3C0E" w:rsidR="00101652" w:rsidRPr="001649B9" w:rsidRDefault="00101652" w:rsidP="00401058">
            <w:pPr>
              <w:keepNext/>
              <w:keepLines/>
              <w:tabs>
                <w:tab w:val="left" w:pos="288"/>
                <w:tab w:val="left" w:pos="576"/>
                <w:tab w:val="left" w:pos="864"/>
                <w:tab w:val="left" w:pos="1152"/>
              </w:tabs>
              <w:spacing w:before="40" w:after="40" w:line="210" w:lineRule="atLeast"/>
              <w:ind w:right="142"/>
              <w:rPr>
                <w:lang w:val="fr-FR"/>
              </w:rPr>
            </w:pPr>
            <w:r>
              <w:rPr>
                <w:lang w:val="fr-FR"/>
              </w:rPr>
              <w:t xml:space="preserve">1. Du fait de la modification de la définition du terme </w:t>
            </w:r>
            <w:r w:rsidR="00767F7A">
              <w:rPr>
                <w:lang w:val="fr-FR"/>
              </w:rPr>
              <w:t>« </w:t>
            </w:r>
            <w:r>
              <w:rPr>
                <w:lang w:val="fr-FR"/>
              </w:rPr>
              <w:t>utilisateur</w:t>
            </w:r>
            <w:r w:rsidR="00767F7A">
              <w:rPr>
                <w:lang w:val="fr-FR"/>
              </w:rPr>
              <w:t> »</w:t>
            </w:r>
            <w:r>
              <w:rPr>
                <w:lang w:val="fr-FR"/>
              </w:rPr>
              <w:t xml:space="preserve">, qui fait désormais référence au terme </w:t>
            </w:r>
            <w:r w:rsidR="00767F7A">
              <w:rPr>
                <w:lang w:val="fr-FR"/>
              </w:rPr>
              <w:t>« </w:t>
            </w:r>
            <w:r>
              <w:rPr>
                <w:lang w:val="fr-FR"/>
              </w:rPr>
              <w:t>abonné</w:t>
            </w:r>
            <w:r w:rsidR="00767F7A">
              <w:rPr>
                <w:lang w:val="fr-FR"/>
              </w:rPr>
              <w:t> »</w:t>
            </w:r>
            <w:r>
              <w:rPr>
                <w:lang w:val="fr-FR"/>
              </w:rPr>
              <w:t xml:space="preserve"> (voir note de bas de page 15), le projet de dispositions ne contient plus aucune référence aux tiers qui se fient à un service. Le Groupe de travail a décidé de ne pas imposer d’obligations aux tiers qui se fient à un service en l’absence d’un accord contractuel avec des prestataires de services de gestion de l’identité (A/CN.9/1005, par. 95). Existe-t-il des circonstances dans lesquelles les droits et obligations des tiers qui se fient à un service devraient être abordés dans le projet de dispositions (par exemple, pour notifier des atteintes dont ils ont connaissance) ? </w:t>
            </w:r>
          </w:p>
        </w:tc>
        <w:tc>
          <w:tcPr>
            <w:tcW w:w="6212" w:type="dxa"/>
            <w:shd w:val="clear" w:color="auto" w:fill="auto"/>
          </w:tcPr>
          <w:p w14:paraId="4B194B46" w14:textId="77777777" w:rsidR="00101652" w:rsidRDefault="00101652" w:rsidP="00401058">
            <w:pPr>
              <w:keepNext/>
              <w:keepLines/>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3FBEAE67" w14:textId="77777777" w:rsidTr="00401058">
        <w:trPr>
          <w:trHeight w:hRule="exact" w:val="113"/>
        </w:trPr>
        <w:tc>
          <w:tcPr>
            <w:tcW w:w="2127" w:type="dxa"/>
            <w:shd w:val="clear" w:color="auto" w:fill="auto"/>
          </w:tcPr>
          <w:p w14:paraId="01B9869D"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456DE3F1"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23CE6328"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3D5F6020" w14:textId="77777777" w:rsidTr="00401058">
        <w:tc>
          <w:tcPr>
            <w:tcW w:w="2127" w:type="dxa"/>
            <w:shd w:val="clear" w:color="auto" w:fill="auto"/>
          </w:tcPr>
          <w:p w14:paraId="11357A17"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9</w:t>
            </w:r>
            <w:r>
              <w:rPr>
                <w:lang w:val="fr-FR"/>
              </w:rPr>
              <w:t xml:space="preserve"> </w:t>
            </w:r>
            <w:r w:rsidR="00D0179C">
              <w:rPr>
                <w:lang w:val="fr-FR"/>
              </w:rPr>
              <w:br/>
            </w:r>
            <w:r>
              <w:rPr>
                <w:i/>
                <w:iCs/>
                <w:lang w:val="fr-FR"/>
              </w:rPr>
              <w:t xml:space="preserve">Identification au moyen de la gestion </w:t>
            </w:r>
            <w:r w:rsidR="00D0179C">
              <w:rPr>
                <w:i/>
                <w:iCs/>
                <w:lang w:val="fr-FR"/>
              </w:rPr>
              <w:br/>
            </w:r>
            <w:r>
              <w:rPr>
                <w:i/>
                <w:iCs/>
                <w:lang w:val="fr-FR"/>
              </w:rPr>
              <w:t>de l’identité</w:t>
            </w:r>
          </w:p>
        </w:tc>
        <w:tc>
          <w:tcPr>
            <w:tcW w:w="5953" w:type="dxa"/>
            <w:shd w:val="clear" w:color="auto" w:fill="auto"/>
          </w:tcPr>
          <w:p w14:paraId="4B998192"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1. Quelle est l’option la plus appropriée pour l’article</w:t>
            </w:r>
            <w:r w:rsidR="00D0179C">
              <w:rPr>
                <w:lang w:val="fr-FR"/>
              </w:rPr>
              <w:t> </w:t>
            </w:r>
            <w:r>
              <w:rPr>
                <w:lang w:val="fr-FR"/>
              </w:rPr>
              <w:t>9-1 (voir A/CN.9/WG.IV/WP.162, notes de bas de page 30 à 32) ?</w:t>
            </w:r>
          </w:p>
          <w:p w14:paraId="5B0CA73D"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2. Quels sont les liens entre les articles 2-3 et 9 ?</w:t>
            </w:r>
          </w:p>
          <w:p w14:paraId="0F78A9E7"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 xml:space="preserve">3. Faut-il conserver une disposition sur l’équivalence fonctionnelle pour l’identification, ou bien les éléments d’identification des signatures et des cachets électroniques sont-ils suffisants pour </w:t>
            </w:r>
            <w:r>
              <w:rPr>
                <w:lang w:val="fr-FR"/>
              </w:rPr>
              <w:lastRenderedPageBreak/>
              <w:t>atteindre l’objectif souhaité, à savoir établir des normes d’équivalence fonctionnelle pour l’identification ?</w:t>
            </w:r>
          </w:p>
          <w:p w14:paraId="231AB51F"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 xml:space="preserve">4. Si l’article 9 est maintenu, la norme de fiabilité de la méthode qui y est visée doit-elle être qualifiée de </w:t>
            </w:r>
            <w:r w:rsidR="00767F7A">
              <w:rPr>
                <w:lang w:val="fr-FR"/>
              </w:rPr>
              <w:t>« </w:t>
            </w:r>
            <w:r>
              <w:rPr>
                <w:lang w:val="fr-FR"/>
              </w:rPr>
              <w:t>suffisamment fiable</w:t>
            </w:r>
            <w:r w:rsidR="00767F7A">
              <w:rPr>
                <w:lang w:val="fr-FR"/>
              </w:rPr>
              <w:t> »</w:t>
            </w:r>
            <w:r>
              <w:rPr>
                <w:lang w:val="fr-FR"/>
              </w:rPr>
              <w:t xml:space="preserve"> pour mieux refléter les différentes normes d’identification hors ligne ?</w:t>
            </w:r>
          </w:p>
          <w:p w14:paraId="52A33490"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5. Dans la pratique, une partie qui se fie à un service peut utiliser son propre service de gestion de l’identité pour l’identification électronique d’un sujet, auquel cas la partie qui se fie au service est le prestataire de services de gestion de l’identité. Est-il souhaitable d’insérer une disposition reconnaissant que le prestataire de services de gestion de l’identité pourrait être la personne qui cherche à se fier à l’identification électronique ? (À comparer avec l’article</w:t>
            </w:r>
            <w:r w:rsidR="00D0179C">
              <w:rPr>
                <w:lang w:val="fr-FR"/>
              </w:rPr>
              <w:t> </w:t>
            </w:r>
            <w:r>
              <w:rPr>
                <w:lang w:val="fr-FR"/>
              </w:rPr>
              <w:t>10-3 de la LTCE pour la situation inverse.)</w:t>
            </w:r>
          </w:p>
        </w:tc>
        <w:tc>
          <w:tcPr>
            <w:tcW w:w="6212" w:type="dxa"/>
            <w:shd w:val="clear" w:color="auto" w:fill="auto"/>
          </w:tcPr>
          <w:p w14:paraId="5A244B08"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lastRenderedPageBreak/>
              <w:t>[</w:t>
            </w:r>
            <w:r w:rsidRPr="00D0179C">
              <w:rPr>
                <w:i/>
                <w:iCs/>
                <w:lang w:val="fr-FR"/>
              </w:rPr>
              <w:t>insérer</w:t>
            </w:r>
            <w:r>
              <w:rPr>
                <w:lang w:val="fr-FR"/>
              </w:rPr>
              <w:t>]</w:t>
            </w:r>
          </w:p>
        </w:tc>
      </w:tr>
      <w:tr w:rsidR="00101652" w:rsidRPr="00101652" w14:paraId="5CDFD2FF" w14:textId="77777777" w:rsidTr="00401058">
        <w:trPr>
          <w:trHeight w:hRule="exact" w:val="113"/>
        </w:trPr>
        <w:tc>
          <w:tcPr>
            <w:tcW w:w="2127" w:type="dxa"/>
            <w:shd w:val="clear" w:color="auto" w:fill="auto"/>
          </w:tcPr>
          <w:p w14:paraId="0EF78CE3"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49E48B19"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5FB9257B"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269651DA" w14:textId="77777777" w:rsidTr="00401058">
        <w:tc>
          <w:tcPr>
            <w:tcW w:w="2127" w:type="dxa"/>
            <w:shd w:val="clear" w:color="auto" w:fill="auto"/>
          </w:tcPr>
          <w:p w14:paraId="11AE6F62" w14:textId="77777777" w:rsidR="00101652" w:rsidRPr="001649B9" w:rsidRDefault="00101652" w:rsidP="00401058">
            <w:pPr>
              <w:keepNext/>
              <w:keepLines/>
              <w:tabs>
                <w:tab w:val="left" w:pos="288"/>
                <w:tab w:val="left" w:pos="576"/>
                <w:tab w:val="left" w:pos="864"/>
                <w:tab w:val="left" w:pos="1152"/>
              </w:tabs>
              <w:spacing w:before="40" w:after="40" w:line="210" w:lineRule="atLeast"/>
              <w:ind w:right="142"/>
              <w:rPr>
                <w:i/>
                <w:iCs/>
                <w:lang w:val="fr-FR"/>
              </w:rPr>
            </w:pPr>
            <w:r>
              <w:rPr>
                <w:i/>
                <w:iCs/>
                <w:lang w:val="fr-FR"/>
              </w:rPr>
              <w:t>Article 10</w:t>
            </w:r>
            <w:r>
              <w:rPr>
                <w:lang w:val="fr-FR"/>
              </w:rPr>
              <w:t xml:space="preserve"> </w:t>
            </w:r>
            <w:r w:rsidR="00D0179C">
              <w:rPr>
                <w:lang w:val="fr-FR"/>
              </w:rPr>
              <w:br/>
            </w:r>
            <w:r>
              <w:rPr>
                <w:i/>
                <w:iCs/>
                <w:lang w:val="fr-FR"/>
              </w:rPr>
              <w:t>Facteurs pertinents pour déterminer la fiabilité</w:t>
            </w:r>
          </w:p>
          <w:p w14:paraId="6BF3C7E8" w14:textId="77777777" w:rsidR="00101652" w:rsidRPr="001649B9" w:rsidRDefault="00101652" w:rsidP="00401058">
            <w:pPr>
              <w:keepNext/>
              <w:keepLines/>
              <w:tabs>
                <w:tab w:val="left" w:pos="288"/>
                <w:tab w:val="left" w:pos="576"/>
                <w:tab w:val="left" w:pos="864"/>
                <w:tab w:val="left" w:pos="1152"/>
              </w:tabs>
              <w:spacing w:before="40" w:after="40" w:line="210" w:lineRule="atLeast"/>
              <w:ind w:right="142"/>
              <w:rPr>
                <w:i/>
                <w:iCs/>
                <w:lang w:val="fr-FR"/>
              </w:rPr>
            </w:pPr>
            <w:r>
              <w:rPr>
                <w:lang w:val="fr-FR"/>
              </w:rPr>
              <w:t>Note</w:t>
            </w:r>
            <w:r w:rsidR="00D0179C">
              <w:rPr>
                <w:lang w:val="fr-FR"/>
              </w:rPr>
              <w:t> </w:t>
            </w:r>
            <w:r>
              <w:rPr>
                <w:lang w:val="fr-FR"/>
              </w:rPr>
              <w:t xml:space="preserve">: L’article 23 </w:t>
            </w:r>
            <w:r w:rsidR="00D0179C">
              <w:rPr>
                <w:lang w:val="fr-FR"/>
              </w:rPr>
              <w:br/>
            </w:r>
            <w:r>
              <w:rPr>
                <w:lang w:val="fr-FR"/>
              </w:rPr>
              <w:t>est la disposition correspondante pour les services de confiance</w:t>
            </w:r>
          </w:p>
        </w:tc>
        <w:tc>
          <w:tcPr>
            <w:tcW w:w="5953" w:type="dxa"/>
            <w:shd w:val="clear" w:color="auto" w:fill="auto"/>
          </w:tcPr>
          <w:p w14:paraId="02491029" w14:textId="77777777" w:rsidR="00101652" w:rsidRPr="001649B9" w:rsidRDefault="00101652" w:rsidP="00401058">
            <w:pPr>
              <w:keepNext/>
              <w:keepLines/>
              <w:tabs>
                <w:tab w:val="left" w:pos="288"/>
                <w:tab w:val="left" w:pos="576"/>
                <w:tab w:val="left" w:pos="864"/>
                <w:tab w:val="left" w:pos="1152"/>
              </w:tabs>
              <w:spacing w:before="40" w:after="40" w:line="210" w:lineRule="atLeast"/>
              <w:ind w:right="142"/>
              <w:rPr>
                <w:lang w:val="fr-FR"/>
              </w:rPr>
            </w:pPr>
            <w:r>
              <w:rPr>
                <w:lang w:val="fr-FR"/>
              </w:rPr>
              <w:t>1. L’article 10-1</w:t>
            </w:r>
            <w:r w:rsidR="00D0179C">
              <w:rPr>
                <w:lang w:val="fr-FR"/>
              </w:rPr>
              <w:t> </w:t>
            </w:r>
            <w:r>
              <w:rPr>
                <w:lang w:val="fr-FR"/>
              </w:rPr>
              <w:t>d) vise à prendre en compte les systèmes de gestion de l’identité régis par des règles contractuelles comme les cadres de confiance. Il ne s’applique qu’aux parties à ces accords contractuels. La disposition remplit-elle adéquatement l’objectif visé ? Ou faut-il apporter des précisions supplémentaires (soit dans la disposition même, soit dans un document explicatif) ?</w:t>
            </w:r>
          </w:p>
          <w:p w14:paraId="47FDB88E" w14:textId="77777777" w:rsidR="00101652" w:rsidRPr="00D12014" w:rsidRDefault="00101652" w:rsidP="00401058">
            <w:pPr>
              <w:keepNext/>
              <w:keepLines/>
              <w:tabs>
                <w:tab w:val="left" w:pos="288"/>
                <w:tab w:val="left" w:pos="576"/>
                <w:tab w:val="left" w:pos="864"/>
                <w:tab w:val="left" w:pos="1152"/>
              </w:tabs>
              <w:spacing w:before="40" w:after="40" w:line="210" w:lineRule="atLeast"/>
              <w:ind w:right="142"/>
              <w:rPr>
                <w:lang w:val="fr-FR"/>
              </w:rPr>
            </w:pPr>
            <w:r>
              <w:rPr>
                <w:lang w:val="fr-FR"/>
              </w:rPr>
              <w:t xml:space="preserve">2. Le titre de l’article 10 en reflète-t-il correctement le contenu ? Si ce n’est pas le cas, faudrait-il le remplacer par </w:t>
            </w:r>
            <w:r w:rsidR="00767F7A">
              <w:rPr>
                <w:lang w:val="fr-FR"/>
              </w:rPr>
              <w:t>« </w:t>
            </w:r>
            <w:r>
              <w:rPr>
                <w:lang w:val="fr-FR"/>
              </w:rPr>
              <w:t>Exigences pour déterminer la fiabilité</w:t>
            </w:r>
            <w:r w:rsidR="00767F7A">
              <w:rPr>
                <w:lang w:val="fr-FR"/>
              </w:rPr>
              <w:t> »</w:t>
            </w:r>
            <w:r>
              <w:rPr>
                <w:lang w:val="fr-FR"/>
              </w:rPr>
              <w:t> ? Les titres des articles</w:t>
            </w:r>
            <w:r w:rsidR="00D0179C">
              <w:rPr>
                <w:lang w:val="fr-FR"/>
              </w:rPr>
              <w:t> </w:t>
            </w:r>
            <w:r>
              <w:rPr>
                <w:lang w:val="fr-FR"/>
              </w:rPr>
              <w:t>10 et 23 devraient-ils être harmonisés ?</w:t>
            </w:r>
          </w:p>
        </w:tc>
        <w:tc>
          <w:tcPr>
            <w:tcW w:w="6212" w:type="dxa"/>
            <w:shd w:val="clear" w:color="auto" w:fill="auto"/>
          </w:tcPr>
          <w:p w14:paraId="6B9DFA40" w14:textId="77777777" w:rsidR="00101652" w:rsidRDefault="00101652" w:rsidP="00401058">
            <w:pPr>
              <w:keepNext/>
              <w:keepLines/>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462AD0FC" w14:textId="77777777" w:rsidTr="00401058">
        <w:trPr>
          <w:trHeight w:hRule="exact" w:val="113"/>
        </w:trPr>
        <w:tc>
          <w:tcPr>
            <w:tcW w:w="2127" w:type="dxa"/>
            <w:shd w:val="clear" w:color="auto" w:fill="auto"/>
          </w:tcPr>
          <w:p w14:paraId="6FCEE18C"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6EAFB164"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65353B24"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548A45AB" w14:textId="77777777" w:rsidTr="00401058">
        <w:tc>
          <w:tcPr>
            <w:tcW w:w="2127" w:type="dxa"/>
            <w:shd w:val="clear" w:color="auto" w:fill="auto"/>
          </w:tcPr>
          <w:p w14:paraId="73A02584"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11</w:t>
            </w:r>
            <w:r>
              <w:rPr>
                <w:lang w:val="fr-FR"/>
              </w:rPr>
              <w:t xml:space="preserve"> </w:t>
            </w:r>
            <w:r w:rsidR="00D0179C">
              <w:rPr>
                <w:lang w:val="fr-FR"/>
              </w:rPr>
              <w:br/>
            </w:r>
            <w:r>
              <w:rPr>
                <w:i/>
                <w:iCs/>
                <w:lang w:val="fr-FR"/>
              </w:rPr>
              <w:t xml:space="preserve">Désignation des systèmes de gestion </w:t>
            </w:r>
            <w:r w:rsidR="00D0179C">
              <w:rPr>
                <w:i/>
                <w:iCs/>
                <w:lang w:val="fr-FR"/>
              </w:rPr>
              <w:br/>
            </w:r>
            <w:r>
              <w:rPr>
                <w:i/>
                <w:iCs/>
                <w:lang w:val="fr-FR"/>
              </w:rPr>
              <w:t>de l’identité fiables</w:t>
            </w:r>
          </w:p>
          <w:p w14:paraId="61CC2E37"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lang w:val="fr-FR"/>
              </w:rPr>
              <w:t>Note</w:t>
            </w:r>
            <w:r w:rsidR="00D0179C">
              <w:rPr>
                <w:lang w:val="fr-FR"/>
              </w:rPr>
              <w:t> </w:t>
            </w:r>
            <w:r>
              <w:rPr>
                <w:lang w:val="fr-FR"/>
              </w:rPr>
              <w:t>: L’article 11 suit le modèle de l’article</w:t>
            </w:r>
            <w:r w:rsidR="00D0179C">
              <w:rPr>
                <w:lang w:val="fr-FR"/>
              </w:rPr>
              <w:t> </w:t>
            </w:r>
            <w:r>
              <w:rPr>
                <w:lang w:val="fr-FR"/>
              </w:rPr>
              <w:t>24.</w:t>
            </w:r>
          </w:p>
        </w:tc>
        <w:tc>
          <w:tcPr>
            <w:tcW w:w="5953" w:type="dxa"/>
            <w:shd w:val="clear" w:color="auto" w:fill="auto"/>
          </w:tcPr>
          <w:p w14:paraId="7115D828" w14:textId="0B8BA334" w:rsidR="00101652" w:rsidRDefault="00E04751" w:rsidP="00401058">
            <w:pPr>
              <w:tabs>
                <w:tab w:val="left" w:pos="288"/>
                <w:tab w:val="left" w:pos="576"/>
                <w:tab w:val="left" w:pos="864"/>
                <w:tab w:val="left" w:pos="1152"/>
              </w:tabs>
              <w:spacing w:before="40" w:after="40" w:line="210" w:lineRule="atLeast"/>
              <w:ind w:right="142"/>
            </w:pPr>
            <w:r>
              <w:rPr>
                <w:lang w:val="fr-FR"/>
              </w:rPr>
              <w:t>–</w:t>
            </w:r>
          </w:p>
        </w:tc>
        <w:tc>
          <w:tcPr>
            <w:tcW w:w="6212" w:type="dxa"/>
            <w:shd w:val="clear" w:color="auto" w:fill="auto"/>
          </w:tcPr>
          <w:p w14:paraId="6E12711D"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10C4A746" w14:textId="77777777" w:rsidTr="00401058">
        <w:trPr>
          <w:trHeight w:hRule="exact" w:val="113"/>
        </w:trPr>
        <w:tc>
          <w:tcPr>
            <w:tcW w:w="2127" w:type="dxa"/>
            <w:shd w:val="clear" w:color="auto" w:fill="auto"/>
          </w:tcPr>
          <w:p w14:paraId="579F8CC2"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1EE7CDF0"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3DD43366"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718F4CDA" w14:textId="77777777" w:rsidTr="00401058">
        <w:tc>
          <w:tcPr>
            <w:tcW w:w="2127" w:type="dxa"/>
            <w:shd w:val="clear" w:color="auto" w:fill="auto"/>
          </w:tcPr>
          <w:p w14:paraId="6351EC63"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12</w:t>
            </w:r>
            <w:r>
              <w:rPr>
                <w:lang w:val="fr-FR"/>
              </w:rPr>
              <w:t xml:space="preserve"> </w:t>
            </w:r>
            <w:r w:rsidR="00D0179C">
              <w:rPr>
                <w:lang w:val="fr-FR"/>
              </w:rPr>
              <w:br/>
            </w:r>
            <w:r>
              <w:rPr>
                <w:i/>
                <w:iCs/>
                <w:lang w:val="fr-FR"/>
              </w:rPr>
              <w:t xml:space="preserve">Responsabilité des prestataires de </w:t>
            </w:r>
            <w:r>
              <w:rPr>
                <w:i/>
                <w:iCs/>
                <w:lang w:val="fr-FR"/>
              </w:rPr>
              <w:lastRenderedPageBreak/>
              <w:t>services de gestion de l’identité</w:t>
            </w:r>
          </w:p>
          <w:p w14:paraId="58E68880"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lang w:val="fr-FR"/>
              </w:rPr>
              <w:t>Note</w:t>
            </w:r>
            <w:r w:rsidR="00D0179C">
              <w:rPr>
                <w:lang w:val="fr-FR"/>
              </w:rPr>
              <w:t> </w:t>
            </w:r>
            <w:r>
              <w:rPr>
                <w:lang w:val="fr-FR"/>
              </w:rPr>
              <w:t>: L’article 12 suit le modèle de l’article</w:t>
            </w:r>
            <w:r w:rsidR="00D0179C">
              <w:rPr>
                <w:lang w:val="fr-FR"/>
              </w:rPr>
              <w:t> </w:t>
            </w:r>
            <w:r>
              <w:rPr>
                <w:lang w:val="fr-FR"/>
              </w:rPr>
              <w:t>25.</w:t>
            </w:r>
          </w:p>
        </w:tc>
        <w:tc>
          <w:tcPr>
            <w:tcW w:w="5953" w:type="dxa"/>
            <w:shd w:val="clear" w:color="auto" w:fill="auto"/>
          </w:tcPr>
          <w:p w14:paraId="1F0F7DFA"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lastRenderedPageBreak/>
              <w:t>1. Quelle est l’option la plus appropriée pour l’article</w:t>
            </w:r>
            <w:r w:rsidR="00D0179C">
              <w:rPr>
                <w:lang w:val="fr-FR"/>
              </w:rPr>
              <w:t> </w:t>
            </w:r>
            <w:r>
              <w:rPr>
                <w:lang w:val="fr-FR"/>
              </w:rPr>
              <w:t>12 (voir A/CN.9/WG.IV/WP.162, note de bas de page</w:t>
            </w:r>
            <w:r w:rsidR="00D0179C">
              <w:rPr>
                <w:lang w:val="fr-FR"/>
              </w:rPr>
              <w:t> </w:t>
            </w:r>
            <w:r>
              <w:rPr>
                <w:lang w:val="fr-FR"/>
              </w:rPr>
              <w:t xml:space="preserve">35) ? </w:t>
            </w:r>
          </w:p>
          <w:p w14:paraId="3060B3BE"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lastRenderedPageBreak/>
              <w:t>2. Si l’option A est préférée, est-il même nécessaire d’inclure une telle disposition sur la responsabilité (voir A/CN.9/WG.IV/WP.162, note de bas de page 36) ?</w:t>
            </w:r>
          </w:p>
          <w:p w14:paraId="08DC4449"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3. Si l’option B ou l’option C est préférée, est-il nécessaire d’inclure une clause d’exonération de responsabilité couvrant les prestataires publics de services de gestion de l’identité ?</w:t>
            </w:r>
          </w:p>
          <w:p w14:paraId="46DB23E2" w14:textId="495F30D4" w:rsidR="00101652" w:rsidRPr="00D12014" w:rsidRDefault="00101652" w:rsidP="00401058">
            <w:pPr>
              <w:tabs>
                <w:tab w:val="left" w:pos="288"/>
                <w:tab w:val="left" w:pos="576"/>
                <w:tab w:val="left" w:pos="864"/>
                <w:tab w:val="left" w:pos="1152"/>
              </w:tabs>
              <w:spacing w:before="40" w:after="40" w:line="210" w:lineRule="atLeast"/>
              <w:ind w:right="142"/>
              <w:rPr>
                <w:lang w:val="fr-FR"/>
              </w:rPr>
            </w:pPr>
            <w:r>
              <w:rPr>
                <w:lang w:val="fr-FR"/>
              </w:rPr>
              <w:t>4. Si l’option B ou l’option C est préférée, est-il souhaitable de traiter différemment la responsabilité d’un prestataire de services de gestion de l’identité découlant de l’utilisation d’un système de gestion de l’identité conçu conformément à l’article</w:t>
            </w:r>
            <w:r w:rsidR="00D0179C">
              <w:rPr>
                <w:lang w:val="fr-FR"/>
              </w:rPr>
              <w:t> </w:t>
            </w:r>
            <w:r>
              <w:rPr>
                <w:lang w:val="fr-FR"/>
              </w:rPr>
              <w:t>11 ? Le cas échéant, selon quelles modalités ?</w:t>
            </w:r>
          </w:p>
        </w:tc>
        <w:tc>
          <w:tcPr>
            <w:tcW w:w="6212" w:type="dxa"/>
            <w:shd w:val="clear" w:color="auto" w:fill="auto"/>
          </w:tcPr>
          <w:p w14:paraId="5FFC6A85"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lastRenderedPageBreak/>
              <w:t>[</w:t>
            </w:r>
            <w:r w:rsidRPr="00D0179C">
              <w:rPr>
                <w:i/>
                <w:iCs/>
                <w:lang w:val="fr-FR"/>
              </w:rPr>
              <w:t>insérer</w:t>
            </w:r>
            <w:r>
              <w:rPr>
                <w:lang w:val="fr-FR"/>
              </w:rPr>
              <w:t>]</w:t>
            </w:r>
          </w:p>
        </w:tc>
      </w:tr>
      <w:tr w:rsidR="00101652" w:rsidRPr="00101652" w14:paraId="61510E6B" w14:textId="77777777" w:rsidTr="00401058">
        <w:trPr>
          <w:trHeight w:hRule="exact" w:val="113"/>
        </w:trPr>
        <w:tc>
          <w:tcPr>
            <w:tcW w:w="2127" w:type="dxa"/>
            <w:shd w:val="clear" w:color="auto" w:fill="auto"/>
          </w:tcPr>
          <w:p w14:paraId="21842D8D"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66D4327E"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75A1F56B"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B6198C" w:rsidRPr="00BF3867" w14:paraId="72095A51" w14:textId="77777777" w:rsidTr="00A21512">
        <w:tc>
          <w:tcPr>
            <w:tcW w:w="14292" w:type="dxa"/>
            <w:gridSpan w:val="3"/>
            <w:shd w:val="clear" w:color="auto" w:fill="auto"/>
          </w:tcPr>
          <w:p w14:paraId="7DA30525" w14:textId="77777777" w:rsidR="00B6198C" w:rsidRPr="00A664F4" w:rsidRDefault="00B6198C" w:rsidP="00401058">
            <w:pPr>
              <w:keepNext/>
              <w:keepLines/>
              <w:tabs>
                <w:tab w:val="left" w:pos="288"/>
                <w:tab w:val="left" w:pos="576"/>
                <w:tab w:val="left" w:pos="864"/>
                <w:tab w:val="left" w:pos="1152"/>
              </w:tabs>
              <w:spacing w:before="40" w:after="40" w:line="210" w:lineRule="exact"/>
              <w:ind w:right="142"/>
              <w:rPr>
                <w:sz w:val="17"/>
                <w:lang w:val="fr-FR"/>
              </w:rPr>
            </w:pPr>
            <w:r>
              <w:rPr>
                <w:b/>
                <w:bCs/>
                <w:lang w:val="fr-FR"/>
              </w:rPr>
              <w:t>Chapitre III.</w:t>
            </w:r>
            <w:r>
              <w:rPr>
                <w:lang w:val="fr-FR"/>
              </w:rPr>
              <w:t xml:space="preserve"> </w:t>
            </w:r>
            <w:r>
              <w:rPr>
                <w:b/>
                <w:bCs/>
                <w:lang w:val="fr-FR"/>
              </w:rPr>
              <w:t>Services de confiance</w:t>
            </w:r>
          </w:p>
        </w:tc>
      </w:tr>
      <w:tr w:rsidR="00101652" w:rsidRPr="00BF3867" w14:paraId="7E2E89B9" w14:textId="77777777" w:rsidTr="00401058">
        <w:trPr>
          <w:trHeight w:hRule="exact" w:val="113"/>
        </w:trPr>
        <w:tc>
          <w:tcPr>
            <w:tcW w:w="2127" w:type="dxa"/>
            <w:shd w:val="clear" w:color="auto" w:fill="auto"/>
          </w:tcPr>
          <w:p w14:paraId="6BDADB9F" w14:textId="77777777" w:rsidR="00101652" w:rsidRPr="00A664F4" w:rsidRDefault="00101652" w:rsidP="00401058">
            <w:pPr>
              <w:keepNext/>
              <w:keepLines/>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462848E4" w14:textId="77777777" w:rsidR="00101652" w:rsidRPr="00A664F4" w:rsidRDefault="00101652" w:rsidP="00401058">
            <w:pPr>
              <w:keepNext/>
              <w:keepLines/>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12811C7C" w14:textId="77777777" w:rsidR="00101652" w:rsidRPr="00A664F4" w:rsidRDefault="00101652" w:rsidP="00401058">
            <w:pPr>
              <w:keepNext/>
              <w:keepLines/>
              <w:tabs>
                <w:tab w:val="left" w:pos="288"/>
                <w:tab w:val="left" w:pos="576"/>
                <w:tab w:val="left" w:pos="864"/>
                <w:tab w:val="left" w:pos="1152"/>
              </w:tabs>
              <w:spacing w:before="40" w:after="40" w:line="210" w:lineRule="exact"/>
              <w:ind w:right="142"/>
              <w:rPr>
                <w:sz w:val="17"/>
                <w:lang w:val="fr-FR"/>
              </w:rPr>
            </w:pPr>
          </w:p>
        </w:tc>
      </w:tr>
      <w:tr w:rsidR="00101652" w:rsidRPr="00101652" w14:paraId="7AF7D969" w14:textId="77777777" w:rsidTr="00401058">
        <w:tc>
          <w:tcPr>
            <w:tcW w:w="2127" w:type="dxa"/>
            <w:shd w:val="clear" w:color="auto" w:fill="auto"/>
          </w:tcPr>
          <w:p w14:paraId="5A6685C0" w14:textId="77777777" w:rsidR="00101652" w:rsidRPr="001649B9" w:rsidRDefault="00101652" w:rsidP="00401058">
            <w:pPr>
              <w:keepNext/>
              <w:keepLines/>
              <w:tabs>
                <w:tab w:val="left" w:pos="288"/>
                <w:tab w:val="left" w:pos="576"/>
                <w:tab w:val="left" w:pos="864"/>
                <w:tab w:val="left" w:pos="1152"/>
              </w:tabs>
              <w:spacing w:before="40" w:after="40" w:line="210" w:lineRule="atLeast"/>
              <w:ind w:right="142"/>
              <w:rPr>
                <w:i/>
                <w:iCs/>
                <w:lang w:val="fr-FR"/>
              </w:rPr>
            </w:pPr>
            <w:r>
              <w:rPr>
                <w:i/>
                <w:iCs/>
                <w:lang w:val="fr-FR"/>
              </w:rPr>
              <w:t>Article 13</w:t>
            </w:r>
            <w:r>
              <w:rPr>
                <w:lang w:val="fr-FR"/>
              </w:rPr>
              <w:t xml:space="preserve"> </w:t>
            </w:r>
            <w:r w:rsidR="00D0179C">
              <w:rPr>
                <w:lang w:val="fr-FR"/>
              </w:rPr>
              <w:br/>
            </w:r>
            <w:r>
              <w:rPr>
                <w:i/>
                <w:iCs/>
                <w:lang w:val="fr-FR"/>
              </w:rPr>
              <w:t>Reconnaissance juridique des services de confiance</w:t>
            </w:r>
          </w:p>
        </w:tc>
        <w:tc>
          <w:tcPr>
            <w:tcW w:w="5953" w:type="dxa"/>
            <w:shd w:val="clear" w:color="auto" w:fill="auto"/>
          </w:tcPr>
          <w:p w14:paraId="2A260738" w14:textId="77777777" w:rsidR="00101652" w:rsidRPr="001649B9" w:rsidRDefault="00101652" w:rsidP="00401058">
            <w:pPr>
              <w:keepNext/>
              <w:keepLines/>
              <w:tabs>
                <w:tab w:val="left" w:pos="288"/>
                <w:tab w:val="left" w:pos="576"/>
                <w:tab w:val="left" w:pos="864"/>
                <w:tab w:val="left" w:pos="1152"/>
              </w:tabs>
              <w:spacing w:before="40" w:after="40" w:line="210" w:lineRule="atLeast"/>
              <w:ind w:right="142"/>
              <w:rPr>
                <w:lang w:val="fr-FR"/>
              </w:rPr>
            </w:pPr>
            <w:r>
              <w:rPr>
                <w:lang w:val="fr-FR"/>
              </w:rPr>
              <w:t>1. Le premier libellé placé entre crochets dans le chapeau est</w:t>
            </w:r>
            <w:r w:rsidR="00D0179C">
              <w:rPr>
                <w:lang w:val="fr-FR"/>
              </w:rPr>
              <w:noBreakHyphen/>
            </w:r>
            <w:r>
              <w:rPr>
                <w:lang w:val="fr-FR"/>
              </w:rPr>
              <w:t>il acceptable (voir A/CN.9/WG.IV/WP.162, note de bas de page</w:t>
            </w:r>
            <w:r w:rsidR="00D0179C">
              <w:rPr>
                <w:lang w:val="fr-FR"/>
              </w:rPr>
              <w:t> </w:t>
            </w:r>
            <w:r>
              <w:rPr>
                <w:lang w:val="fr-FR"/>
              </w:rPr>
              <w:t>40) ? L’objectif de la disposition serait-il mieux exprimé s’il était plutôt fait état des résultats de l’utilisation d’un service de confiance ?</w:t>
            </w:r>
          </w:p>
        </w:tc>
        <w:tc>
          <w:tcPr>
            <w:tcW w:w="6212" w:type="dxa"/>
            <w:shd w:val="clear" w:color="auto" w:fill="auto"/>
          </w:tcPr>
          <w:p w14:paraId="0FEFBB79" w14:textId="77777777" w:rsidR="00101652" w:rsidRDefault="00101652" w:rsidP="00401058">
            <w:pPr>
              <w:keepNext/>
              <w:keepLines/>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7E7CB96A" w14:textId="77777777" w:rsidTr="00401058">
        <w:trPr>
          <w:trHeight w:hRule="exact" w:val="113"/>
        </w:trPr>
        <w:tc>
          <w:tcPr>
            <w:tcW w:w="2127" w:type="dxa"/>
            <w:shd w:val="clear" w:color="auto" w:fill="auto"/>
          </w:tcPr>
          <w:p w14:paraId="115C83CA"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25388C90"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0575424A"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1F4725D7" w14:textId="77777777" w:rsidTr="00401058">
        <w:tc>
          <w:tcPr>
            <w:tcW w:w="2127" w:type="dxa"/>
            <w:shd w:val="clear" w:color="auto" w:fill="auto"/>
          </w:tcPr>
          <w:p w14:paraId="11E221FA"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14</w:t>
            </w:r>
            <w:r>
              <w:rPr>
                <w:lang w:val="fr-FR"/>
              </w:rPr>
              <w:t xml:space="preserve"> </w:t>
            </w:r>
            <w:r w:rsidR="00D0179C">
              <w:rPr>
                <w:lang w:val="fr-FR"/>
              </w:rPr>
              <w:br/>
            </w:r>
            <w:r>
              <w:rPr>
                <w:i/>
                <w:iCs/>
                <w:lang w:val="fr-FR"/>
              </w:rPr>
              <w:t>Obligations incombant aux prestataires de services de confiance</w:t>
            </w:r>
          </w:p>
        </w:tc>
        <w:tc>
          <w:tcPr>
            <w:tcW w:w="5953" w:type="dxa"/>
            <w:shd w:val="clear" w:color="auto" w:fill="auto"/>
          </w:tcPr>
          <w:p w14:paraId="2B3E4113" w14:textId="0700CBA0"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1. L’obligation prévue à l’article 14-1 b) devrait-elle être formulée sur le modèle de l’article</w:t>
            </w:r>
            <w:r w:rsidR="00D0179C">
              <w:rPr>
                <w:lang w:val="fr-FR"/>
              </w:rPr>
              <w:t> </w:t>
            </w:r>
            <w:r>
              <w:rPr>
                <w:lang w:val="fr-FR"/>
              </w:rPr>
              <w:t>6</w:t>
            </w:r>
            <w:r w:rsidR="00D0179C">
              <w:rPr>
                <w:lang w:val="fr-FR"/>
              </w:rPr>
              <w:t> </w:t>
            </w:r>
            <w:r>
              <w:rPr>
                <w:lang w:val="fr-FR"/>
              </w:rPr>
              <w:t>f) (voir A/CN.9/WG.IV/WP.162, note de bas de page</w:t>
            </w:r>
            <w:r w:rsidR="00D0179C">
              <w:rPr>
                <w:lang w:val="fr-FR"/>
              </w:rPr>
              <w:t> </w:t>
            </w:r>
            <w:r>
              <w:rPr>
                <w:lang w:val="fr-FR"/>
              </w:rPr>
              <w:t>42) ?</w:t>
            </w:r>
          </w:p>
          <w:p w14:paraId="0E5333CC"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2. (Voir question à l’article 7.)</w:t>
            </w:r>
          </w:p>
        </w:tc>
        <w:tc>
          <w:tcPr>
            <w:tcW w:w="6212" w:type="dxa"/>
            <w:shd w:val="clear" w:color="auto" w:fill="auto"/>
          </w:tcPr>
          <w:p w14:paraId="28F6CDF0"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433A3830" w14:textId="77777777" w:rsidTr="00401058">
        <w:trPr>
          <w:trHeight w:hRule="exact" w:val="113"/>
        </w:trPr>
        <w:tc>
          <w:tcPr>
            <w:tcW w:w="2127" w:type="dxa"/>
            <w:shd w:val="clear" w:color="auto" w:fill="auto"/>
          </w:tcPr>
          <w:p w14:paraId="07835EAF"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55D40E2E"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4330D3CD"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5E7FAA8C" w14:textId="77777777" w:rsidTr="00401058">
        <w:tc>
          <w:tcPr>
            <w:tcW w:w="2127" w:type="dxa"/>
            <w:shd w:val="clear" w:color="auto" w:fill="auto"/>
          </w:tcPr>
          <w:p w14:paraId="2B8A65AD"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15</w:t>
            </w:r>
            <w:r>
              <w:rPr>
                <w:lang w:val="fr-FR"/>
              </w:rPr>
              <w:t xml:space="preserve"> </w:t>
            </w:r>
            <w:r w:rsidR="00D0179C">
              <w:rPr>
                <w:lang w:val="fr-FR"/>
              </w:rPr>
              <w:br/>
            </w:r>
            <w:r>
              <w:rPr>
                <w:i/>
                <w:iCs/>
                <w:lang w:val="fr-FR"/>
              </w:rPr>
              <w:t>Obligations incombant aux abonnés</w:t>
            </w:r>
          </w:p>
        </w:tc>
        <w:tc>
          <w:tcPr>
            <w:tcW w:w="5953" w:type="dxa"/>
            <w:shd w:val="clear" w:color="auto" w:fill="auto"/>
          </w:tcPr>
          <w:p w14:paraId="776B6853"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 xml:space="preserve">1. Du fait de la modification de la définition du terme </w:t>
            </w:r>
            <w:r w:rsidR="00767F7A">
              <w:rPr>
                <w:lang w:val="fr-FR"/>
              </w:rPr>
              <w:t>« </w:t>
            </w:r>
            <w:r>
              <w:rPr>
                <w:lang w:val="fr-FR"/>
              </w:rPr>
              <w:t>utilisateur</w:t>
            </w:r>
            <w:r w:rsidR="00767F7A">
              <w:rPr>
                <w:lang w:val="fr-FR"/>
              </w:rPr>
              <w:t> »</w:t>
            </w:r>
            <w:r>
              <w:rPr>
                <w:lang w:val="fr-FR"/>
              </w:rPr>
              <w:t xml:space="preserve">, qui fait désormais référence au terme </w:t>
            </w:r>
            <w:r w:rsidR="00767F7A">
              <w:rPr>
                <w:lang w:val="fr-FR"/>
              </w:rPr>
              <w:t>« </w:t>
            </w:r>
            <w:r>
              <w:rPr>
                <w:lang w:val="fr-FR"/>
              </w:rPr>
              <w:t>abonné</w:t>
            </w:r>
            <w:r w:rsidR="00767F7A">
              <w:rPr>
                <w:lang w:val="fr-FR"/>
              </w:rPr>
              <w:t> »</w:t>
            </w:r>
            <w:r>
              <w:rPr>
                <w:lang w:val="fr-FR"/>
              </w:rPr>
              <w:t xml:space="preserve"> (voir note de bas de page 15), le projet de dispositions ne contient plus aucune référence aux tiers qui se fient à un service. Ces derniers ont-ils des droits et des obligations qui devraient apparaître dans le projet de dispositions (par exemple, en ce qui concerne la notification d’atteintes dont ils ont connaissance) ? </w:t>
            </w:r>
          </w:p>
        </w:tc>
        <w:tc>
          <w:tcPr>
            <w:tcW w:w="6212" w:type="dxa"/>
            <w:shd w:val="clear" w:color="auto" w:fill="auto"/>
          </w:tcPr>
          <w:p w14:paraId="6E8E271E"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0F500058" w14:textId="77777777" w:rsidTr="00401058">
        <w:trPr>
          <w:trHeight w:hRule="exact" w:val="113"/>
        </w:trPr>
        <w:tc>
          <w:tcPr>
            <w:tcW w:w="2127" w:type="dxa"/>
            <w:shd w:val="clear" w:color="auto" w:fill="auto"/>
          </w:tcPr>
          <w:p w14:paraId="62BEB86A"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49B5A881"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590E2937"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3A21BE7D" w14:textId="77777777" w:rsidTr="00401058">
        <w:tc>
          <w:tcPr>
            <w:tcW w:w="2127" w:type="dxa"/>
            <w:shd w:val="clear" w:color="auto" w:fill="auto"/>
          </w:tcPr>
          <w:p w14:paraId="0B29EFE3" w14:textId="77777777" w:rsidR="00101652" w:rsidRDefault="00101652" w:rsidP="00401058">
            <w:pPr>
              <w:tabs>
                <w:tab w:val="left" w:pos="288"/>
                <w:tab w:val="left" w:pos="576"/>
                <w:tab w:val="left" w:pos="864"/>
                <w:tab w:val="left" w:pos="1152"/>
              </w:tabs>
              <w:spacing w:before="40" w:after="40" w:line="210" w:lineRule="atLeast"/>
              <w:ind w:right="142"/>
              <w:rPr>
                <w:i/>
                <w:iCs/>
              </w:rPr>
            </w:pPr>
            <w:r>
              <w:rPr>
                <w:i/>
                <w:iCs/>
                <w:lang w:val="fr-FR"/>
              </w:rPr>
              <w:t>Article 16</w:t>
            </w:r>
            <w:r>
              <w:rPr>
                <w:lang w:val="fr-FR"/>
              </w:rPr>
              <w:t xml:space="preserve"> </w:t>
            </w:r>
            <w:r w:rsidR="00D0179C">
              <w:rPr>
                <w:lang w:val="fr-FR"/>
              </w:rPr>
              <w:br/>
            </w:r>
            <w:r>
              <w:rPr>
                <w:i/>
                <w:iCs/>
                <w:lang w:val="fr-FR"/>
              </w:rPr>
              <w:t>Signatures électroniques</w:t>
            </w:r>
          </w:p>
        </w:tc>
        <w:tc>
          <w:tcPr>
            <w:tcW w:w="5953" w:type="dxa"/>
            <w:shd w:val="clear" w:color="auto" w:fill="auto"/>
          </w:tcPr>
          <w:p w14:paraId="62E4889E"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1. La norme de fiabilité de la méthode visée à l’article</w:t>
            </w:r>
            <w:r w:rsidR="00D0179C">
              <w:rPr>
                <w:lang w:val="fr-FR"/>
              </w:rPr>
              <w:t> </w:t>
            </w:r>
            <w:r>
              <w:rPr>
                <w:lang w:val="fr-FR"/>
              </w:rPr>
              <w:t xml:space="preserve">16 devrait-elle être qualifiée de </w:t>
            </w:r>
            <w:r w:rsidR="00767F7A">
              <w:rPr>
                <w:lang w:val="fr-FR"/>
              </w:rPr>
              <w:t>« </w:t>
            </w:r>
            <w:r>
              <w:rPr>
                <w:lang w:val="fr-FR"/>
              </w:rPr>
              <w:t>suffisamment fiable</w:t>
            </w:r>
            <w:r w:rsidR="00767F7A">
              <w:rPr>
                <w:lang w:val="fr-FR"/>
              </w:rPr>
              <w:t> »</w:t>
            </w:r>
            <w:r>
              <w:rPr>
                <w:lang w:val="fr-FR"/>
              </w:rPr>
              <w:t xml:space="preserve"> pour mieux refléter les différentes normes d’identification hors ligne ?</w:t>
            </w:r>
          </w:p>
        </w:tc>
        <w:tc>
          <w:tcPr>
            <w:tcW w:w="6212" w:type="dxa"/>
            <w:shd w:val="clear" w:color="auto" w:fill="auto"/>
          </w:tcPr>
          <w:p w14:paraId="7459F53B"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5F52C579" w14:textId="77777777" w:rsidTr="00401058">
        <w:trPr>
          <w:trHeight w:hRule="exact" w:val="113"/>
        </w:trPr>
        <w:tc>
          <w:tcPr>
            <w:tcW w:w="2127" w:type="dxa"/>
            <w:shd w:val="clear" w:color="auto" w:fill="auto"/>
          </w:tcPr>
          <w:p w14:paraId="3B95842C"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71FC5FC0"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79F24BCC"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032FC4FE" w14:textId="77777777" w:rsidTr="00401058">
        <w:tc>
          <w:tcPr>
            <w:tcW w:w="2127" w:type="dxa"/>
            <w:shd w:val="clear" w:color="auto" w:fill="auto"/>
          </w:tcPr>
          <w:p w14:paraId="056E903F" w14:textId="77777777" w:rsidR="00101652" w:rsidRDefault="00101652" w:rsidP="00401058">
            <w:pPr>
              <w:tabs>
                <w:tab w:val="left" w:pos="288"/>
                <w:tab w:val="left" w:pos="576"/>
                <w:tab w:val="left" w:pos="864"/>
                <w:tab w:val="left" w:pos="1152"/>
              </w:tabs>
              <w:spacing w:before="40" w:after="40" w:line="210" w:lineRule="atLeast"/>
              <w:ind w:right="142"/>
              <w:rPr>
                <w:i/>
                <w:iCs/>
              </w:rPr>
            </w:pPr>
            <w:r>
              <w:rPr>
                <w:i/>
                <w:iCs/>
                <w:lang w:val="fr-FR"/>
              </w:rPr>
              <w:lastRenderedPageBreak/>
              <w:t>Article 17</w:t>
            </w:r>
            <w:r>
              <w:rPr>
                <w:lang w:val="fr-FR"/>
              </w:rPr>
              <w:t xml:space="preserve"> </w:t>
            </w:r>
            <w:r w:rsidR="00D0179C">
              <w:rPr>
                <w:lang w:val="fr-FR"/>
              </w:rPr>
              <w:br/>
            </w:r>
            <w:r>
              <w:rPr>
                <w:i/>
                <w:iCs/>
                <w:lang w:val="fr-FR"/>
              </w:rPr>
              <w:t>Cachets électroniques</w:t>
            </w:r>
          </w:p>
        </w:tc>
        <w:tc>
          <w:tcPr>
            <w:tcW w:w="5953" w:type="dxa"/>
            <w:shd w:val="clear" w:color="auto" w:fill="auto"/>
          </w:tcPr>
          <w:p w14:paraId="7DA079D4"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1. La norme de fiabilité de la méthode visée à l’article</w:t>
            </w:r>
            <w:r w:rsidR="00D0179C">
              <w:rPr>
                <w:lang w:val="fr-FR"/>
              </w:rPr>
              <w:t> </w:t>
            </w:r>
            <w:r>
              <w:rPr>
                <w:lang w:val="fr-FR"/>
              </w:rPr>
              <w:t xml:space="preserve">17 devrait-elle être qualifiée de </w:t>
            </w:r>
            <w:r w:rsidR="00767F7A">
              <w:rPr>
                <w:lang w:val="fr-FR"/>
              </w:rPr>
              <w:t>« </w:t>
            </w:r>
            <w:r>
              <w:rPr>
                <w:lang w:val="fr-FR"/>
              </w:rPr>
              <w:t>suffisamment fiable</w:t>
            </w:r>
            <w:r w:rsidR="00767F7A">
              <w:rPr>
                <w:lang w:val="fr-FR"/>
              </w:rPr>
              <w:t> »</w:t>
            </w:r>
            <w:r>
              <w:rPr>
                <w:lang w:val="fr-FR"/>
              </w:rPr>
              <w:t xml:space="preserve"> pour mieux refléter les différentes normes d’identification hors ligne ?</w:t>
            </w:r>
          </w:p>
        </w:tc>
        <w:tc>
          <w:tcPr>
            <w:tcW w:w="6212" w:type="dxa"/>
            <w:shd w:val="clear" w:color="auto" w:fill="auto"/>
          </w:tcPr>
          <w:p w14:paraId="106EBC05"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02591046" w14:textId="77777777" w:rsidTr="00401058">
        <w:trPr>
          <w:trHeight w:hRule="exact" w:val="113"/>
        </w:trPr>
        <w:tc>
          <w:tcPr>
            <w:tcW w:w="2127" w:type="dxa"/>
            <w:shd w:val="clear" w:color="auto" w:fill="auto"/>
          </w:tcPr>
          <w:p w14:paraId="5AA4E816" w14:textId="77777777" w:rsidR="00101652" w:rsidRDefault="00101652" w:rsidP="00401058">
            <w:pPr>
              <w:tabs>
                <w:tab w:val="left" w:pos="288"/>
                <w:tab w:val="left" w:pos="576"/>
                <w:tab w:val="left" w:pos="864"/>
                <w:tab w:val="left" w:pos="1152"/>
              </w:tabs>
              <w:spacing w:before="40" w:after="40" w:line="210" w:lineRule="atLeast"/>
              <w:ind w:right="142"/>
              <w:rPr>
                <w:i/>
                <w:iCs/>
                <w:lang w:val="fr-FR"/>
              </w:rPr>
            </w:pPr>
          </w:p>
        </w:tc>
        <w:tc>
          <w:tcPr>
            <w:tcW w:w="5953" w:type="dxa"/>
            <w:shd w:val="clear" w:color="auto" w:fill="auto"/>
          </w:tcPr>
          <w:p w14:paraId="03688D75" w14:textId="77777777" w:rsidR="00101652" w:rsidRDefault="00101652" w:rsidP="00401058">
            <w:pPr>
              <w:tabs>
                <w:tab w:val="left" w:pos="288"/>
                <w:tab w:val="left" w:pos="576"/>
                <w:tab w:val="left" w:pos="864"/>
                <w:tab w:val="left" w:pos="1152"/>
              </w:tabs>
              <w:spacing w:before="40" w:after="40" w:line="210" w:lineRule="atLeast"/>
              <w:ind w:right="142"/>
              <w:rPr>
                <w:lang w:val="fr-FR"/>
              </w:rPr>
            </w:pPr>
          </w:p>
        </w:tc>
        <w:tc>
          <w:tcPr>
            <w:tcW w:w="6212" w:type="dxa"/>
            <w:shd w:val="clear" w:color="auto" w:fill="auto"/>
          </w:tcPr>
          <w:p w14:paraId="5D07767A" w14:textId="77777777" w:rsidR="00101652" w:rsidRDefault="00101652" w:rsidP="00401058">
            <w:pPr>
              <w:tabs>
                <w:tab w:val="left" w:pos="288"/>
                <w:tab w:val="left" w:pos="576"/>
                <w:tab w:val="left" w:pos="864"/>
                <w:tab w:val="left" w:pos="1152"/>
              </w:tabs>
              <w:spacing w:before="40" w:after="40" w:line="210" w:lineRule="atLeast"/>
              <w:ind w:right="142"/>
              <w:rPr>
                <w:lang w:val="fr-FR"/>
              </w:rPr>
            </w:pPr>
          </w:p>
        </w:tc>
      </w:tr>
      <w:tr w:rsidR="00101652" w:rsidRPr="00101652" w14:paraId="603547F3" w14:textId="77777777" w:rsidTr="00401058">
        <w:tc>
          <w:tcPr>
            <w:tcW w:w="2127" w:type="dxa"/>
            <w:shd w:val="clear" w:color="auto" w:fill="auto"/>
          </w:tcPr>
          <w:p w14:paraId="2DD1FAC3" w14:textId="77777777" w:rsidR="00101652" w:rsidRDefault="00101652" w:rsidP="00401058">
            <w:pPr>
              <w:tabs>
                <w:tab w:val="left" w:pos="288"/>
                <w:tab w:val="left" w:pos="576"/>
                <w:tab w:val="left" w:pos="864"/>
                <w:tab w:val="left" w:pos="1152"/>
              </w:tabs>
              <w:spacing w:before="40" w:after="40" w:line="210" w:lineRule="atLeast"/>
              <w:ind w:right="142"/>
              <w:rPr>
                <w:i/>
                <w:iCs/>
              </w:rPr>
            </w:pPr>
            <w:r>
              <w:rPr>
                <w:i/>
                <w:iCs/>
                <w:lang w:val="fr-FR"/>
              </w:rPr>
              <w:t>Article 18</w:t>
            </w:r>
            <w:r>
              <w:rPr>
                <w:lang w:val="fr-FR"/>
              </w:rPr>
              <w:t xml:space="preserve"> </w:t>
            </w:r>
            <w:r w:rsidR="00D0179C">
              <w:rPr>
                <w:lang w:val="fr-FR"/>
              </w:rPr>
              <w:br/>
            </w:r>
            <w:r>
              <w:rPr>
                <w:i/>
                <w:iCs/>
                <w:lang w:val="fr-FR"/>
              </w:rPr>
              <w:t>Horodatages électroniques</w:t>
            </w:r>
          </w:p>
        </w:tc>
        <w:tc>
          <w:tcPr>
            <w:tcW w:w="5953" w:type="dxa"/>
            <w:shd w:val="clear" w:color="auto" w:fill="auto"/>
          </w:tcPr>
          <w:p w14:paraId="6B8DE08F" w14:textId="44906269" w:rsidR="00101652" w:rsidRDefault="00E04751" w:rsidP="00401058">
            <w:pPr>
              <w:tabs>
                <w:tab w:val="left" w:pos="288"/>
                <w:tab w:val="left" w:pos="576"/>
                <w:tab w:val="left" w:pos="864"/>
                <w:tab w:val="left" w:pos="1152"/>
              </w:tabs>
              <w:spacing w:before="40" w:after="40" w:line="210" w:lineRule="atLeast"/>
              <w:ind w:right="142"/>
            </w:pPr>
            <w:r>
              <w:rPr>
                <w:lang w:val="fr-FR"/>
              </w:rPr>
              <w:t>–</w:t>
            </w:r>
          </w:p>
        </w:tc>
        <w:tc>
          <w:tcPr>
            <w:tcW w:w="6212" w:type="dxa"/>
            <w:shd w:val="clear" w:color="auto" w:fill="auto"/>
          </w:tcPr>
          <w:p w14:paraId="3CECB700"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5B533FA1" w14:textId="77777777" w:rsidTr="00401058">
        <w:trPr>
          <w:trHeight w:hRule="exact" w:val="113"/>
        </w:trPr>
        <w:tc>
          <w:tcPr>
            <w:tcW w:w="2127" w:type="dxa"/>
            <w:shd w:val="clear" w:color="auto" w:fill="auto"/>
          </w:tcPr>
          <w:p w14:paraId="77162405"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2770BF7D"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2B6EF900"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60E56551" w14:textId="77777777" w:rsidTr="00401058">
        <w:tc>
          <w:tcPr>
            <w:tcW w:w="2127" w:type="dxa"/>
            <w:shd w:val="clear" w:color="auto" w:fill="auto"/>
          </w:tcPr>
          <w:p w14:paraId="23BCDA08" w14:textId="77777777" w:rsidR="00101652" w:rsidRDefault="00101652" w:rsidP="00401058">
            <w:pPr>
              <w:tabs>
                <w:tab w:val="left" w:pos="288"/>
                <w:tab w:val="left" w:pos="576"/>
                <w:tab w:val="left" w:pos="864"/>
                <w:tab w:val="left" w:pos="1152"/>
              </w:tabs>
              <w:spacing w:before="40" w:after="40" w:line="210" w:lineRule="atLeast"/>
              <w:ind w:right="142"/>
              <w:rPr>
                <w:i/>
                <w:iCs/>
              </w:rPr>
            </w:pPr>
            <w:r>
              <w:rPr>
                <w:i/>
                <w:iCs/>
                <w:lang w:val="fr-FR"/>
              </w:rPr>
              <w:t>Article 19</w:t>
            </w:r>
            <w:r>
              <w:rPr>
                <w:lang w:val="fr-FR"/>
              </w:rPr>
              <w:t xml:space="preserve"> </w:t>
            </w:r>
            <w:r w:rsidR="00D0179C">
              <w:rPr>
                <w:lang w:val="fr-FR"/>
              </w:rPr>
              <w:br/>
            </w:r>
            <w:r>
              <w:rPr>
                <w:i/>
                <w:iCs/>
                <w:lang w:val="fr-FR"/>
              </w:rPr>
              <w:t>Archivage électronique</w:t>
            </w:r>
          </w:p>
        </w:tc>
        <w:tc>
          <w:tcPr>
            <w:tcW w:w="5953" w:type="dxa"/>
            <w:shd w:val="clear" w:color="auto" w:fill="auto"/>
          </w:tcPr>
          <w:p w14:paraId="1F0536E1" w14:textId="721C3334" w:rsidR="00101652" w:rsidRDefault="00E04751" w:rsidP="00401058">
            <w:pPr>
              <w:tabs>
                <w:tab w:val="left" w:pos="288"/>
                <w:tab w:val="left" w:pos="576"/>
                <w:tab w:val="left" w:pos="864"/>
                <w:tab w:val="left" w:pos="1152"/>
              </w:tabs>
              <w:spacing w:before="40" w:after="40" w:line="210" w:lineRule="atLeast"/>
              <w:ind w:right="142"/>
            </w:pPr>
            <w:r>
              <w:rPr>
                <w:lang w:val="fr-FR"/>
              </w:rPr>
              <w:t>–</w:t>
            </w:r>
          </w:p>
        </w:tc>
        <w:tc>
          <w:tcPr>
            <w:tcW w:w="6212" w:type="dxa"/>
            <w:shd w:val="clear" w:color="auto" w:fill="auto"/>
          </w:tcPr>
          <w:p w14:paraId="261724A4"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D0179C">
              <w:rPr>
                <w:i/>
                <w:iCs/>
                <w:lang w:val="fr-FR"/>
              </w:rPr>
              <w:t>insérer</w:t>
            </w:r>
            <w:r>
              <w:rPr>
                <w:lang w:val="fr-FR"/>
              </w:rPr>
              <w:t>]</w:t>
            </w:r>
          </w:p>
        </w:tc>
      </w:tr>
      <w:tr w:rsidR="00101652" w:rsidRPr="00101652" w14:paraId="480988C1" w14:textId="77777777" w:rsidTr="00401058">
        <w:trPr>
          <w:trHeight w:hRule="exact" w:val="113"/>
        </w:trPr>
        <w:tc>
          <w:tcPr>
            <w:tcW w:w="2127" w:type="dxa"/>
            <w:shd w:val="clear" w:color="auto" w:fill="auto"/>
          </w:tcPr>
          <w:p w14:paraId="5B6CC80A"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77430BE2"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622BDEA7"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4D52A9E6" w14:textId="77777777" w:rsidTr="00401058">
        <w:tc>
          <w:tcPr>
            <w:tcW w:w="2127" w:type="dxa"/>
            <w:shd w:val="clear" w:color="auto" w:fill="auto"/>
          </w:tcPr>
          <w:p w14:paraId="30D03705"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20</w:t>
            </w:r>
            <w:r>
              <w:rPr>
                <w:lang w:val="fr-FR"/>
              </w:rPr>
              <w:t xml:space="preserve"> </w:t>
            </w:r>
            <w:r w:rsidR="00D0179C">
              <w:rPr>
                <w:lang w:val="fr-FR"/>
              </w:rPr>
              <w:br/>
            </w:r>
            <w:r>
              <w:rPr>
                <w:i/>
                <w:iCs/>
                <w:lang w:val="fr-FR"/>
              </w:rPr>
              <w:t>Services d’envoi recommandé électroniques</w:t>
            </w:r>
          </w:p>
        </w:tc>
        <w:tc>
          <w:tcPr>
            <w:tcW w:w="5953" w:type="dxa"/>
            <w:shd w:val="clear" w:color="auto" w:fill="auto"/>
          </w:tcPr>
          <w:p w14:paraId="3EDB8BAA" w14:textId="3EE542A8"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1. L’article 20 devrait-il préciser que les fonctions supplémentaires d’un service d’envoi électronique sont a)</w:t>
            </w:r>
            <w:r w:rsidR="006400EB">
              <w:rPr>
                <w:lang w:val="fr-FR"/>
              </w:rPr>
              <w:t> </w:t>
            </w:r>
            <w:r>
              <w:rPr>
                <w:lang w:val="fr-FR"/>
              </w:rPr>
              <w:t>d’assurer l’intégrité du message de données et b)</w:t>
            </w:r>
            <w:r w:rsidR="006400EB">
              <w:rPr>
                <w:lang w:val="fr-FR"/>
              </w:rPr>
              <w:t> </w:t>
            </w:r>
            <w:r>
              <w:rPr>
                <w:lang w:val="fr-FR"/>
              </w:rPr>
              <w:t>d’identifier l’expéditeur et/ou le destinataire (voir A/CN.9/WG.IV/WP.162, note de bas de page</w:t>
            </w:r>
            <w:r w:rsidR="00813DC2">
              <w:rPr>
                <w:lang w:val="fr-FR"/>
              </w:rPr>
              <w:t> </w:t>
            </w:r>
            <w:r>
              <w:rPr>
                <w:lang w:val="fr-FR"/>
              </w:rPr>
              <w:t>58) ?</w:t>
            </w:r>
          </w:p>
        </w:tc>
        <w:tc>
          <w:tcPr>
            <w:tcW w:w="6212" w:type="dxa"/>
            <w:shd w:val="clear" w:color="auto" w:fill="auto"/>
          </w:tcPr>
          <w:p w14:paraId="0789D23A"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6400EB">
              <w:rPr>
                <w:i/>
                <w:iCs/>
                <w:lang w:val="fr-FR"/>
              </w:rPr>
              <w:t>insérer</w:t>
            </w:r>
            <w:r>
              <w:rPr>
                <w:lang w:val="fr-FR"/>
              </w:rPr>
              <w:t>]</w:t>
            </w:r>
          </w:p>
        </w:tc>
      </w:tr>
      <w:tr w:rsidR="00101652" w:rsidRPr="00101652" w14:paraId="219DD9FD" w14:textId="77777777" w:rsidTr="00401058">
        <w:trPr>
          <w:trHeight w:hRule="exact" w:val="113"/>
        </w:trPr>
        <w:tc>
          <w:tcPr>
            <w:tcW w:w="2127" w:type="dxa"/>
            <w:shd w:val="clear" w:color="auto" w:fill="auto"/>
          </w:tcPr>
          <w:p w14:paraId="774CCA8C"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58034F93"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121097D7"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56E345E9" w14:textId="77777777" w:rsidTr="00401058">
        <w:tc>
          <w:tcPr>
            <w:tcW w:w="2127" w:type="dxa"/>
            <w:shd w:val="clear" w:color="auto" w:fill="auto"/>
          </w:tcPr>
          <w:p w14:paraId="3FC0924E"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21</w:t>
            </w:r>
            <w:r>
              <w:rPr>
                <w:lang w:val="fr-FR"/>
              </w:rPr>
              <w:t xml:space="preserve"> </w:t>
            </w:r>
            <w:r w:rsidR="006400EB">
              <w:rPr>
                <w:lang w:val="fr-FR"/>
              </w:rPr>
              <w:br/>
            </w:r>
            <w:r>
              <w:rPr>
                <w:i/>
                <w:iCs/>
                <w:lang w:val="fr-FR"/>
              </w:rPr>
              <w:t>Authentification de site Internet</w:t>
            </w:r>
          </w:p>
        </w:tc>
        <w:tc>
          <w:tcPr>
            <w:tcW w:w="5953" w:type="dxa"/>
            <w:shd w:val="clear" w:color="auto" w:fill="auto"/>
          </w:tcPr>
          <w:p w14:paraId="59B99A8B"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1. Faut-il faire référence à la présomption de fiabilité et à la preuve de fiabilité pour l’authentification des sites Internet ?</w:t>
            </w:r>
          </w:p>
        </w:tc>
        <w:tc>
          <w:tcPr>
            <w:tcW w:w="6212" w:type="dxa"/>
            <w:shd w:val="clear" w:color="auto" w:fill="auto"/>
          </w:tcPr>
          <w:p w14:paraId="406AA907"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6400EB">
              <w:rPr>
                <w:i/>
                <w:iCs/>
                <w:lang w:val="fr-FR"/>
              </w:rPr>
              <w:t>insérer</w:t>
            </w:r>
            <w:r>
              <w:rPr>
                <w:lang w:val="fr-FR"/>
              </w:rPr>
              <w:t>]</w:t>
            </w:r>
          </w:p>
        </w:tc>
      </w:tr>
      <w:tr w:rsidR="00101652" w:rsidRPr="00101652" w14:paraId="6C9BDDC4" w14:textId="77777777" w:rsidTr="00401058">
        <w:trPr>
          <w:trHeight w:hRule="exact" w:val="113"/>
        </w:trPr>
        <w:tc>
          <w:tcPr>
            <w:tcW w:w="2127" w:type="dxa"/>
            <w:shd w:val="clear" w:color="auto" w:fill="auto"/>
          </w:tcPr>
          <w:p w14:paraId="67FDE9B6"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12FBE4CE"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648565B6"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6972BFB4" w14:textId="77777777" w:rsidTr="00401058">
        <w:tc>
          <w:tcPr>
            <w:tcW w:w="2127" w:type="dxa"/>
            <w:shd w:val="clear" w:color="auto" w:fill="auto"/>
          </w:tcPr>
          <w:p w14:paraId="3297A290" w14:textId="77777777" w:rsidR="00101652" w:rsidRDefault="00101652" w:rsidP="00401058">
            <w:pPr>
              <w:tabs>
                <w:tab w:val="left" w:pos="288"/>
                <w:tab w:val="left" w:pos="576"/>
                <w:tab w:val="left" w:pos="864"/>
                <w:tab w:val="left" w:pos="1152"/>
              </w:tabs>
              <w:spacing w:before="40" w:after="40" w:line="210" w:lineRule="atLeast"/>
              <w:ind w:right="142"/>
              <w:rPr>
                <w:i/>
                <w:iCs/>
              </w:rPr>
            </w:pPr>
            <w:r>
              <w:rPr>
                <w:i/>
                <w:iCs/>
                <w:lang w:val="fr-FR"/>
              </w:rPr>
              <w:t>Article 22</w:t>
            </w:r>
            <w:r>
              <w:rPr>
                <w:lang w:val="fr-FR"/>
              </w:rPr>
              <w:t xml:space="preserve"> </w:t>
            </w:r>
            <w:r w:rsidR="006400EB">
              <w:rPr>
                <w:lang w:val="fr-FR"/>
              </w:rPr>
              <w:br/>
            </w:r>
            <w:r>
              <w:rPr>
                <w:i/>
                <w:iCs/>
                <w:lang w:val="fr-FR"/>
              </w:rPr>
              <w:t>Authentification d’objet</w:t>
            </w:r>
          </w:p>
        </w:tc>
        <w:tc>
          <w:tcPr>
            <w:tcW w:w="5953" w:type="dxa"/>
            <w:shd w:val="clear" w:color="auto" w:fill="auto"/>
          </w:tcPr>
          <w:p w14:paraId="7E44399D"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bookmarkStart w:id="2" w:name="_Hlk40362893"/>
            <w:r>
              <w:rPr>
                <w:lang w:val="fr-FR"/>
              </w:rPr>
              <w:t>1. Est-il souhaitable de traiter l’identification des objets comme un service de confiance, ou bien la disposition devrait</w:t>
            </w:r>
            <w:r w:rsidR="006400EB">
              <w:rPr>
                <w:lang w:val="fr-FR"/>
              </w:rPr>
              <w:noBreakHyphen/>
            </w:r>
            <w:r>
              <w:rPr>
                <w:lang w:val="fr-FR"/>
              </w:rPr>
              <w:t>elle se limiter à relier les objets aux personnes qui les contrôlent (</w:t>
            </w:r>
            <w:r w:rsidR="00767F7A">
              <w:rPr>
                <w:lang w:val="fr-FR"/>
              </w:rPr>
              <w:t>« </w:t>
            </w:r>
            <w:r>
              <w:rPr>
                <w:lang w:val="fr-FR"/>
              </w:rPr>
              <w:t>traçage des objets</w:t>
            </w:r>
            <w:r w:rsidR="00767F7A">
              <w:rPr>
                <w:lang w:val="fr-FR"/>
              </w:rPr>
              <w:t> »</w:t>
            </w:r>
            <w:r>
              <w:rPr>
                <w:lang w:val="fr-FR"/>
              </w:rPr>
              <w:t xml:space="preserve">) ? </w:t>
            </w:r>
            <w:bookmarkEnd w:id="2"/>
          </w:p>
        </w:tc>
        <w:tc>
          <w:tcPr>
            <w:tcW w:w="6212" w:type="dxa"/>
            <w:shd w:val="clear" w:color="auto" w:fill="auto"/>
          </w:tcPr>
          <w:p w14:paraId="1A632AEF"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6400EB">
              <w:rPr>
                <w:i/>
                <w:iCs/>
                <w:lang w:val="fr-FR"/>
              </w:rPr>
              <w:t>insérer</w:t>
            </w:r>
            <w:r>
              <w:rPr>
                <w:lang w:val="fr-FR"/>
              </w:rPr>
              <w:t>]</w:t>
            </w:r>
          </w:p>
        </w:tc>
      </w:tr>
      <w:tr w:rsidR="00101652" w:rsidRPr="00101652" w14:paraId="45AA05F6" w14:textId="77777777" w:rsidTr="00401058">
        <w:trPr>
          <w:trHeight w:hRule="exact" w:val="113"/>
        </w:trPr>
        <w:tc>
          <w:tcPr>
            <w:tcW w:w="2127" w:type="dxa"/>
            <w:shd w:val="clear" w:color="auto" w:fill="auto"/>
          </w:tcPr>
          <w:p w14:paraId="72315506"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6997B1F3"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7B92B155"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5C7C5697" w14:textId="77777777" w:rsidTr="00401058">
        <w:tc>
          <w:tcPr>
            <w:tcW w:w="2127" w:type="dxa"/>
            <w:shd w:val="clear" w:color="auto" w:fill="auto"/>
          </w:tcPr>
          <w:p w14:paraId="26B3806A"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23</w:t>
            </w:r>
            <w:r>
              <w:rPr>
                <w:lang w:val="fr-FR"/>
              </w:rPr>
              <w:t xml:space="preserve"> </w:t>
            </w:r>
            <w:r w:rsidR="006400EB">
              <w:rPr>
                <w:lang w:val="fr-FR"/>
              </w:rPr>
              <w:br/>
            </w:r>
            <w:r>
              <w:rPr>
                <w:i/>
                <w:iCs/>
                <w:lang w:val="fr-FR"/>
              </w:rPr>
              <w:t>Norme de fiabilité pour les services de confiance</w:t>
            </w:r>
          </w:p>
        </w:tc>
        <w:tc>
          <w:tcPr>
            <w:tcW w:w="5953" w:type="dxa"/>
            <w:shd w:val="clear" w:color="auto" w:fill="auto"/>
          </w:tcPr>
          <w:p w14:paraId="4F523860"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 xml:space="preserve">1. L’objet de l’article 23-1 h) est de reconnaître que les parties à une opération peuvent convenir de l’utilisation de services de confiance, et que leur convention en la matière peut être pertinente pour déterminer la fiabilité des services de confiance entre ces parties. Faut-il insérer une référence explicite à </w:t>
            </w:r>
            <w:r w:rsidR="00767F7A">
              <w:rPr>
                <w:lang w:val="fr-FR"/>
              </w:rPr>
              <w:t>« </w:t>
            </w:r>
            <w:r>
              <w:rPr>
                <w:lang w:val="fr-FR"/>
              </w:rPr>
              <w:t>entre les parties</w:t>
            </w:r>
            <w:r w:rsidR="00767F7A">
              <w:rPr>
                <w:lang w:val="fr-FR"/>
              </w:rPr>
              <w:t> »</w:t>
            </w:r>
            <w:r>
              <w:rPr>
                <w:lang w:val="fr-FR"/>
              </w:rPr>
              <w:t xml:space="preserve"> (comme c’est le cas à l’article</w:t>
            </w:r>
            <w:r w:rsidR="006400EB">
              <w:rPr>
                <w:lang w:val="fr-FR"/>
              </w:rPr>
              <w:t> </w:t>
            </w:r>
            <w:r>
              <w:rPr>
                <w:lang w:val="fr-FR"/>
              </w:rPr>
              <w:t>10 d)) ?</w:t>
            </w:r>
          </w:p>
          <w:p w14:paraId="20499ADC"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 xml:space="preserve">2. (Voir </w:t>
            </w:r>
            <w:r w:rsidR="006400EB">
              <w:rPr>
                <w:lang w:val="fr-FR"/>
              </w:rPr>
              <w:t xml:space="preserve">art. </w:t>
            </w:r>
            <w:r>
              <w:rPr>
                <w:lang w:val="fr-FR"/>
              </w:rPr>
              <w:t xml:space="preserve">10.) </w:t>
            </w:r>
          </w:p>
        </w:tc>
        <w:tc>
          <w:tcPr>
            <w:tcW w:w="6212" w:type="dxa"/>
            <w:shd w:val="clear" w:color="auto" w:fill="auto"/>
          </w:tcPr>
          <w:p w14:paraId="42C6B78C"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6400EB">
              <w:rPr>
                <w:i/>
                <w:iCs/>
                <w:lang w:val="fr-FR"/>
              </w:rPr>
              <w:t>insérer</w:t>
            </w:r>
            <w:r>
              <w:rPr>
                <w:lang w:val="fr-FR"/>
              </w:rPr>
              <w:t>]</w:t>
            </w:r>
          </w:p>
        </w:tc>
      </w:tr>
      <w:tr w:rsidR="00101652" w:rsidRPr="00101652" w14:paraId="1F8FCAC9" w14:textId="77777777" w:rsidTr="00401058">
        <w:trPr>
          <w:trHeight w:hRule="exact" w:val="113"/>
        </w:trPr>
        <w:tc>
          <w:tcPr>
            <w:tcW w:w="2127" w:type="dxa"/>
            <w:shd w:val="clear" w:color="auto" w:fill="auto"/>
          </w:tcPr>
          <w:p w14:paraId="2912CBCE" w14:textId="77777777" w:rsidR="00101652" w:rsidRDefault="00101652" w:rsidP="00401058">
            <w:pPr>
              <w:tabs>
                <w:tab w:val="left" w:pos="288"/>
                <w:tab w:val="left" w:pos="576"/>
                <w:tab w:val="left" w:pos="864"/>
                <w:tab w:val="left" w:pos="1152"/>
              </w:tabs>
              <w:spacing w:before="40" w:after="40" w:line="210" w:lineRule="atLeast"/>
              <w:ind w:right="142"/>
              <w:rPr>
                <w:i/>
                <w:iCs/>
                <w:lang w:val="fr-FR"/>
              </w:rPr>
            </w:pPr>
          </w:p>
        </w:tc>
        <w:tc>
          <w:tcPr>
            <w:tcW w:w="5953" w:type="dxa"/>
            <w:shd w:val="clear" w:color="auto" w:fill="auto"/>
          </w:tcPr>
          <w:p w14:paraId="5121555B" w14:textId="77777777" w:rsidR="00101652" w:rsidRDefault="00101652" w:rsidP="00401058">
            <w:pPr>
              <w:tabs>
                <w:tab w:val="left" w:pos="288"/>
                <w:tab w:val="left" w:pos="576"/>
                <w:tab w:val="left" w:pos="864"/>
                <w:tab w:val="left" w:pos="1152"/>
              </w:tabs>
              <w:spacing w:before="40" w:after="40" w:line="210" w:lineRule="atLeast"/>
              <w:ind w:right="142"/>
              <w:rPr>
                <w:lang w:val="fr-FR"/>
              </w:rPr>
            </w:pPr>
          </w:p>
        </w:tc>
        <w:tc>
          <w:tcPr>
            <w:tcW w:w="6212" w:type="dxa"/>
            <w:shd w:val="clear" w:color="auto" w:fill="auto"/>
          </w:tcPr>
          <w:p w14:paraId="06D474C1" w14:textId="77777777" w:rsidR="00101652" w:rsidRDefault="00101652" w:rsidP="00401058">
            <w:pPr>
              <w:tabs>
                <w:tab w:val="left" w:pos="288"/>
                <w:tab w:val="left" w:pos="576"/>
                <w:tab w:val="left" w:pos="864"/>
                <w:tab w:val="left" w:pos="1152"/>
              </w:tabs>
              <w:spacing w:before="40" w:after="40" w:line="210" w:lineRule="atLeast"/>
              <w:ind w:right="142"/>
              <w:rPr>
                <w:lang w:val="fr-FR"/>
              </w:rPr>
            </w:pPr>
          </w:p>
        </w:tc>
      </w:tr>
      <w:tr w:rsidR="00101652" w:rsidRPr="00101652" w14:paraId="1F158167" w14:textId="77777777" w:rsidTr="00401058">
        <w:tc>
          <w:tcPr>
            <w:tcW w:w="2127" w:type="dxa"/>
            <w:shd w:val="clear" w:color="auto" w:fill="auto"/>
          </w:tcPr>
          <w:p w14:paraId="6A633D1C"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24</w:t>
            </w:r>
            <w:r>
              <w:rPr>
                <w:lang w:val="fr-FR"/>
              </w:rPr>
              <w:t xml:space="preserve"> </w:t>
            </w:r>
            <w:r w:rsidR="006400EB">
              <w:rPr>
                <w:lang w:val="fr-FR"/>
              </w:rPr>
              <w:br/>
            </w:r>
            <w:r>
              <w:rPr>
                <w:i/>
                <w:iCs/>
                <w:lang w:val="fr-FR"/>
              </w:rPr>
              <w:t xml:space="preserve">Désignation de </w:t>
            </w:r>
            <w:r>
              <w:rPr>
                <w:i/>
                <w:iCs/>
                <w:lang w:val="fr-FR"/>
              </w:rPr>
              <w:lastRenderedPageBreak/>
              <w:t>services de confiance fiables</w:t>
            </w:r>
          </w:p>
        </w:tc>
        <w:tc>
          <w:tcPr>
            <w:tcW w:w="5953" w:type="dxa"/>
            <w:shd w:val="clear" w:color="auto" w:fill="auto"/>
          </w:tcPr>
          <w:p w14:paraId="7C2C4EEF" w14:textId="27A7F462" w:rsidR="00101652" w:rsidRDefault="00E04751" w:rsidP="00401058">
            <w:pPr>
              <w:tabs>
                <w:tab w:val="left" w:pos="288"/>
                <w:tab w:val="left" w:pos="576"/>
                <w:tab w:val="left" w:pos="864"/>
                <w:tab w:val="left" w:pos="1152"/>
              </w:tabs>
              <w:spacing w:before="40" w:after="40" w:line="210" w:lineRule="atLeast"/>
              <w:ind w:right="142"/>
            </w:pPr>
            <w:r>
              <w:rPr>
                <w:lang w:val="fr-FR"/>
              </w:rPr>
              <w:lastRenderedPageBreak/>
              <w:t>–</w:t>
            </w:r>
          </w:p>
        </w:tc>
        <w:tc>
          <w:tcPr>
            <w:tcW w:w="6212" w:type="dxa"/>
            <w:shd w:val="clear" w:color="auto" w:fill="auto"/>
          </w:tcPr>
          <w:p w14:paraId="4ADD1904"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6400EB">
              <w:rPr>
                <w:i/>
                <w:iCs/>
                <w:lang w:val="fr-FR"/>
              </w:rPr>
              <w:t>insérer</w:t>
            </w:r>
            <w:r>
              <w:rPr>
                <w:lang w:val="fr-FR"/>
              </w:rPr>
              <w:t>]</w:t>
            </w:r>
          </w:p>
        </w:tc>
      </w:tr>
      <w:tr w:rsidR="00101652" w:rsidRPr="00101652" w14:paraId="7FD15AFA" w14:textId="77777777" w:rsidTr="00401058">
        <w:trPr>
          <w:trHeight w:hRule="exact" w:val="113"/>
        </w:trPr>
        <w:tc>
          <w:tcPr>
            <w:tcW w:w="2127" w:type="dxa"/>
            <w:shd w:val="clear" w:color="auto" w:fill="auto"/>
          </w:tcPr>
          <w:p w14:paraId="171202D2"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2902E0D2"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6E77AA68"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48313110" w14:textId="77777777" w:rsidTr="00401058">
        <w:tc>
          <w:tcPr>
            <w:tcW w:w="2127" w:type="dxa"/>
            <w:shd w:val="clear" w:color="auto" w:fill="auto"/>
          </w:tcPr>
          <w:p w14:paraId="1D9C2B1F" w14:textId="77777777" w:rsidR="00101652" w:rsidRPr="001649B9" w:rsidRDefault="00101652" w:rsidP="00401058">
            <w:pPr>
              <w:keepNext/>
              <w:keepLines/>
              <w:tabs>
                <w:tab w:val="left" w:pos="288"/>
                <w:tab w:val="left" w:pos="576"/>
                <w:tab w:val="left" w:pos="864"/>
                <w:tab w:val="left" w:pos="1152"/>
              </w:tabs>
              <w:spacing w:before="40" w:after="40" w:line="210" w:lineRule="atLeast"/>
              <w:ind w:right="142"/>
              <w:rPr>
                <w:i/>
                <w:iCs/>
                <w:lang w:val="fr-FR"/>
              </w:rPr>
            </w:pPr>
            <w:r>
              <w:rPr>
                <w:i/>
                <w:iCs/>
                <w:lang w:val="fr-FR"/>
              </w:rPr>
              <w:t>Article 25</w:t>
            </w:r>
            <w:r>
              <w:rPr>
                <w:lang w:val="fr-FR"/>
              </w:rPr>
              <w:t xml:space="preserve"> </w:t>
            </w:r>
            <w:r w:rsidR="006400EB">
              <w:rPr>
                <w:lang w:val="fr-FR"/>
              </w:rPr>
              <w:br/>
            </w:r>
            <w:r>
              <w:rPr>
                <w:i/>
                <w:iCs/>
                <w:lang w:val="fr-FR"/>
              </w:rPr>
              <w:t>Responsabilité des prestataires de services de confiance</w:t>
            </w:r>
          </w:p>
        </w:tc>
        <w:tc>
          <w:tcPr>
            <w:tcW w:w="5953" w:type="dxa"/>
            <w:shd w:val="clear" w:color="auto" w:fill="auto"/>
          </w:tcPr>
          <w:p w14:paraId="0B2F194F" w14:textId="77777777" w:rsidR="00101652" w:rsidRPr="001649B9" w:rsidRDefault="00101652" w:rsidP="00401058">
            <w:pPr>
              <w:keepNext/>
              <w:keepLines/>
              <w:tabs>
                <w:tab w:val="left" w:pos="288"/>
                <w:tab w:val="left" w:pos="576"/>
                <w:tab w:val="left" w:pos="864"/>
                <w:tab w:val="left" w:pos="1152"/>
              </w:tabs>
              <w:spacing w:before="40" w:after="40" w:line="210" w:lineRule="atLeast"/>
              <w:ind w:right="142"/>
              <w:rPr>
                <w:lang w:val="fr-FR"/>
              </w:rPr>
            </w:pPr>
            <w:r>
              <w:rPr>
                <w:lang w:val="fr-FR"/>
              </w:rPr>
              <w:t>1. Quelle est l’option la plus appropriée pour l’article</w:t>
            </w:r>
            <w:r w:rsidR="006400EB">
              <w:rPr>
                <w:lang w:val="fr-FR"/>
              </w:rPr>
              <w:t> </w:t>
            </w:r>
            <w:r>
              <w:rPr>
                <w:lang w:val="fr-FR"/>
              </w:rPr>
              <w:t xml:space="preserve">25 (voir A/CN.9/WG.IV/WP.162, note de bas de page 35) ? </w:t>
            </w:r>
          </w:p>
          <w:p w14:paraId="28EAA565" w14:textId="77777777" w:rsidR="00101652" w:rsidRPr="001649B9" w:rsidRDefault="00101652" w:rsidP="00401058">
            <w:pPr>
              <w:keepNext/>
              <w:keepLines/>
              <w:tabs>
                <w:tab w:val="left" w:pos="288"/>
                <w:tab w:val="left" w:pos="576"/>
                <w:tab w:val="left" w:pos="864"/>
                <w:tab w:val="left" w:pos="1152"/>
              </w:tabs>
              <w:spacing w:before="40" w:after="40" w:line="210" w:lineRule="atLeast"/>
              <w:ind w:right="142"/>
              <w:rPr>
                <w:lang w:val="fr-FR"/>
              </w:rPr>
            </w:pPr>
            <w:r>
              <w:rPr>
                <w:lang w:val="fr-FR"/>
              </w:rPr>
              <w:t>2. Si l’option A est préférée, est-il même nécessaire d’inclure une telle disposition sur la responsabilité (voir A/CN.9/WG.IV/WP.162, note de bas de page 66) ?</w:t>
            </w:r>
          </w:p>
          <w:p w14:paraId="4CD7E849" w14:textId="77777777" w:rsidR="00101652" w:rsidRPr="001649B9" w:rsidRDefault="00101652" w:rsidP="00401058">
            <w:pPr>
              <w:keepNext/>
              <w:keepLines/>
              <w:tabs>
                <w:tab w:val="left" w:pos="288"/>
                <w:tab w:val="left" w:pos="576"/>
                <w:tab w:val="left" w:pos="864"/>
                <w:tab w:val="left" w:pos="1152"/>
              </w:tabs>
              <w:spacing w:before="40" w:after="40" w:line="210" w:lineRule="atLeast"/>
              <w:ind w:right="142"/>
              <w:rPr>
                <w:lang w:val="fr-FR"/>
              </w:rPr>
            </w:pPr>
            <w:r>
              <w:rPr>
                <w:lang w:val="fr-FR"/>
              </w:rPr>
              <w:t>3. Si l’option B ou l’option C est préférée, est-il nécessaire d’inclure une clause d’exonération de responsabilité couvrant les prestataires publics de services de confiance ?</w:t>
            </w:r>
          </w:p>
          <w:p w14:paraId="11F71522" w14:textId="77777777" w:rsidR="00101652" w:rsidRPr="001649B9" w:rsidRDefault="00101652" w:rsidP="00401058">
            <w:pPr>
              <w:keepNext/>
              <w:keepLines/>
              <w:tabs>
                <w:tab w:val="left" w:pos="288"/>
                <w:tab w:val="left" w:pos="576"/>
                <w:tab w:val="left" w:pos="864"/>
                <w:tab w:val="left" w:pos="1152"/>
              </w:tabs>
              <w:spacing w:before="40" w:after="40" w:line="210" w:lineRule="atLeast"/>
              <w:ind w:right="142"/>
              <w:rPr>
                <w:lang w:val="fr-FR"/>
              </w:rPr>
            </w:pPr>
            <w:r>
              <w:rPr>
                <w:lang w:val="fr-FR"/>
              </w:rPr>
              <w:t xml:space="preserve">4. Si l’option B ou l’option C est préférée, est-il souhaitable de traiter différemment la responsabilité d’un prestataire de services de confiance découlant de l’utilisation d’un service de confiance conçu conformément à l’article 24 ? </w:t>
            </w:r>
          </w:p>
        </w:tc>
        <w:tc>
          <w:tcPr>
            <w:tcW w:w="6212" w:type="dxa"/>
            <w:shd w:val="clear" w:color="auto" w:fill="auto"/>
          </w:tcPr>
          <w:p w14:paraId="4EF2804F" w14:textId="77777777" w:rsidR="00101652" w:rsidRDefault="00101652" w:rsidP="00401058">
            <w:pPr>
              <w:keepNext/>
              <w:keepLines/>
              <w:tabs>
                <w:tab w:val="left" w:pos="288"/>
                <w:tab w:val="left" w:pos="576"/>
                <w:tab w:val="left" w:pos="864"/>
                <w:tab w:val="left" w:pos="1152"/>
              </w:tabs>
              <w:spacing w:before="40" w:after="40" w:line="210" w:lineRule="atLeast"/>
              <w:ind w:right="142"/>
            </w:pPr>
            <w:r>
              <w:rPr>
                <w:lang w:val="fr-FR"/>
              </w:rPr>
              <w:t>[</w:t>
            </w:r>
            <w:r w:rsidRPr="006400EB">
              <w:rPr>
                <w:i/>
                <w:iCs/>
                <w:lang w:val="fr-FR"/>
              </w:rPr>
              <w:t>insérer</w:t>
            </w:r>
            <w:r>
              <w:rPr>
                <w:lang w:val="fr-FR"/>
              </w:rPr>
              <w:t>]</w:t>
            </w:r>
          </w:p>
        </w:tc>
      </w:tr>
      <w:tr w:rsidR="00101652" w:rsidRPr="00101652" w14:paraId="4FAA58F2" w14:textId="77777777" w:rsidTr="00401058">
        <w:trPr>
          <w:trHeight w:hRule="exact" w:val="113"/>
        </w:trPr>
        <w:tc>
          <w:tcPr>
            <w:tcW w:w="2127" w:type="dxa"/>
            <w:shd w:val="clear" w:color="auto" w:fill="auto"/>
          </w:tcPr>
          <w:p w14:paraId="22340EE7"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422C7076"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3DE32FB7"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767F7A" w:rsidRPr="00101652" w14:paraId="3D5426CE" w14:textId="77777777" w:rsidTr="00A21512">
        <w:tc>
          <w:tcPr>
            <w:tcW w:w="14292" w:type="dxa"/>
            <w:gridSpan w:val="3"/>
            <w:shd w:val="clear" w:color="auto" w:fill="auto"/>
          </w:tcPr>
          <w:p w14:paraId="5523111B" w14:textId="77777777" w:rsidR="00767F7A" w:rsidRPr="00A664F4" w:rsidRDefault="00767F7A" w:rsidP="00401058">
            <w:pPr>
              <w:tabs>
                <w:tab w:val="left" w:pos="288"/>
                <w:tab w:val="left" w:pos="576"/>
                <w:tab w:val="left" w:pos="864"/>
                <w:tab w:val="left" w:pos="1152"/>
              </w:tabs>
              <w:spacing w:before="40" w:after="40" w:line="210" w:lineRule="exact"/>
              <w:ind w:right="142"/>
              <w:rPr>
                <w:sz w:val="17"/>
                <w:lang w:val="fr-FR"/>
              </w:rPr>
            </w:pPr>
            <w:r>
              <w:rPr>
                <w:b/>
                <w:bCs/>
                <w:lang w:val="fr-FR"/>
              </w:rPr>
              <w:t>Chapitre IV.</w:t>
            </w:r>
            <w:r>
              <w:rPr>
                <w:lang w:val="fr-FR"/>
              </w:rPr>
              <w:t xml:space="preserve"> </w:t>
            </w:r>
            <w:r>
              <w:rPr>
                <w:b/>
                <w:bCs/>
                <w:lang w:val="fr-FR"/>
              </w:rPr>
              <w:t>Aspects internationaux</w:t>
            </w:r>
          </w:p>
        </w:tc>
      </w:tr>
      <w:tr w:rsidR="00101652" w:rsidRPr="00101652" w14:paraId="343AA07B" w14:textId="77777777" w:rsidTr="00401058">
        <w:trPr>
          <w:trHeight w:hRule="exact" w:val="113"/>
        </w:trPr>
        <w:tc>
          <w:tcPr>
            <w:tcW w:w="2127" w:type="dxa"/>
            <w:shd w:val="clear" w:color="auto" w:fill="auto"/>
          </w:tcPr>
          <w:p w14:paraId="60617930"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167303CD"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55658F63"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78D5DB9D" w14:textId="77777777" w:rsidTr="00401058">
        <w:tc>
          <w:tcPr>
            <w:tcW w:w="2127" w:type="dxa"/>
            <w:shd w:val="clear" w:color="auto" w:fill="auto"/>
          </w:tcPr>
          <w:p w14:paraId="482B6E84" w14:textId="77777777" w:rsidR="00101652" w:rsidRPr="001649B9" w:rsidRDefault="00101652" w:rsidP="00401058">
            <w:pPr>
              <w:tabs>
                <w:tab w:val="left" w:pos="288"/>
                <w:tab w:val="left" w:pos="576"/>
                <w:tab w:val="left" w:pos="864"/>
                <w:tab w:val="left" w:pos="1152"/>
              </w:tabs>
              <w:spacing w:before="40" w:after="40" w:line="210" w:lineRule="atLeast"/>
              <w:ind w:right="142"/>
              <w:rPr>
                <w:i/>
                <w:iCs/>
                <w:lang w:val="fr-FR"/>
              </w:rPr>
            </w:pPr>
            <w:r>
              <w:rPr>
                <w:i/>
                <w:iCs/>
                <w:lang w:val="fr-FR"/>
              </w:rPr>
              <w:t>Article 26</w:t>
            </w:r>
            <w:r>
              <w:rPr>
                <w:lang w:val="fr-FR"/>
              </w:rPr>
              <w:t xml:space="preserve"> </w:t>
            </w:r>
            <w:r w:rsidR="006400EB">
              <w:rPr>
                <w:lang w:val="fr-FR"/>
              </w:rPr>
              <w:br/>
            </w:r>
            <w:r>
              <w:rPr>
                <w:i/>
                <w:iCs/>
                <w:lang w:val="fr-FR"/>
              </w:rPr>
              <w:t>Reconnaissance internationale de la gestion de l’identité et des services de confiance</w:t>
            </w:r>
          </w:p>
        </w:tc>
        <w:tc>
          <w:tcPr>
            <w:tcW w:w="5953" w:type="dxa"/>
            <w:shd w:val="clear" w:color="auto" w:fill="auto"/>
          </w:tcPr>
          <w:p w14:paraId="453BA401"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bookmarkStart w:id="3" w:name="_Hlk40454203"/>
            <w:r>
              <w:rPr>
                <w:lang w:val="fr-FR"/>
              </w:rPr>
              <w:t xml:space="preserve">1. La mise en place d’un mécanisme efficace pour la reconnaissance internationale de la gestion de l’identité et des services de confiance est un objectif central du projet en cours. Les principales dispositions qui correspondent à cet objectif </w:t>
            </w:r>
            <w:r w:rsidR="006400EB">
              <w:rPr>
                <w:lang w:val="fr-FR"/>
              </w:rPr>
              <w:t>sont </w:t>
            </w:r>
            <w:r>
              <w:rPr>
                <w:lang w:val="fr-FR"/>
              </w:rPr>
              <w:t>: l’article 26, sur la reconnaissance internationale des systèmes de gestion de l’identité et des services de confiance</w:t>
            </w:r>
            <w:r w:rsidR="00767F7A">
              <w:rPr>
                <w:lang w:val="fr-FR"/>
              </w:rPr>
              <w:t> ;</w:t>
            </w:r>
            <w:r>
              <w:rPr>
                <w:lang w:val="fr-FR"/>
              </w:rPr>
              <w:t xml:space="preserve"> les articles 10-2 et 23-3, sur la fiabilité des méthodes utilisées</w:t>
            </w:r>
            <w:r w:rsidR="00767F7A">
              <w:rPr>
                <w:lang w:val="fr-FR"/>
              </w:rPr>
              <w:t> ;</w:t>
            </w:r>
            <w:r>
              <w:rPr>
                <w:lang w:val="fr-FR"/>
              </w:rPr>
              <w:t xml:space="preserve"> et les articles 11-4, et 24- 4, sur la non</w:t>
            </w:r>
            <w:r w:rsidR="006400EB">
              <w:rPr>
                <w:lang w:val="fr-FR"/>
              </w:rPr>
              <w:noBreakHyphen/>
            </w:r>
            <w:r>
              <w:rPr>
                <w:lang w:val="fr-FR"/>
              </w:rPr>
              <w:t xml:space="preserve">discrimination géographique dans la conception de systèmes de gestion de l’identité et de services de confiance fiables. Ces dispositions couvrent-elles suffisamment l’objectif visé ? Si ce n’est pas le cas, quelles dispositions supplémentaires faudrait-il introduire ? </w:t>
            </w:r>
          </w:p>
          <w:p w14:paraId="1C0FA357" w14:textId="77777777" w:rsidR="00101652" w:rsidRPr="001649B9" w:rsidRDefault="00101652" w:rsidP="00401058">
            <w:pPr>
              <w:tabs>
                <w:tab w:val="left" w:pos="288"/>
                <w:tab w:val="left" w:pos="576"/>
                <w:tab w:val="left" w:pos="864"/>
                <w:tab w:val="left" w:pos="1152"/>
              </w:tabs>
              <w:spacing w:before="40" w:after="40" w:line="210" w:lineRule="atLeast"/>
              <w:ind w:right="142"/>
              <w:rPr>
                <w:lang w:val="fr-FR"/>
              </w:rPr>
            </w:pPr>
            <w:r>
              <w:rPr>
                <w:lang w:val="fr-FR"/>
              </w:rPr>
              <w:t xml:space="preserve">2. Les dispositions existantes en matière de reconnaissance internationale sont-elles harmonisées ? En particulier, convient-il que les articles 11-4, 24-4 et 26 se concentrent sur les </w:t>
            </w:r>
            <w:r w:rsidR="00767F7A">
              <w:rPr>
                <w:lang w:val="fr-FR"/>
              </w:rPr>
              <w:t>« </w:t>
            </w:r>
            <w:r>
              <w:rPr>
                <w:lang w:val="fr-FR"/>
              </w:rPr>
              <w:t>systèmes de gestion de l’identité</w:t>
            </w:r>
            <w:r w:rsidR="00767F7A">
              <w:rPr>
                <w:lang w:val="fr-FR"/>
              </w:rPr>
              <w:t> »</w:t>
            </w:r>
            <w:r>
              <w:rPr>
                <w:lang w:val="fr-FR"/>
              </w:rPr>
              <w:t xml:space="preserve"> et les </w:t>
            </w:r>
            <w:r w:rsidR="00767F7A">
              <w:rPr>
                <w:lang w:val="fr-FR"/>
              </w:rPr>
              <w:t>« </w:t>
            </w:r>
            <w:r>
              <w:rPr>
                <w:lang w:val="fr-FR"/>
              </w:rPr>
              <w:t>services de confiance</w:t>
            </w:r>
            <w:r w:rsidR="00767F7A">
              <w:rPr>
                <w:lang w:val="fr-FR"/>
              </w:rPr>
              <w:t> »</w:t>
            </w:r>
            <w:r>
              <w:rPr>
                <w:lang w:val="fr-FR"/>
              </w:rPr>
              <w:t xml:space="preserve">, tandis que les articles 10-2 et 23-3 portent sur la fiabilité des </w:t>
            </w:r>
            <w:r w:rsidR="00767F7A">
              <w:rPr>
                <w:lang w:val="fr-FR"/>
              </w:rPr>
              <w:t>« </w:t>
            </w:r>
            <w:r>
              <w:rPr>
                <w:lang w:val="fr-FR"/>
              </w:rPr>
              <w:t>méthodes</w:t>
            </w:r>
            <w:r w:rsidR="00767F7A">
              <w:rPr>
                <w:lang w:val="fr-FR"/>
              </w:rPr>
              <w:t> »</w:t>
            </w:r>
            <w:r>
              <w:rPr>
                <w:lang w:val="fr-FR"/>
              </w:rPr>
              <w:t xml:space="preserve"> ? </w:t>
            </w:r>
            <w:bookmarkEnd w:id="3"/>
          </w:p>
        </w:tc>
        <w:tc>
          <w:tcPr>
            <w:tcW w:w="6212" w:type="dxa"/>
            <w:shd w:val="clear" w:color="auto" w:fill="auto"/>
          </w:tcPr>
          <w:p w14:paraId="1EFA0671" w14:textId="77777777" w:rsidR="00101652" w:rsidRDefault="00101652" w:rsidP="00401058">
            <w:pPr>
              <w:tabs>
                <w:tab w:val="left" w:pos="288"/>
                <w:tab w:val="left" w:pos="576"/>
                <w:tab w:val="left" w:pos="864"/>
                <w:tab w:val="left" w:pos="1152"/>
              </w:tabs>
              <w:spacing w:before="40" w:after="40" w:line="210" w:lineRule="atLeast"/>
              <w:ind w:right="142"/>
            </w:pPr>
            <w:r>
              <w:rPr>
                <w:lang w:val="fr-FR"/>
              </w:rPr>
              <w:t>[</w:t>
            </w:r>
            <w:r w:rsidRPr="006400EB">
              <w:rPr>
                <w:i/>
                <w:iCs/>
                <w:lang w:val="fr-FR"/>
              </w:rPr>
              <w:t>insérer</w:t>
            </w:r>
            <w:r>
              <w:rPr>
                <w:lang w:val="fr-FR"/>
              </w:rPr>
              <w:t>]</w:t>
            </w:r>
          </w:p>
        </w:tc>
      </w:tr>
      <w:tr w:rsidR="00101652" w:rsidRPr="00101652" w14:paraId="7BB3344D" w14:textId="77777777" w:rsidTr="00401058">
        <w:trPr>
          <w:trHeight w:hRule="exact" w:val="113"/>
        </w:trPr>
        <w:tc>
          <w:tcPr>
            <w:tcW w:w="2127" w:type="dxa"/>
            <w:shd w:val="clear" w:color="auto" w:fill="auto"/>
          </w:tcPr>
          <w:p w14:paraId="3F570993"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shd w:val="clear" w:color="auto" w:fill="auto"/>
          </w:tcPr>
          <w:p w14:paraId="091729D7"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shd w:val="clear" w:color="auto" w:fill="auto"/>
          </w:tcPr>
          <w:p w14:paraId="58ACE3FD"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r w:rsidR="00101652" w:rsidRPr="00101652" w14:paraId="38422BB7" w14:textId="77777777" w:rsidTr="00401058">
        <w:tc>
          <w:tcPr>
            <w:tcW w:w="2127" w:type="dxa"/>
            <w:shd w:val="clear" w:color="auto" w:fill="auto"/>
          </w:tcPr>
          <w:p w14:paraId="24EA748C" w14:textId="77777777" w:rsidR="00101652" w:rsidRPr="007E28CD" w:rsidRDefault="00101652" w:rsidP="00401058">
            <w:pPr>
              <w:keepNext/>
              <w:keepLines/>
              <w:tabs>
                <w:tab w:val="left" w:pos="288"/>
                <w:tab w:val="left" w:pos="576"/>
                <w:tab w:val="left" w:pos="864"/>
                <w:tab w:val="left" w:pos="1152"/>
              </w:tabs>
              <w:spacing w:before="40" w:after="40" w:line="210" w:lineRule="atLeast"/>
              <w:ind w:right="142"/>
            </w:pPr>
            <w:r>
              <w:rPr>
                <w:i/>
                <w:iCs/>
                <w:lang w:val="fr-FR"/>
              </w:rPr>
              <w:lastRenderedPageBreak/>
              <w:t>Article 27</w:t>
            </w:r>
            <w:r>
              <w:rPr>
                <w:lang w:val="fr-FR"/>
              </w:rPr>
              <w:t xml:space="preserve"> </w:t>
            </w:r>
            <w:r w:rsidR="006400EB">
              <w:rPr>
                <w:lang w:val="fr-FR"/>
              </w:rPr>
              <w:br/>
            </w:r>
            <w:r>
              <w:rPr>
                <w:i/>
                <w:iCs/>
                <w:lang w:val="fr-FR"/>
              </w:rPr>
              <w:t>Coopération</w:t>
            </w:r>
          </w:p>
        </w:tc>
        <w:tc>
          <w:tcPr>
            <w:tcW w:w="5953" w:type="dxa"/>
            <w:shd w:val="clear" w:color="auto" w:fill="auto"/>
          </w:tcPr>
          <w:p w14:paraId="5185DB07" w14:textId="77777777" w:rsidR="00101652" w:rsidRPr="001649B9" w:rsidRDefault="00101652" w:rsidP="00401058">
            <w:pPr>
              <w:keepNext/>
              <w:keepLines/>
              <w:tabs>
                <w:tab w:val="left" w:pos="288"/>
                <w:tab w:val="left" w:pos="576"/>
                <w:tab w:val="left" w:pos="864"/>
                <w:tab w:val="left" w:pos="1152"/>
              </w:tabs>
              <w:spacing w:before="40" w:after="40" w:line="210" w:lineRule="atLeast"/>
              <w:ind w:right="142"/>
              <w:rPr>
                <w:lang w:val="fr-FR"/>
              </w:rPr>
            </w:pPr>
            <w:r>
              <w:rPr>
                <w:lang w:val="fr-FR"/>
              </w:rPr>
              <w:t>1. L’article 27 doit-il s’appliquer à toutes les entités intervenant dans la gestion de l’identité et les services de confiance ? Remplit-il une fonction utile, ou ces activités devraient-elles être laissées à l’initiative des entités concernées ?</w:t>
            </w:r>
          </w:p>
        </w:tc>
        <w:tc>
          <w:tcPr>
            <w:tcW w:w="6212" w:type="dxa"/>
            <w:shd w:val="clear" w:color="auto" w:fill="auto"/>
          </w:tcPr>
          <w:p w14:paraId="17306FEA" w14:textId="77777777" w:rsidR="00101652" w:rsidRPr="007E28CD" w:rsidRDefault="00101652" w:rsidP="00401058">
            <w:pPr>
              <w:keepNext/>
              <w:keepLines/>
              <w:tabs>
                <w:tab w:val="left" w:pos="288"/>
                <w:tab w:val="left" w:pos="576"/>
                <w:tab w:val="left" w:pos="864"/>
                <w:tab w:val="left" w:pos="1152"/>
              </w:tabs>
              <w:spacing w:before="40" w:after="40" w:line="210" w:lineRule="atLeast"/>
              <w:ind w:right="142"/>
            </w:pPr>
            <w:r>
              <w:rPr>
                <w:lang w:val="fr-FR"/>
              </w:rPr>
              <w:t>[</w:t>
            </w:r>
            <w:r w:rsidRPr="006400EB">
              <w:rPr>
                <w:i/>
                <w:iCs/>
                <w:lang w:val="fr-FR"/>
              </w:rPr>
              <w:t>insérer</w:t>
            </w:r>
            <w:r>
              <w:rPr>
                <w:lang w:val="fr-FR"/>
              </w:rPr>
              <w:t>]</w:t>
            </w:r>
          </w:p>
        </w:tc>
      </w:tr>
      <w:tr w:rsidR="00101652" w:rsidRPr="00101652" w14:paraId="70DF848F" w14:textId="77777777" w:rsidTr="00401058">
        <w:trPr>
          <w:trHeight w:hRule="exact" w:val="113"/>
        </w:trPr>
        <w:tc>
          <w:tcPr>
            <w:tcW w:w="2127" w:type="dxa"/>
            <w:tcBorders>
              <w:bottom w:val="single" w:sz="12" w:space="0" w:color="auto"/>
            </w:tcBorders>
            <w:shd w:val="clear" w:color="auto" w:fill="auto"/>
          </w:tcPr>
          <w:p w14:paraId="5D93DECD"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5953" w:type="dxa"/>
            <w:tcBorders>
              <w:bottom w:val="single" w:sz="12" w:space="0" w:color="auto"/>
            </w:tcBorders>
            <w:shd w:val="clear" w:color="auto" w:fill="auto"/>
          </w:tcPr>
          <w:p w14:paraId="0CD737B7"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c>
          <w:tcPr>
            <w:tcW w:w="6212" w:type="dxa"/>
            <w:tcBorders>
              <w:bottom w:val="single" w:sz="12" w:space="0" w:color="auto"/>
            </w:tcBorders>
            <w:shd w:val="clear" w:color="auto" w:fill="auto"/>
          </w:tcPr>
          <w:p w14:paraId="378127C5" w14:textId="77777777" w:rsidR="00101652" w:rsidRPr="00A664F4" w:rsidRDefault="00101652" w:rsidP="00401058">
            <w:pPr>
              <w:tabs>
                <w:tab w:val="left" w:pos="288"/>
                <w:tab w:val="left" w:pos="576"/>
                <w:tab w:val="left" w:pos="864"/>
                <w:tab w:val="left" w:pos="1152"/>
              </w:tabs>
              <w:spacing w:before="40" w:after="40" w:line="210" w:lineRule="exact"/>
              <w:ind w:right="142"/>
              <w:rPr>
                <w:sz w:val="17"/>
                <w:lang w:val="fr-FR"/>
              </w:rPr>
            </w:pPr>
          </w:p>
        </w:tc>
      </w:tr>
    </w:tbl>
    <w:p w14:paraId="49ED538A" w14:textId="77777777" w:rsidR="00F639A5" w:rsidRDefault="00F639A5" w:rsidP="00F639A5">
      <w:pPr>
        <w:rPr>
          <w:lang w:val="fr-FR"/>
        </w:rPr>
      </w:pPr>
    </w:p>
    <w:p w14:paraId="30AABD0F" w14:textId="77777777" w:rsidR="00D33BD4" w:rsidRDefault="00D33BD4" w:rsidP="00F639A5">
      <w:pPr>
        <w:rPr>
          <w:lang w:val="fr-FR"/>
        </w:rPr>
        <w:sectPr w:rsidR="00D33BD4" w:rsidSect="00F639A5">
          <w:footerReference w:type="even" r:id="rId10"/>
          <w:footerReference w:type="default" r:id="rId11"/>
          <w:pgSz w:w="16834" w:h="11909" w:orient="landscape"/>
          <w:pgMar w:top="1338" w:right="1440" w:bottom="811" w:left="1151" w:header="578" w:footer="1032" w:gutter="0"/>
          <w:cols w:space="720"/>
          <w:docGrid w:linePitch="360"/>
        </w:sectPr>
      </w:pPr>
    </w:p>
    <w:p w14:paraId="2123BFD1" w14:textId="77777777" w:rsidR="00D33BD4" w:rsidRPr="00401058" w:rsidRDefault="00D33BD4" w:rsidP="00401058">
      <w:pPr>
        <w:pStyle w:val="H23"/>
        <w:ind w:left="851" w:right="1260" w:hanging="851"/>
        <w:rPr>
          <w:b w:val="0"/>
          <w:bCs/>
        </w:rPr>
      </w:pPr>
      <w:r>
        <w:lastRenderedPageBreak/>
        <w:tab/>
      </w:r>
      <w:r w:rsidRPr="00401058">
        <w:rPr>
          <w:b w:val="0"/>
          <w:bCs/>
        </w:rPr>
        <w:t>Tableau 2</w:t>
      </w:r>
    </w:p>
    <w:p w14:paraId="738286D2" w14:textId="6138A2E6" w:rsidR="00D33BD4" w:rsidRPr="001649B9" w:rsidRDefault="00D33BD4" w:rsidP="00401058">
      <w:pPr>
        <w:pStyle w:val="H23"/>
        <w:ind w:left="851" w:right="1260" w:hanging="851"/>
      </w:pPr>
      <w:r>
        <w:tab/>
      </w:r>
      <w:r>
        <w:rPr>
          <w:bCs/>
        </w:rPr>
        <w:t>Commentaires généraux sur le projet de dispositions</w:t>
      </w:r>
    </w:p>
    <w:p w14:paraId="717B1495" w14:textId="77777777" w:rsidR="00D33BD4" w:rsidRPr="001649B9" w:rsidRDefault="00D33BD4" w:rsidP="00D33BD4">
      <w:pPr>
        <w:pStyle w:val="SingleTxt"/>
        <w:spacing w:after="0" w:line="120" w:lineRule="atLeast"/>
        <w:rPr>
          <w:sz w:val="10"/>
        </w:rPr>
      </w:pPr>
    </w:p>
    <w:tbl>
      <w:tblPr>
        <w:tblStyle w:val="af4"/>
        <w:tblW w:w="8599" w:type="dxa"/>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99"/>
      </w:tblGrid>
      <w:tr w:rsidR="00D33BD4" w:rsidRPr="007E28CD" w14:paraId="1535F003" w14:textId="77777777" w:rsidTr="003B2C56">
        <w:trPr>
          <w:trHeight w:val="57"/>
          <w:tblHeader/>
        </w:trPr>
        <w:tc>
          <w:tcPr>
            <w:tcW w:w="8599" w:type="dxa"/>
            <w:tcBorders>
              <w:top w:val="single" w:sz="4" w:space="0" w:color="auto"/>
              <w:bottom w:val="single" w:sz="12" w:space="0" w:color="auto"/>
            </w:tcBorders>
            <w:shd w:val="clear" w:color="auto" w:fill="auto"/>
            <w:vAlign w:val="bottom"/>
          </w:tcPr>
          <w:p w14:paraId="19D1805B" w14:textId="77777777" w:rsidR="00D33BD4" w:rsidRPr="006400EB" w:rsidRDefault="00D33BD4" w:rsidP="003B2C56">
            <w:pPr>
              <w:keepNext/>
              <w:spacing w:before="40" w:after="40" w:line="160" w:lineRule="atLeast"/>
              <w:ind w:right="40"/>
              <w:rPr>
                <w:i/>
                <w:sz w:val="14"/>
                <w:szCs w:val="14"/>
              </w:rPr>
            </w:pPr>
            <w:r w:rsidRPr="006400EB">
              <w:rPr>
                <w:i/>
                <w:iCs/>
                <w:sz w:val="14"/>
                <w:szCs w:val="14"/>
                <w:lang w:val="fr-FR"/>
              </w:rPr>
              <w:t>Commentaires</w:t>
            </w:r>
          </w:p>
        </w:tc>
      </w:tr>
      <w:tr w:rsidR="00D33BD4" w:rsidRPr="00C874A9" w14:paraId="6F38C643" w14:textId="77777777" w:rsidTr="003B2C56">
        <w:trPr>
          <w:trHeight w:val="57"/>
          <w:tblHeader/>
        </w:trPr>
        <w:tc>
          <w:tcPr>
            <w:tcW w:w="8599" w:type="dxa"/>
            <w:tcBorders>
              <w:top w:val="single" w:sz="12" w:space="0" w:color="auto"/>
            </w:tcBorders>
            <w:shd w:val="clear" w:color="auto" w:fill="auto"/>
            <w:vAlign w:val="bottom"/>
          </w:tcPr>
          <w:p w14:paraId="51456B78" w14:textId="77777777" w:rsidR="00D33BD4" w:rsidRPr="00C874A9" w:rsidRDefault="00D33BD4" w:rsidP="003B2C56">
            <w:pPr>
              <w:keepNext/>
              <w:spacing w:line="0" w:lineRule="atLeast"/>
              <w:rPr>
                <w:sz w:val="18"/>
                <w:szCs w:val="18"/>
                <w:lang w:val="en-GB"/>
              </w:rPr>
            </w:pPr>
          </w:p>
        </w:tc>
      </w:tr>
      <w:tr w:rsidR="00D33BD4" w:rsidRPr="001513E4" w14:paraId="55D79D01" w14:textId="77777777" w:rsidTr="003B2C56">
        <w:trPr>
          <w:trHeight w:val="57"/>
        </w:trPr>
        <w:tc>
          <w:tcPr>
            <w:tcW w:w="8599" w:type="dxa"/>
            <w:tcBorders>
              <w:bottom w:val="single" w:sz="12" w:space="0" w:color="auto"/>
            </w:tcBorders>
            <w:shd w:val="clear" w:color="auto" w:fill="auto"/>
          </w:tcPr>
          <w:p w14:paraId="701AF937" w14:textId="77777777" w:rsidR="00D33BD4" w:rsidRPr="001513E4" w:rsidRDefault="00D33BD4" w:rsidP="003B2C56">
            <w:pPr>
              <w:tabs>
                <w:tab w:val="left" w:pos="288"/>
                <w:tab w:val="left" w:pos="576"/>
                <w:tab w:val="left" w:pos="864"/>
                <w:tab w:val="left" w:pos="1152"/>
              </w:tabs>
              <w:spacing w:before="40" w:after="40"/>
              <w:ind w:right="16"/>
            </w:pPr>
            <w:r>
              <w:rPr>
                <w:lang w:val="fr-FR"/>
              </w:rPr>
              <w:t>[</w:t>
            </w:r>
            <w:r w:rsidRPr="006400EB">
              <w:rPr>
                <w:i/>
                <w:iCs/>
                <w:lang w:val="fr-FR"/>
              </w:rPr>
              <w:t>insérer</w:t>
            </w:r>
            <w:r>
              <w:rPr>
                <w:lang w:val="fr-FR"/>
              </w:rPr>
              <w:t>]</w:t>
            </w:r>
          </w:p>
        </w:tc>
      </w:tr>
    </w:tbl>
    <w:p w14:paraId="4BAF0A1A" w14:textId="77777777" w:rsidR="00BB2ADA" w:rsidRDefault="00BB2ADA" w:rsidP="00F639A5">
      <w:pPr>
        <w:rPr>
          <w:lang w:val="fr-FR"/>
        </w:rPr>
      </w:pPr>
    </w:p>
    <w:p w14:paraId="15236003" w14:textId="77777777" w:rsidR="00101652" w:rsidRPr="00101652" w:rsidRDefault="00101652" w:rsidP="00101652">
      <w:pPr>
        <w:spacing w:line="240" w:lineRule="auto"/>
        <w:rPr>
          <w:lang w:val="fr-FR"/>
        </w:rPr>
      </w:pPr>
      <w:r>
        <w:rPr>
          <w:noProof/>
          <w:w w:val="100"/>
          <w:lang w:val="en-US" w:eastAsia="ja-JP"/>
        </w:rPr>
        <mc:AlternateContent>
          <mc:Choice Requires="wps">
            <w:drawing>
              <wp:anchor distT="0" distB="0" distL="114300" distR="114300" simplePos="0" relativeHeight="251659264" behindDoc="0" locked="0" layoutInCell="1" allowOverlap="1" wp14:anchorId="09272165" wp14:editId="3D38CC0D">
                <wp:simplePos x="0" y="0"/>
                <wp:positionH relativeFrom="page">
                  <wp:posOffset>3429000</wp:posOffset>
                </wp:positionH>
                <wp:positionV relativeFrom="paragraph">
                  <wp:posOffset>304800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55A31"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HhR&#10;xBP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01652" w:rsidRPr="00101652" w:rsidSect="00D33BD4">
      <w:pgSz w:w="11909" w:h="16834"/>
      <w:pgMar w:top="1440" w:right="811" w:bottom="1151" w:left="1338" w:header="578" w:footer="10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6037E" w14:textId="77777777" w:rsidR="00FE7B3B" w:rsidRDefault="00FE7B3B" w:rsidP="00101B18">
      <w:pPr>
        <w:spacing w:line="240" w:lineRule="auto"/>
      </w:pPr>
      <w:r>
        <w:separator/>
      </w:r>
    </w:p>
  </w:endnote>
  <w:endnote w:type="continuationSeparator" w:id="0">
    <w:p w14:paraId="3A7889C4" w14:textId="77777777" w:rsidR="00FE7B3B" w:rsidRDefault="00FE7B3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A8B3" w14:textId="7E2DC625" w:rsidR="00A21512" w:rsidRDefault="001E2244" w:rsidP="001E2244">
    <w:pPr>
      <w:pStyle w:val="a8"/>
    </w:pPr>
    <w:r>
      <w:fldChar w:fldCharType="begin"/>
    </w:r>
    <w:r>
      <w:instrText xml:space="preserve"> PAGE  \* Arabic  \* MERGEFORMAT </w:instrText>
    </w:r>
    <w:r>
      <w:fldChar w:fldCharType="separate"/>
    </w:r>
    <w:r w:rsidR="00482DCD">
      <w:rPr>
        <w:noProof/>
      </w:rPr>
      <w:t>10</w:t>
    </w:r>
    <w:r>
      <w:fldChar w:fldCharType="end"/>
    </w:r>
    <w:r>
      <w:t>/</w:t>
    </w:r>
    <w:r w:rsidR="00FE7B3B">
      <w:fldChar w:fldCharType="begin"/>
    </w:r>
    <w:r w:rsidR="00FE7B3B">
      <w:instrText xml:space="preserve"> NUMPAGES  \* Arabic  \* MERGEFORMAT </w:instrText>
    </w:r>
    <w:r w:rsidR="00FE7B3B">
      <w:fldChar w:fldCharType="separate"/>
    </w:r>
    <w:r w:rsidR="00482DCD">
      <w:rPr>
        <w:noProof/>
      </w:rPr>
      <w:t>10</w:t>
    </w:r>
    <w:r w:rsidR="00FE7B3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F2E41" w14:textId="6CB350B4" w:rsidR="00A21512" w:rsidRDefault="001E2244" w:rsidP="00E04751">
    <w:pPr>
      <w:pStyle w:val="a8"/>
      <w:jc w:val="right"/>
    </w:pPr>
    <w:r>
      <w:fldChar w:fldCharType="begin"/>
    </w:r>
    <w:r>
      <w:instrText xml:space="preserve"> PAGE  \* Arabic  \* MERGEFORMAT </w:instrText>
    </w:r>
    <w:r>
      <w:fldChar w:fldCharType="separate"/>
    </w:r>
    <w:r w:rsidR="00482DCD">
      <w:rPr>
        <w:noProof/>
      </w:rPr>
      <w:t>1</w:t>
    </w:r>
    <w:r>
      <w:fldChar w:fldCharType="end"/>
    </w:r>
    <w:r>
      <w:t>/</w:t>
    </w:r>
    <w:r w:rsidR="00FE7B3B">
      <w:fldChar w:fldCharType="begin"/>
    </w:r>
    <w:r w:rsidR="00FE7B3B">
      <w:instrText xml:space="preserve"> NUMPAGES  \* Arabic  \* MERGEFORMAT </w:instrText>
    </w:r>
    <w:r w:rsidR="00FE7B3B">
      <w:fldChar w:fldCharType="separate"/>
    </w:r>
    <w:r w:rsidR="00482DCD">
      <w:rPr>
        <w:noProof/>
      </w:rPr>
      <w:t>10</w:t>
    </w:r>
    <w:r w:rsidR="00FE7B3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D93CD" w14:textId="77777777" w:rsidR="00FE7B3B" w:rsidRDefault="00FE7B3B" w:rsidP="00101B18">
      <w:pPr>
        <w:spacing w:line="240" w:lineRule="auto"/>
      </w:pPr>
      <w:r>
        <w:separator/>
      </w:r>
    </w:p>
  </w:footnote>
  <w:footnote w:type="continuationSeparator" w:id="0">
    <w:p w14:paraId="601C7DC9" w14:textId="77777777" w:rsidR="00FE7B3B" w:rsidRDefault="00FE7B3B" w:rsidP="00101B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290"/>
    <w:multiLevelType w:val="hybridMultilevel"/>
    <w:tmpl w:val="B38206E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AFA60A66"/>
    <w:lvl w:ilvl="0">
      <w:start w:val="1"/>
      <w:numFmt w:val="decimal"/>
      <w:pStyle w:val="1"/>
      <w:suff w:val="space"/>
      <w:lvlText w:val="Chapter %1"/>
      <w:lvlJc w:val="left"/>
      <w:pPr>
        <w:ind w:left="0" w:firstLine="0"/>
      </w:pPr>
      <w:rPr>
        <w:rFonts w:ascii="Times New Roman" w:hAnsi="Times New Roman" w:hint="default"/>
        <w:color w:val="auto"/>
        <w:sz w:val="2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 w15:restartNumberingAfterBreak="0">
    <w:nsid w:val="172F270D"/>
    <w:multiLevelType w:val="hybridMultilevel"/>
    <w:tmpl w:val="7B32AEF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F62A3AE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utyStation" w:val="Vienna"/>
    <w:docVar w:name="LocalDrive" w:val="0"/>
  </w:docVars>
  <w:rsids>
    <w:rsidRoot w:val="00F639A5"/>
    <w:rsid w:val="00002584"/>
    <w:rsid w:val="0006491F"/>
    <w:rsid w:val="00071D43"/>
    <w:rsid w:val="0007535B"/>
    <w:rsid w:val="00082144"/>
    <w:rsid w:val="00086794"/>
    <w:rsid w:val="000D73F4"/>
    <w:rsid w:val="00101652"/>
    <w:rsid w:val="00101B18"/>
    <w:rsid w:val="001030AE"/>
    <w:rsid w:val="001177E1"/>
    <w:rsid w:val="00122A56"/>
    <w:rsid w:val="00134FEE"/>
    <w:rsid w:val="00146C6A"/>
    <w:rsid w:val="00166A0D"/>
    <w:rsid w:val="00180443"/>
    <w:rsid w:val="00183A10"/>
    <w:rsid w:val="001E2244"/>
    <w:rsid w:val="001E2379"/>
    <w:rsid w:val="001E4B50"/>
    <w:rsid w:val="0021412C"/>
    <w:rsid w:val="00245107"/>
    <w:rsid w:val="00245FDC"/>
    <w:rsid w:val="002478A0"/>
    <w:rsid w:val="0026280A"/>
    <w:rsid w:val="002A5E20"/>
    <w:rsid w:val="002E04BE"/>
    <w:rsid w:val="00303A40"/>
    <w:rsid w:val="0030765E"/>
    <w:rsid w:val="00366D21"/>
    <w:rsid w:val="003A675A"/>
    <w:rsid w:val="003C536A"/>
    <w:rsid w:val="003E6A5D"/>
    <w:rsid w:val="003F61E1"/>
    <w:rsid w:val="00401058"/>
    <w:rsid w:val="00403DFD"/>
    <w:rsid w:val="00406B5C"/>
    <w:rsid w:val="00410BE8"/>
    <w:rsid w:val="00440C93"/>
    <w:rsid w:val="00472B7F"/>
    <w:rsid w:val="00480B84"/>
    <w:rsid w:val="00482DCD"/>
    <w:rsid w:val="004963CF"/>
    <w:rsid w:val="004B64F9"/>
    <w:rsid w:val="004C1A25"/>
    <w:rsid w:val="004E0892"/>
    <w:rsid w:val="004E1520"/>
    <w:rsid w:val="004E491B"/>
    <w:rsid w:val="00515991"/>
    <w:rsid w:val="005225EC"/>
    <w:rsid w:val="00525097"/>
    <w:rsid w:val="005509B6"/>
    <w:rsid w:val="00556BC0"/>
    <w:rsid w:val="00571235"/>
    <w:rsid w:val="00577A36"/>
    <w:rsid w:val="00580CF2"/>
    <w:rsid w:val="005B398E"/>
    <w:rsid w:val="005C03A7"/>
    <w:rsid w:val="005C5330"/>
    <w:rsid w:val="005F1F5F"/>
    <w:rsid w:val="00632C10"/>
    <w:rsid w:val="006400EB"/>
    <w:rsid w:val="00690698"/>
    <w:rsid w:val="006D79F5"/>
    <w:rsid w:val="006E03DA"/>
    <w:rsid w:val="006E4A4B"/>
    <w:rsid w:val="006E5107"/>
    <w:rsid w:val="006F370E"/>
    <w:rsid w:val="00703106"/>
    <w:rsid w:val="007459AE"/>
    <w:rsid w:val="007531A5"/>
    <w:rsid w:val="00767F7A"/>
    <w:rsid w:val="00771C9E"/>
    <w:rsid w:val="007B770F"/>
    <w:rsid w:val="007E224F"/>
    <w:rsid w:val="00813DC2"/>
    <w:rsid w:val="0082045E"/>
    <w:rsid w:val="008222A3"/>
    <w:rsid w:val="008446A5"/>
    <w:rsid w:val="00865D9D"/>
    <w:rsid w:val="00876489"/>
    <w:rsid w:val="00883D3C"/>
    <w:rsid w:val="00886CF2"/>
    <w:rsid w:val="008D3879"/>
    <w:rsid w:val="008F19AC"/>
    <w:rsid w:val="008F3462"/>
    <w:rsid w:val="009237A6"/>
    <w:rsid w:val="00933981"/>
    <w:rsid w:val="00935932"/>
    <w:rsid w:val="009547DC"/>
    <w:rsid w:val="00965424"/>
    <w:rsid w:val="00993CB7"/>
    <w:rsid w:val="00994877"/>
    <w:rsid w:val="009C3BFE"/>
    <w:rsid w:val="009D0EE3"/>
    <w:rsid w:val="009E3220"/>
    <w:rsid w:val="009F40B9"/>
    <w:rsid w:val="009F4DD3"/>
    <w:rsid w:val="00A21512"/>
    <w:rsid w:val="00A2494D"/>
    <w:rsid w:val="00A536A1"/>
    <w:rsid w:val="00A675DF"/>
    <w:rsid w:val="00AB0B7D"/>
    <w:rsid w:val="00AD5F2F"/>
    <w:rsid w:val="00AF5ECD"/>
    <w:rsid w:val="00B6198C"/>
    <w:rsid w:val="00B858D5"/>
    <w:rsid w:val="00BA2C89"/>
    <w:rsid w:val="00BA2D2D"/>
    <w:rsid w:val="00BB2ADA"/>
    <w:rsid w:val="00BF3867"/>
    <w:rsid w:val="00C138C6"/>
    <w:rsid w:val="00CB06FB"/>
    <w:rsid w:val="00CB63C5"/>
    <w:rsid w:val="00D0179C"/>
    <w:rsid w:val="00D16F12"/>
    <w:rsid w:val="00D30EED"/>
    <w:rsid w:val="00D31C2F"/>
    <w:rsid w:val="00D33BD4"/>
    <w:rsid w:val="00DC7881"/>
    <w:rsid w:val="00E04751"/>
    <w:rsid w:val="00E126C3"/>
    <w:rsid w:val="00E343A6"/>
    <w:rsid w:val="00E443AC"/>
    <w:rsid w:val="00E44D51"/>
    <w:rsid w:val="00E47A1E"/>
    <w:rsid w:val="00E7105F"/>
    <w:rsid w:val="00E7792F"/>
    <w:rsid w:val="00EC2029"/>
    <w:rsid w:val="00EE37EC"/>
    <w:rsid w:val="00EF2DFA"/>
    <w:rsid w:val="00EF5094"/>
    <w:rsid w:val="00F313F6"/>
    <w:rsid w:val="00F5012D"/>
    <w:rsid w:val="00F62B8B"/>
    <w:rsid w:val="00F639A5"/>
    <w:rsid w:val="00F73093"/>
    <w:rsid w:val="00FA3D05"/>
    <w:rsid w:val="00FA5CC9"/>
    <w:rsid w:val="00FB0A2C"/>
    <w:rsid w:val="00FC59F1"/>
    <w:rsid w:val="00FE7B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57D21"/>
  <w15:chartTrackingRefBased/>
  <w15:docId w15:val="{05D5C5BF-C1BE-4BBC-8008-17BA6A01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9A5"/>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1">
    <w:name w:val="heading 1"/>
    <w:basedOn w:val="a"/>
    <w:next w:val="a"/>
    <w:link w:val="10"/>
    <w:uiPriority w:val="9"/>
    <w:qFormat/>
    <w:rsid w:val="00303A40"/>
    <w:pPr>
      <w:numPr>
        <w:numId w:val="40"/>
      </w:numPr>
      <w:suppressAutoHyphens w:val="0"/>
      <w:spacing w:before="240" w:after="60" w:line="240" w:lineRule="exact"/>
      <w:outlineLvl w:val="0"/>
    </w:pPr>
    <w:rPr>
      <w:rFonts w:ascii="Arial" w:eastAsia="Times New Roman" w:hAnsi="Arial"/>
      <w:b/>
      <w:bCs/>
      <w:color w:val="365F91"/>
      <w:kern w:val="32"/>
      <w:sz w:val="32"/>
      <w:szCs w:val="28"/>
      <w:lang w:val="fr-FR"/>
    </w:rPr>
  </w:style>
  <w:style w:type="paragraph" w:styleId="2">
    <w:name w:val="heading 2"/>
    <w:basedOn w:val="a"/>
    <w:next w:val="a"/>
    <w:link w:val="20"/>
    <w:uiPriority w:val="9"/>
    <w:unhideWhenUsed/>
    <w:qFormat/>
    <w:rsid w:val="00303A40"/>
    <w:pPr>
      <w:numPr>
        <w:ilvl w:val="1"/>
        <w:numId w:val="40"/>
      </w:numPr>
      <w:suppressAutoHyphens w:val="0"/>
      <w:spacing w:before="240" w:after="60" w:line="240" w:lineRule="exact"/>
      <w:outlineLvl w:val="1"/>
    </w:pPr>
    <w:rPr>
      <w:rFonts w:ascii="Arial" w:eastAsia="Times New Roman" w:hAnsi="Arial"/>
      <w:b/>
      <w:bCs/>
      <w:i/>
      <w:color w:val="4F81BD"/>
      <w:sz w:val="28"/>
      <w:szCs w:val="26"/>
      <w:lang w:val="fr-FR"/>
    </w:rPr>
  </w:style>
  <w:style w:type="paragraph" w:styleId="3">
    <w:name w:val="heading 3"/>
    <w:basedOn w:val="a"/>
    <w:next w:val="a"/>
    <w:link w:val="30"/>
    <w:uiPriority w:val="9"/>
    <w:unhideWhenUsed/>
    <w:qFormat/>
    <w:rsid w:val="00303A40"/>
    <w:pPr>
      <w:numPr>
        <w:ilvl w:val="2"/>
        <w:numId w:val="40"/>
      </w:numPr>
      <w:suppressAutoHyphens w:val="0"/>
      <w:spacing w:before="240" w:after="60" w:line="240" w:lineRule="exact"/>
      <w:outlineLvl w:val="2"/>
    </w:pPr>
    <w:rPr>
      <w:rFonts w:ascii="Arial" w:eastAsia="Times New Roman" w:hAnsi="Arial"/>
      <w:b/>
      <w:bCs/>
      <w:color w:val="4F81BD"/>
      <w:sz w:val="26"/>
      <w:szCs w:val="22"/>
      <w:lang w:val="fr-FR"/>
    </w:rPr>
  </w:style>
  <w:style w:type="paragraph" w:styleId="4">
    <w:name w:val="heading 4"/>
    <w:basedOn w:val="a"/>
    <w:next w:val="a"/>
    <w:link w:val="40"/>
    <w:uiPriority w:val="9"/>
    <w:unhideWhenUsed/>
    <w:rsid w:val="00303A40"/>
    <w:pPr>
      <w:keepNext/>
      <w:keepLines/>
      <w:numPr>
        <w:ilvl w:val="3"/>
        <w:numId w:val="40"/>
      </w:numPr>
      <w:suppressAutoHyphens w:val="0"/>
      <w:spacing w:before="200" w:line="240" w:lineRule="exact"/>
      <w:outlineLvl w:val="3"/>
    </w:pPr>
    <w:rPr>
      <w:rFonts w:ascii="Cambria" w:eastAsia="Times New Roman" w:hAnsi="Cambria"/>
      <w:b/>
      <w:bCs/>
      <w:i/>
      <w:iCs/>
      <w:color w:val="4F81BD"/>
      <w:szCs w:val="22"/>
      <w:lang w:val="fr-FR"/>
    </w:rPr>
  </w:style>
  <w:style w:type="paragraph" w:styleId="5">
    <w:name w:val="heading 5"/>
    <w:basedOn w:val="a"/>
    <w:next w:val="a"/>
    <w:link w:val="50"/>
    <w:uiPriority w:val="9"/>
    <w:unhideWhenUsed/>
    <w:rsid w:val="00303A40"/>
    <w:pPr>
      <w:keepNext/>
      <w:keepLines/>
      <w:numPr>
        <w:ilvl w:val="4"/>
        <w:numId w:val="40"/>
      </w:numPr>
      <w:suppressAutoHyphens w:val="0"/>
      <w:spacing w:before="200" w:line="240" w:lineRule="exact"/>
      <w:outlineLvl w:val="4"/>
    </w:pPr>
    <w:rPr>
      <w:rFonts w:ascii="Cambria" w:eastAsia="Times New Roman" w:hAnsi="Cambria"/>
      <w:color w:val="243F60"/>
      <w:szCs w:val="22"/>
      <w:lang w:val="fr-FR"/>
    </w:rPr>
  </w:style>
  <w:style w:type="paragraph" w:styleId="6">
    <w:name w:val="heading 6"/>
    <w:basedOn w:val="a"/>
    <w:next w:val="a"/>
    <w:link w:val="60"/>
    <w:uiPriority w:val="9"/>
    <w:unhideWhenUsed/>
    <w:rsid w:val="00303A40"/>
    <w:pPr>
      <w:keepNext/>
      <w:keepLines/>
      <w:numPr>
        <w:ilvl w:val="5"/>
        <w:numId w:val="40"/>
      </w:numPr>
      <w:suppressAutoHyphens w:val="0"/>
      <w:spacing w:before="200" w:line="240" w:lineRule="exact"/>
      <w:outlineLvl w:val="5"/>
    </w:pPr>
    <w:rPr>
      <w:rFonts w:ascii="Cambria" w:eastAsia="Times New Roman" w:hAnsi="Cambria"/>
      <w:i/>
      <w:iCs/>
      <w:color w:val="243F60"/>
      <w:szCs w:val="22"/>
      <w:lang w:val="fr-FR"/>
    </w:rPr>
  </w:style>
  <w:style w:type="paragraph" w:styleId="7">
    <w:name w:val="heading 7"/>
    <w:basedOn w:val="a"/>
    <w:next w:val="a"/>
    <w:link w:val="70"/>
    <w:uiPriority w:val="9"/>
    <w:semiHidden/>
    <w:unhideWhenUsed/>
    <w:rsid w:val="00303A40"/>
    <w:pPr>
      <w:keepNext/>
      <w:keepLines/>
      <w:numPr>
        <w:ilvl w:val="6"/>
        <w:numId w:val="40"/>
      </w:numPr>
      <w:suppressAutoHyphens w:val="0"/>
      <w:spacing w:before="200" w:line="240" w:lineRule="exact"/>
      <w:outlineLvl w:val="6"/>
    </w:pPr>
    <w:rPr>
      <w:rFonts w:ascii="Cambria" w:eastAsia="Times New Roman" w:hAnsi="Cambria"/>
      <w:i/>
      <w:iCs/>
      <w:color w:val="404040"/>
      <w:szCs w:val="22"/>
      <w:lang w:val="fr-FR"/>
    </w:rPr>
  </w:style>
  <w:style w:type="paragraph" w:styleId="8">
    <w:name w:val="heading 8"/>
    <w:basedOn w:val="a"/>
    <w:next w:val="a"/>
    <w:link w:val="80"/>
    <w:uiPriority w:val="9"/>
    <w:semiHidden/>
    <w:unhideWhenUsed/>
    <w:qFormat/>
    <w:rsid w:val="00303A40"/>
    <w:pPr>
      <w:keepNext/>
      <w:keepLines/>
      <w:numPr>
        <w:ilvl w:val="7"/>
        <w:numId w:val="40"/>
      </w:numPr>
      <w:suppressAutoHyphens w:val="0"/>
      <w:spacing w:before="200" w:line="240" w:lineRule="exact"/>
      <w:outlineLvl w:val="7"/>
    </w:pPr>
    <w:rPr>
      <w:rFonts w:ascii="Cambria" w:eastAsia="Times New Roman" w:hAnsi="Cambria"/>
      <w:color w:val="404040"/>
      <w:lang w:val="fr-FR"/>
    </w:rPr>
  </w:style>
  <w:style w:type="paragraph" w:styleId="9">
    <w:name w:val="heading 9"/>
    <w:basedOn w:val="a"/>
    <w:next w:val="a"/>
    <w:link w:val="90"/>
    <w:uiPriority w:val="9"/>
    <w:semiHidden/>
    <w:unhideWhenUsed/>
    <w:qFormat/>
    <w:rsid w:val="00303A40"/>
    <w:pPr>
      <w:keepNext/>
      <w:keepLines/>
      <w:numPr>
        <w:ilvl w:val="8"/>
        <w:numId w:val="40"/>
      </w:numPr>
      <w:suppressAutoHyphens w:val="0"/>
      <w:spacing w:before="200" w:line="240" w:lineRule="exact"/>
      <w:outlineLvl w:val="8"/>
    </w:pPr>
    <w:rPr>
      <w:rFonts w:ascii="Cambria" w:eastAsia="Times New Roman" w:hAnsi="Cambria"/>
      <w:i/>
      <w:iCs/>
      <w:color w:val="40404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303A40"/>
    <w:pPr>
      <w:keepNext/>
      <w:keepLines/>
      <w:spacing w:line="270" w:lineRule="exact"/>
      <w:outlineLvl w:val="0"/>
    </w:pPr>
    <w:rPr>
      <w:rFonts w:eastAsia="Calibri"/>
      <w:b/>
      <w:sz w:val="24"/>
      <w:szCs w:val="22"/>
      <w:lang w:val="fr-FR"/>
    </w:rPr>
  </w:style>
  <w:style w:type="paragraph" w:customStyle="1" w:styleId="HCH">
    <w:name w:val="_ H _CH"/>
    <w:basedOn w:val="H1"/>
    <w:next w:val="a"/>
    <w:qFormat/>
    <w:rsid w:val="00303A40"/>
    <w:pPr>
      <w:spacing w:line="300" w:lineRule="exact"/>
    </w:pPr>
    <w:rPr>
      <w:spacing w:val="-2"/>
      <w:sz w:val="28"/>
    </w:rPr>
  </w:style>
  <w:style w:type="paragraph" w:customStyle="1" w:styleId="HM">
    <w:name w:val="_ H __M"/>
    <w:basedOn w:val="HCH"/>
    <w:next w:val="a"/>
    <w:qFormat/>
    <w:rsid w:val="00303A40"/>
    <w:pPr>
      <w:spacing w:line="360" w:lineRule="exact"/>
    </w:pPr>
    <w:rPr>
      <w:spacing w:val="-3"/>
      <w:w w:val="99"/>
      <w:sz w:val="34"/>
    </w:rPr>
  </w:style>
  <w:style w:type="paragraph" w:customStyle="1" w:styleId="H23">
    <w:name w:val="_ H_2/3"/>
    <w:basedOn w:val="H1"/>
    <w:next w:val="a"/>
    <w:qFormat/>
    <w:rsid w:val="00303A40"/>
    <w:pPr>
      <w:spacing w:line="240" w:lineRule="exact"/>
      <w:outlineLvl w:val="1"/>
    </w:pPr>
    <w:rPr>
      <w:spacing w:val="2"/>
      <w:sz w:val="20"/>
    </w:rPr>
  </w:style>
  <w:style w:type="paragraph" w:customStyle="1" w:styleId="H4">
    <w:name w:val="_ H_4"/>
    <w:basedOn w:val="a"/>
    <w:next w:val="a"/>
    <w:qFormat/>
    <w:rsid w:val="00303A40"/>
    <w:pPr>
      <w:keepNext/>
      <w:keepLines/>
      <w:tabs>
        <w:tab w:val="right" w:pos="360"/>
      </w:tabs>
      <w:spacing w:line="240" w:lineRule="exact"/>
      <w:outlineLvl w:val="3"/>
    </w:pPr>
    <w:rPr>
      <w:rFonts w:eastAsia="Calibri"/>
      <w:i/>
      <w:spacing w:val="3"/>
      <w:szCs w:val="22"/>
      <w:lang w:val="fr-FR"/>
    </w:rPr>
  </w:style>
  <w:style w:type="paragraph" w:customStyle="1" w:styleId="H56">
    <w:name w:val="_ H_5/6"/>
    <w:basedOn w:val="a"/>
    <w:next w:val="a"/>
    <w:qFormat/>
    <w:rsid w:val="00303A40"/>
    <w:pPr>
      <w:keepNext/>
      <w:keepLines/>
      <w:tabs>
        <w:tab w:val="right" w:pos="360"/>
      </w:tabs>
      <w:spacing w:line="240" w:lineRule="exact"/>
      <w:outlineLvl w:val="4"/>
    </w:pPr>
    <w:rPr>
      <w:rFonts w:ascii="marge tawagan" w:eastAsia="Calibri" w:hAnsi="marge tawagan"/>
      <w:szCs w:val="22"/>
      <w:lang w:val="fr-FR"/>
    </w:rPr>
  </w:style>
  <w:style w:type="paragraph" w:customStyle="1" w:styleId="DualTxt">
    <w:name w:val="__Dual Txt"/>
    <w:basedOn w:val="a"/>
    <w:qFormat/>
    <w:rsid w:val="00303A40"/>
    <w:pPr>
      <w:tabs>
        <w:tab w:val="left" w:pos="475"/>
        <w:tab w:val="left" w:pos="965"/>
        <w:tab w:val="left" w:pos="1440"/>
        <w:tab w:val="left" w:pos="1915"/>
        <w:tab w:val="left" w:pos="2405"/>
        <w:tab w:val="left" w:pos="2880"/>
        <w:tab w:val="left" w:pos="3355"/>
      </w:tabs>
      <w:suppressAutoHyphens w:val="0"/>
      <w:spacing w:after="120" w:line="240" w:lineRule="exact"/>
      <w:jc w:val="both"/>
    </w:pPr>
    <w:rPr>
      <w:rFonts w:eastAsia="Calibri"/>
      <w:szCs w:val="22"/>
      <w:lang w:val="fr-FR"/>
    </w:rPr>
  </w:style>
  <w:style w:type="paragraph" w:customStyle="1" w:styleId="SM">
    <w:name w:val="__S_M"/>
    <w:basedOn w:val="a"/>
    <w:next w:val="a"/>
    <w:qFormat/>
    <w:rsid w:val="00303A40"/>
    <w:pPr>
      <w:keepNext/>
      <w:keepLines/>
      <w:tabs>
        <w:tab w:val="right" w:pos="360"/>
      </w:tabs>
      <w:spacing w:line="390" w:lineRule="exact"/>
      <w:ind w:left="1267" w:right="1267"/>
      <w:outlineLvl w:val="0"/>
    </w:pPr>
    <w:rPr>
      <w:rFonts w:eastAsia="Calibri"/>
      <w:b/>
      <w:spacing w:val="-4"/>
      <w:w w:val="98"/>
      <w:sz w:val="40"/>
      <w:szCs w:val="22"/>
      <w:lang w:val="fr-FR"/>
    </w:rPr>
  </w:style>
  <w:style w:type="paragraph" w:customStyle="1" w:styleId="SL">
    <w:name w:val="__S_L"/>
    <w:basedOn w:val="SM"/>
    <w:next w:val="a"/>
    <w:qFormat/>
    <w:rsid w:val="00303A40"/>
    <w:pPr>
      <w:spacing w:line="540" w:lineRule="exact"/>
    </w:pPr>
    <w:rPr>
      <w:spacing w:val="-8"/>
      <w:w w:val="96"/>
      <w:sz w:val="57"/>
    </w:rPr>
  </w:style>
  <w:style w:type="paragraph" w:customStyle="1" w:styleId="SS">
    <w:name w:val="__S_S"/>
    <w:basedOn w:val="HCH"/>
    <w:next w:val="a"/>
    <w:qFormat/>
    <w:rsid w:val="00303A40"/>
    <w:pPr>
      <w:ind w:left="1267" w:right="1267"/>
    </w:pPr>
  </w:style>
  <w:style w:type="paragraph" w:customStyle="1" w:styleId="SingleTxt">
    <w:name w:val="__Single Txt"/>
    <w:basedOn w:val="a"/>
    <w:qFormat/>
    <w:rsid w:val="00303A4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4" w:right="1264"/>
      <w:jc w:val="both"/>
    </w:pPr>
    <w:rPr>
      <w:rFonts w:eastAsia="Calibri"/>
      <w:szCs w:val="22"/>
      <w:lang w:val="fr-FR"/>
    </w:rPr>
  </w:style>
  <w:style w:type="paragraph" w:customStyle="1" w:styleId="AgendaItemNormal">
    <w:name w:val="Agenda_Item_Normal"/>
    <w:next w:val="a"/>
    <w:autoRedefine/>
    <w:qFormat/>
    <w:rsid w:val="00303A40"/>
    <w:pPr>
      <w:spacing w:after="0" w:line="240" w:lineRule="exact"/>
    </w:pPr>
    <w:rPr>
      <w:rFonts w:ascii="Times New Roman" w:eastAsia="Calibri" w:hAnsi="Times New Roman" w:cs="Times New Roman"/>
      <w:spacing w:val="4"/>
      <w:w w:val="103"/>
      <w:kern w:val="14"/>
      <w:sz w:val="20"/>
      <w:lang w:val="fr-CA" w:eastAsia="en-US"/>
    </w:rPr>
  </w:style>
  <w:style w:type="paragraph" w:customStyle="1" w:styleId="TitleH1">
    <w:name w:val="Title_H1"/>
    <w:basedOn w:val="H1"/>
    <w:next w:val="SingleTxt"/>
    <w:qFormat/>
    <w:rsid w:val="00303A4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a"/>
    <w:qFormat/>
    <w:rsid w:val="00303A40"/>
    <w:pPr>
      <w:keepNext/>
      <w:keepLines/>
      <w:spacing w:line="240" w:lineRule="exact"/>
      <w:ind w:left="0" w:right="0" w:firstLine="0"/>
      <w:outlineLvl w:val="1"/>
    </w:pPr>
    <w:rPr>
      <w:sz w:val="20"/>
    </w:rPr>
  </w:style>
  <w:style w:type="paragraph" w:styleId="a3">
    <w:name w:val="Balloon Text"/>
    <w:basedOn w:val="a"/>
    <w:link w:val="a4"/>
    <w:uiPriority w:val="99"/>
    <w:semiHidden/>
    <w:unhideWhenUsed/>
    <w:rsid w:val="00303A40"/>
    <w:pPr>
      <w:suppressAutoHyphens w:val="0"/>
      <w:spacing w:line="240" w:lineRule="auto"/>
    </w:pPr>
    <w:rPr>
      <w:rFonts w:ascii="Tahoma" w:eastAsia="Calibri" w:hAnsi="Tahoma" w:cs="Tahoma"/>
      <w:sz w:val="16"/>
      <w:szCs w:val="16"/>
      <w:lang w:val="fr-FR"/>
    </w:rPr>
  </w:style>
  <w:style w:type="character" w:customStyle="1" w:styleId="a4">
    <w:name w:val="吹き出し (文字)"/>
    <w:link w:val="a3"/>
    <w:uiPriority w:val="99"/>
    <w:semiHidden/>
    <w:rsid w:val="00303A40"/>
    <w:rPr>
      <w:rFonts w:ascii="Tahoma" w:eastAsia="Calibri" w:hAnsi="Tahoma" w:cs="Tahoma"/>
      <w:spacing w:val="4"/>
      <w:w w:val="103"/>
      <w:kern w:val="14"/>
      <w:sz w:val="16"/>
      <w:szCs w:val="16"/>
      <w:lang w:val="fr-FR" w:eastAsia="en-US"/>
    </w:rPr>
  </w:style>
  <w:style w:type="paragraph" w:customStyle="1" w:styleId="Bullet1">
    <w:name w:val="Bullet 1"/>
    <w:basedOn w:val="a"/>
    <w:qFormat/>
    <w:rsid w:val="00303A40"/>
    <w:pPr>
      <w:numPr>
        <w:numId w:val="29"/>
      </w:numPr>
      <w:suppressAutoHyphens w:val="0"/>
      <w:spacing w:after="120" w:line="240" w:lineRule="exact"/>
      <w:ind w:right="1267"/>
      <w:jc w:val="both"/>
    </w:pPr>
    <w:rPr>
      <w:rFonts w:eastAsia="Calibri"/>
      <w:szCs w:val="22"/>
      <w:lang w:val="fr-FR"/>
    </w:rPr>
  </w:style>
  <w:style w:type="paragraph" w:customStyle="1" w:styleId="Bullet2">
    <w:name w:val="Bullet 2"/>
    <w:basedOn w:val="a"/>
    <w:qFormat/>
    <w:rsid w:val="00303A40"/>
    <w:pPr>
      <w:numPr>
        <w:numId w:val="30"/>
      </w:numPr>
      <w:suppressAutoHyphens w:val="0"/>
      <w:spacing w:after="120" w:line="240" w:lineRule="exact"/>
      <w:ind w:right="1264"/>
      <w:jc w:val="both"/>
    </w:pPr>
    <w:rPr>
      <w:rFonts w:eastAsia="Calibri"/>
      <w:szCs w:val="22"/>
      <w:lang w:val="fr-FR"/>
    </w:rPr>
  </w:style>
  <w:style w:type="paragraph" w:customStyle="1" w:styleId="Bullet3">
    <w:name w:val="Bullet 3"/>
    <w:basedOn w:val="SingleTxt"/>
    <w:qFormat/>
    <w:rsid w:val="00303A40"/>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a"/>
    <w:autoRedefine/>
    <w:qFormat/>
    <w:rsid w:val="00303A40"/>
    <w:pPr>
      <w:spacing w:before="240" w:after="0" w:line="240" w:lineRule="auto"/>
    </w:pPr>
    <w:rPr>
      <w:rFonts w:ascii="Times New Roman" w:eastAsia="Calibri" w:hAnsi="Times New Roman" w:cs="Times New Roman"/>
      <w:spacing w:val="4"/>
      <w:w w:val="103"/>
      <w:kern w:val="14"/>
      <w:sz w:val="20"/>
      <w:lang w:val="en-US" w:eastAsia="en-US"/>
    </w:rPr>
  </w:style>
  <w:style w:type="character" w:styleId="a5">
    <w:name w:val="endnote reference"/>
    <w:uiPriority w:val="99"/>
    <w:semiHidden/>
    <w:rsid w:val="00303A40"/>
    <w:rPr>
      <w:color w:val="auto"/>
      <w:spacing w:val="5"/>
      <w:w w:val="103"/>
      <w:kern w:val="14"/>
      <w:position w:val="0"/>
      <w:vertAlign w:val="superscript"/>
    </w:rPr>
  </w:style>
  <w:style w:type="paragraph" w:styleId="a6">
    <w:name w:val="endnote text"/>
    <w:basedOn w:val="a"/>
    <w:link w:val="a7"/>
    <w:uiPriority w:val="99"/>
    <w:semiHidden/>
    <w:unhideWhenUsed/>
    <w:rsid w:val="00303A40"/>
    <w:pPr>
      <w:suppressAutoHyphens w:val="0"/>
      <w:spacing w:line="210" w:lineRule="exact"/>
    </w:pPr>
    <w:rPr>
      <w:rFonts w:eastAsia="Calibri"/>
      <w:sz w:val="17"/>
      <w:lang w:val="fr-FR"/>
    </w:rPr>
  </w:style>
  <w:style w:type="character" w:customStyle="1" w:styleId="a7">
    <w:name w:val="文末脚注文字列 (文字)"/>
    <w:link w:val="a6"/>
    <w:uiPriority w:val="99"/>
    <w:semiHidden/>
    <w:rsid w:val="00303A40"/>
    <w:rPr>
      <w:rFonts w:ascii="Times New Roman" w:eastAsia="Calibri" w:hAnsi="Times New Roman" w:cs="Times New Roman"/>
      <w:spacing w:val="4"/>
      <w:w w:val="103"/>
      <w:kern w:val="14"/>
      <w:sz w:val="17"/>
      <w:szCs w:val="20"/>
      <w:lang w:val="fr-FR" w:eastAsia="en-US"/>
    </w:rPr>
  </w:style>
  <w:style w:type="paragraph" w:styleId="a8">
    <w:name w:val="footer"/>
    <w:link w:val="a9"/>
    <w:qFormat/>
    <w:rsid w:val="00303A40"/>
    <w:pPr>
      <w:tabs>
        <w:tab w:val="center" w:pos="4320"/>
        <w:tab w:val="right" w:pos="8640"/>
      </w:tabs>
      <w:spacing w:after="0" w:line="210" w:lineRule="exact"/>
    </w:pPr>
    <w:rPr>
      <w:rFonts w:ascii="Times New Roman" w:eastAsia="Calibri" w:hAnsi="Times New Roman" w:cs="Times New Roman"/>
      <w:b/>
      <w:spacing w:val="3"/>
      <w:w w:val="105"/>
      <w:sz w:val="17"/>
      <w:lang w:val="en-US" w:eastAsia="en-US"/>
    </w:rPr>
  </w:style>
  <w:style w:type="character" w:customStyle="1" w:styleId="a9">
    <w:name w:val="フッター (文字)"/>
    <w:link w:val="a8"/>
    <w:rsid w:val="00303A40"/>
    <w:rPr>
      <w:rFonts w:ascii="Times New Roman" w:eastAsia="Calibri" w:hAnsi="Times New Roman" w:cs="Times New Roman"/>
      <w:b/>
      <w:spacing w:val="3"/>
      <w:w w:val="105"/>
      <w:sz w:val="17"/>
      <w:lang w:val="en-US" w:eastAsia="en-US"/>
    </w:rPr>
  </w:style>
  <w:style w:type="character" w:styleId="aa">
    <w:name w:val="footnote reference"/>
    <w:uiPriority w:val="99"/>
    <w:semiHidden/>
    <w:rsid w:val="00303A40"/>
    <w:rPr>
      <w:color w:val="auto"/>
      <w:spacing w:val="5"/>
      <w:w w:val="103"/>
      <w:kern w:val="14"/>
      <w:position w:val="0"/>
      <w:vertAlign w:val="superscript"/>
    </w:rPr>
  </w:style>
  <w:style w:type="paragraph" w:styleId="ab">
    <w:name w:val="footnote text"/>
    <w:basedOn w:val="a"/>
    <w:link w:val="ac"/>
    <w:uiPriority w:val="99"/>
    <w:rsid w:val="00303A40"/>
    <w:pPr>
      <w:suppressAutoHyphens w:val="0"/>
      <w:spacing w:line="210" w:lineRule="exact"/>
    </w:pPr>
    <w:rPr>
      <w:rFonts w:eastAsia="Calibri"/>
      <w:sz w:val="17"/>
      <w:lang w:val="fr-FR"/>
    </w:rPr>
  </w:style>
  <w:style w:type="character" w:customStyle="1" w:styleId="ac">
    <w:name w:val="脚注文字列 (文字)"/>
    <w:link w:val="ab"/>
    <w:uiPriority w:val="99"/>
    <w:rsid w:val="00303A40"/>
    <w:rPr>
      <w:rFonts w:ascii="Times New Roman" w:eastAsia="Calibri" w:hAnsi="Times New Roman" w:cs="Times New Roman"/>
      <w:spacing w:val="4"/>
      <w:w w:val="103"/>
      <w:kern w:val="14"/>
      <w:sz w:val="17"/>
      <w:szCs w:val="20"/>
      <w:lang w:val="fr-FR" w:eastAsia="en-US"/>
    </w:rPr>
  </w:style>
  <w:style w:type="paragraph" w:styleId="ad">
    <w:name w:val="header"/>
    <w:link w:val="ae"/>
    <w:uiPriority w:val="99"/>
    <w:rsid w:val="00303A40"/>
    <w:pPr>
      <w:tabs>
        <w:tab w:val="center" w:pos="4320"/>
        <w:tab w:val="right" w:pos="8640"/>
      </w:tabs>
      <w:spacing w:after="0" w:line="210" w:lineRule="exact"/>
    </w:pPr>
    <w:rPr>
      <w:rFonts w:ascii="Times New Roman" w:eastAsia="Calibri" w:hAnsi="Times New Roman" w:cs="Times New Roman"/>
      <w:spacing w:val="3"/>
      <w:w w:val="105"/>
      <w:sz w:val="17"/>
      <w:lang w:val="en-US" w:eastAsia="en-US"/>
    </w:rPr>
  </w:style>
  <w:style w:type="character" w:customStyle="1" w:styleId="ae">
    <w:name w:val="ヘッダー (文字)"/>
    <w:link w:val="ad"/>
    <w:uiPriority w:val="99"/>
    <w:rsid w:val="00303A40"/>
    <w:rPr>
      <w:rFonts w:ascii="Times New Roman" w:eastAsia="Calibri" w:hAnsi="Times New Roman" w:cs="Times New Roman"/>
      <w:spacing w:val="3"/>
      <w:w w:val="105"/>
      <w:sz w:val="17"/>
      <w:lang w:val="en-US" w:eastAsia="en-US"/>
    </w:rPr>
  </w:style>
  <w:style w:type="character" w:customStyle="1" w:styleId="10">
    <w:name w:val="見出し 1 (文字)"/>
    <w:link w:val="1"/>
    <w:uiPriority w:val="9"/>
    <w:rsid w:val="00303A40"/>
    <w:rPr>
      <w:rFonts w:ascii="Arial" w:eastAsia="Times New Roman" w:hAnsi="Arial" w:cs="Times New Roman"/>
      <w:b/>
      <w:bCs/>
      <w:color w:val="365F91"/>
      <w:spacing w:val="4"/>
      <w:w w:val="103"/>
      <w:kern w:val="32"/>
      <w:sz w:val="32"/>
      <w:szCs w:val="28"/>
      <w:lang w:val="fr-FR" w:eastAsia="en-US"/>
    </w:rPr>
  </w:style>
  <w:style w:type="character" w:customStyle="1" w:styleId="20">
    <w:name w:val="見出し 2 (文字)"/>
    <w:link w:val="2"/>
    <w:uiPriority w:val="9"/>
    <w:rsid w:val="00303A40"/>
    <w:rPr>
      <w:rFonts w:ascii="Arial" w:eastAsia="Times New Roman" w:hAnsi="Arial" w:cs="Times New Roman"/>
      <w:b/>
      <w:bCs/>
      <w:i/>
      <w:color w:val="4F81BD"/>
      <w:spacing w:val="4"/>
      <w:w w:val="103"/>
      <w:kern w:val="14"/>
      <w:sz w:val="28"/>
      <w:szCs w:val="26"/>
      <w:lang w:val="fr-FR" w:eastAsia="en-US"/>
    </w:rPr>
  </w:style>
  <w:style w:type="character" w:customStyle="1" w:styleId="30">
    <w:name w:val="見出し 3 (文字)"/>
    <w:link w:val="3"/>
    <w:uiPriority w:val="9"/>
    <w:rsid w:val="00303A40"/>
    <w:rPr>
      <w:rFonts w:ascii="Arial" w:eastAsia="Times New Roman" w:hAnsi="Arial" w:cs="Times New Roman"/>
      <w:b/>
      <w:bCs/>
      <w:color w:val="4F81BD"/>
      <w:spacing w:val="4"/>
      <w:w w:val="103"/>
      <w:kern w:val="14"/>
      <w:sz w:val="26"/>
      <w:lang w:val="fr-FR" w:eastAsia="en-US"/>
    </w:rPr>
  </w:style>
  <w:style w:type="character" w:customStyle="1" w:styleId="40">
    <w:name w:val="見出し 4 (文字)"/>
    <w:link w:val="4"/>
    <w:uiPriority w:val="9"/>
    <w:rsid w:val="00303A40"/>
    <w:rPr>
      <w:rFonts w:ascii="Cambria" w:eastAsia="Times New Roman" w:hAnsi="Cambria" w:cs="Times New Roman"/>
      <w:b/>
      <w:bCs/>
      <w:i/>
      <w:iCs/>
      <w:color w:val="4F81BD"/>
      <w:spacing w:val="4"/>
      <w:w w:val="103"/>
      <w:kern w:val="14"/>
      <w:sz w:val="20"/>
      <w:lang w:val="fr-FR" w:eastAsia="en-US"/>
    </w:rPr>
  </w:style>
  <w:style w:type="character" w:customStyle="1" w:styleId="50">
    <w:name w:val="見出し 5 (文字)"/>
    <w:link w:val="5"/>
    <w:uiPriority w:val="9"/>
    <w:rsid w:val="00303A40"/>
    <w:rPr>
      <w:rFonts w:ascii="Cambria" w:eastAsia="Times New Roman" w:hAnsi="Cambria" w:cs="Times New Roman"/>
      <w:color w:val="243F60"/>
      <w:spacing w:val="4"/>
      <w:w w:val="103"/>
      <w:kern w:val="14"/>
      <w:sz w:val="20"/>
      <w:lang w:val="fr-FR" w:eastAsia="en-US"/>
    </w:rPr>
  </w:style>
  <w:style w:type="character" w:customStyle="1" w:styleId="60">
    <w:name w:val="見出し 6 (文字)"/>
    <w:link w:val="6"/>
    <w:uiPriority w:val="9"/>
    <w:rsid w:val="00303A40"/>
    <w:rPr>
      <w:rFonts w:ascii="Cambria" w:eastAsia="Times New Roman" w:hAnsi="Cambria" w:cs="Times New Roman"/>
      <w:i/>
      <w:iCs/>
      <w:color w:val="243F60"/>
      <w:spacing w:val="4"/>
      <w:w w:val="103"/>
      <w:kern w:val="14"/>
      <w:sz w:val="20"/>
      <w:lang w:val="fr-FR" w:eastAsia="en-US"/>
    </w:rPr>
  </w:style>
  <w:style w:type="character" w:customStyle="1" w:styleId="70">
    <w:name w:val="見出し 7 (文字)"/>
    <w:link w:val="7"/>
    <w:uiPriority w:val="9"/>
    <w:semiHidden/>
    <w:rsid w:val="00303A40"/>
    <w:rPr>
      <w:rFonts w:ascii="Cambria" w:eastAsia="Times New Roman" w:hAnsi="Cambria" w:cs="Times New Roman"/>
      <w:i/>
      <w:iCs/>
      <w:color w:val="404040"/>
      <w:spacing w:val="4"/>
      <w:w w:val="103"/>
      <w:kern w:val="14"/>
      <w:sz w:val="20"/>
      <w:lang w:val="fr-FR" w:eastAsia="en-US"/>
    </w:rPr>
  </w:style>
  <w:style w:type="character" w:customStyle="1" w:styleId="80">
    <w:name w:val="見出し 8 (文字)"/>
    <w:link w:val="8"/>
    <w:uiPriority w:val="9"/>
    <w:semiHidden/>
    <w:rsid w:val="00303A40"/>
    <w:rPr>
      <w:rFonts w:ascii="Cambria" w:eastAsia="Times New Roman" w:hAnsi="Cambria" w:cs="Times New Roman"/>
      <w:color w:val="404040"/>
      <w:spacing w:val="4"/>
      <w:w w:val="103"/>
      <w:kern w:val="14"/>
      <w:sz w:val="20"/>
      <w:szCs w:val="20"/>
      <w:lang w:val="fr-FR" w:eastAsia="en-US"/>
    </w:rPr>
  </w:style>
  <w:style w:type="character" w:customStyle="1" w:styleId="90">
    <w:name w:val="見出し 9 (文字)"/>
    <w:link w:val="9"/>
    <w:uiPriority w:val="9"/>
    <w:semiHidden/>
    <w:rsid w:val="00303A40"/>
    <w:rPr>
      <w:rFonts w:ascii="Cambria" w:eastAsia="Times New Roman" w:hAnsi="Cambria" w:cs="Times New Roman"/>
      <w:i/>
      <w:iCs/>
      <w:color w:val="404040"/>
      <w:spacing w:val="4"/>
      <w:w w:val="103"/>
      <w:kern w:val="14"/>
      <w:sz w:val="20"/>
      <w:szCs w:val="20"/>
      <w:lang w:val="fr-FR" w:eastAsia="en-US"/>
    </w:rPr>
  </w:style>
  <w:style w:type="character" w:styleId="af">
    <w:name w:val="line number"/>
    <w:uiPriority w:val="99"/>
    <w:qFormat/>
    <w:rsid w:val="00303A40"/>
    <w:rPr>
      <w:sz w:val="14"/>
    </w:rPr>
  </w:style>
  <w:style w:type="paragraph" w:styleId="af0">
    <w:name w:val="List Paragraph"/>
    <w:basedOn w:val="a"/>
    <w:uiPriority w:val="34"/>
    <w:rsid w:val="00303A40"/>
    <w:pPr>
      <w:suppressAutoHyphens w:val="0"/>
      <w:spacing w:line="240" w:lineRule="exact"/>
      <w:ind w:left="720"/>
      <w:contextualSpacing/>
    </w:pPr>
    <w:rPr>
      <w:rFonts w:eastAsia="Calibri"/>
      <w:szCs w:val="22"/>
      <w:lang w:val="fr-FR"/>
    </w:rPr>
  </w:style>
  <w:style w:type="paragraph" w:styleId="af1">
    <w:name w:val="No Spacing"/>
    <w:uiPriority w:val="1"/>
    <w:rsid w:val="00303A40"/>
    <w:pPr>
      <w:spacing w:after="0" w:line="240" w:lineRule="auto"/>
    </w:pPr>
    <w:rPr>
      <w:rFonts w:ascii="Calibri" w:eastAsia="Calibri" w:hAnsi="Calibri" w:cs="Times New Roman"/>
      <w:lang w:val="en-US" w:eastAsia="en-US"/>
    </w:rPr>
  </w:style>
  <w:style w:type="paragraph" w:customStyle="1" w:styleId="Original">
    <w:name w:val="Original"/>
    <w:next w:val="a"/>
    <w:autoRedefine/>
    <w:qFormat/>
    <w:rsid w:val="00303A40"/>
    <w:pPr>
      <w:spacing w:after="0" w:line="240" w:lineRule="auto"/>
    </w:pPr>
    <w:rPr>
      <w:rFonts w:ascii="Times New Roman" w:eastAsia="Calibri" w:hAnsi="Times New Roman" w:cs="Times New Roman"/>
      <w:spacing w:val="4"/>
      <w:w w:val="103"/>
      <w:kern w:val="14"/>
      <w:sz w:val="20"/>
      <w:lang w:val="en-US" w:eastAsia="en-US"/>
    </w:rPr>
  </w:style>
  <w:style w:type="paragraph" w:customStyle="1" w:styleId="Publication">
    <w:name w:val="Publication"/>
    <w:next w:val="a"/>
    <w:autoRedefine/>
    <w:qFormat/>
    <w:rsid w:val="00303A40"/>
    <w:pPr>
      <w:spacing w:after="0" w:line="240" w:lineRule="auto"/>
    </w:pPr>
    <w:rPr>
      <w:rFonts w:ascii="Times New Roman" w:eastAsia="Calibri" w:hAnsi="Times New Roman" w:cs="Times New Roman"/>
      <w:spacing w:val="4"/>
      <w:w w:val="103"/>
      <w:kern w:val="14"/>
      <w:sz w:val="20"/>
      <w:lang w:val="en-US" w:eastAsia="en-US"/>
    </w:rPr>
  </w:style>
  <w:style w:type="paragraph" w:customStyle="1" w:styleId="ReleaseDate">
    <w:name w:val="Release Date"/>
    <w:next w:val="a"/>
    <w:autoRedefine/>
    <w:qFormat/>
    <w:rsid w:val="00303A40"/>
    <w:pPr>
      <w:spacing w:after="0" w:line="240" w:lineRule="auto"/>
    </w:pPr>
    <w:rPr>
      <w:rFonts w:ascii="Times New Roman" w:eastAsia="Calibri" w:hAnsi="Times New Roman" w:cs="Times New Roman"/>
      <w:spacing w:val="-3"/>
      <w:w w:val="99"/>
      <w:kern w:val="14"/>
      <w:sz w:val="20"/>
      <w:lang w:val="en-US" w:eastAsia="en-US"/>
    </w:rPr>
  </w:style>
  <w:style w:type="paragraph" w:customStyle="1" w:styleId="Small">
    <w:name w:val="Small"/>
    <w:basedOn w:val="a"/>
    <w:next w:val="a"/>
    <w:qFormat/>
    <w:rsid w:val="00303A40"/>
    <w:pPr>
      <w:tabs>
        <w:tab w:val="right" w:pos="9965"/>
      </w:tabs>
      <w:suppressAutoHyphens w:val="0"/>
      <w:spacing w:line="210" w:lineRule="exact"/>
    </w:pPr>
    <w:rPr>
      <w:rFonts w:eastAsia="Calibri"/>
      <w:spacing w:val="5"/>
      <w:w w:val="104"/>
      <w:sz w:val="17"/>
      <w:szCs w:val="22"/>
      <w:lang w:val="fr-FR"/>
    </w:rPr>
  </w:style>
  <w:style w:type="paragraph" w:customStyle="1" w:styleId="SmallX">
    <w:name w:val="SmallX"/>
    <w:basedOn w:val="Small"/>
    <w:next w:val="a"/>
    <w:qFormat/>
    <w:rsid w:val="00303A40"/>
    <w:pPr>
      <w:spacing w:line="180" w:lineRule="exact"/>
      <w:jc w:val="right"/>
    </w:pPr>
    <w:rPr>
      <w:spacing w:val="6"/>
      <w:w w:val="106"/>
      <w:sz w:val="14"/>
    </w:rPr>
  </w:style>
  <w:style w:type="character" w:styleId="af2">
    <w:name w:val="Strong"/>
    <w:uiPriority w:val="22"/>
    <w:rsid w:val="00303A40"/>
    <w:rPr>
      <w:b/>
      <w:bCs/>
    </w:rPr>
  </w:style>
  <w:style w:type="paragraph" w:customStyle="1" w:styleId="Style1">
    <w:name w:val="Style1"/>
    <w:basedOn w:val="a"/>
    <w:qFormat/>
    <w:rsid w:val="00303A40"/>
    <w:pPr>
      <w:suppressAutoHyphens w:val="0"/>
      <w:spacing w:line="240" w:lineRule="exact"/>
    </w:pPr>
    <w:rPr>
      <w:rFonts w:eastAsia="Calibri"/>
      <w:szCs w:val="22"/>
      <w:lang w:val="fr-FR"/>
    </w:rPr>
  </w:style>
  <w:style w:type="paragraph" w:customStyle="1" w:styleId="Style2">
    <w:name w:val="Style2"/>
    <w:basedOn w:val="a"/>
    <w:autoRedefine/>
    <w:qFormat/>
    <w:rsid w:val="00303A40"/>
    <w:pPr>
      <w:suppressAutoHyphens w:val="0"/>
      <w:spacing w:line="240" w:lineRule="exact"/>
    </w:pPr>
    <w:rPr>
      <w:rFonts w:eastAsia="Calibri"/>
      <w:szCs w:val="22"/>
      <w:lang w:val="fr-FR"/>
    </w:rPr>
  </w:style>
  <w:style w:type="paragraph" w:customStyle="1" w:styleId="TitleHCH">
    <w:name w:val="Title_H_CH"/>
    <w:basedOn w:val="HCH"/>
    <w:next w:val="SingleTxt"/>
    <w:qFormat/>
    <w:rsid w:val="00303A4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03A4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303A40"/>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a"/>
    <w:qFormat/>
    <w:rsid w:val="006F370E"/>
    <w:pPr>
      <w:spacing w:line="240" w:lineRule="exact"/>
      <w:ind w:left="1267" w:right="1267" w:hanging="1267"/>
      <w:outlineLvl w:val="1"/>
    </w:pPr>
    <w:rPr>
      <w:spacing w:val="2"/>
      <w:sz w:val="20"/>
    </w:rPr>
  </w:style>
  <w:style w:type="paragraph" w:customStyle="1" w:styleId="STitleM">
    <w:name w:val="S_Title_M"/>
    <w:basedOn w:val="a"/>
    <w:next w:val="a"/>
    <w:qFormat/>
    <w:rsid w:val="00472B7F"/>
    <w:pPr>
      <w:keepNext/>
      <w:keepLines/>
      <w:tabs>
        <w:tab w:val="right" w:pos="357"/>
      </w:tabs>
      <w:spacing w:line="390" w:lineRule="exact"/>
      <w:ind w:left="1264" w:right="1264"/>
      <w:outlineLvl w:val="0"/>
    </w:pPr>
    <w:rPr>
      <w:rFonts w:eastAsia="Calibri"/>
      <w:b/>
      <w:spacing w:val="-4"/>
      <w:w w:val="98"/>
      <w:sz w:val="40"/>
      <w:szCs w:val="22"/>
      <w:lang w:val="fr-FR"/>
    </w:rPr>
  </w:style>
  <w:style w:type="paragraph" w:customStyle="1" w:styleId="STitleS">
    <w:name w:val="S_Title_S"/>
    <w:basedOn w:val="HCH"/>
    <w:next w:val="a"/>
    <w:qFormat/>
    <w:rsid w:val="00472B7F"/>
    <w:pPr>
      <w:ind w:left="1264" w:right="1264"/>
    </w:pPr>
  </w:style>
  <w:style w:type="paragraph" w:customStyle="1" w:styleId="STitleL">
    <w:name w:val="S_Title_L"/>
    <w:basedOn w:val="SM"/>
    <w:next w:val="a"/>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a"/>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a"/>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Calibri"/>
      <w:szCs w:val="22"/>
      <w:lang w:val="fr-FR"/>
    </w:rPr>
  </w:style>
  <w:style w:type="paragraph" w:customStyle="1" w:styleId="AgendaItemNumber">
    <w:name w:val="Agenda_Item_Number"/>
    <w:next w:val="a"/>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a"/>
    <w:qFormat/>
    <w:rsid w:val="00472B7F"/>
    <w:pPr>
      <w:spacing w:line="240" w:lineRule="exact"/>
      <w:ind w:right="5040"/>
      <w:outlineLvl w:val="1"/>
    </w:pPr>
    <w:rPr>
      <w:spacing w:val="2"/>
      <w:sz w:val="20"/>
    </w:rPr>
  </w:style>
  <w:style w:type="paragraph" w:customStyle="1" w:styleId="DecisionNumber">
    <w:name w:val="DecisionNumber"/>
    <w:basedOn w:val="H1"/>
    <w:next w:val="a"/>
    <w:qFormat/>
    <w:rsid w:val="00472B7F"/>
    <w:pPr>
      <w:spacing w:line="240" w:lineRule="exact"/>
      <w:ind w:right="5040"/>
      <w:outlineLvl w:val="1"/>
    </w:pPr>
    <w:rPr>
      <w:spacing w:val="2"/>
      <w:sz w:val="20"/>
    </w:rPr>
  </w:style>
  <w:style w:type="paragraph" w:customStyle="1" w:styleId="DecisionTitle">
    <w:name w:val="DecisionTitle"/>
    <w:basedOn w:val="H1"/>
    <w:next w:val="a"/>
    <w:qFormat/>
    <w:rsid w:val="00472B7F"/>
    <w:pPr>
      <w:spacing w:line="240" w:lineRule="exact"/>
      <w:ind w:right="5040"/>
      <w:outlineLvl w:val="1"/>
    </w:pPr>
    <w:rPr>
      <w:spacing w:val="2"/>
      <w:sz w:val="20"/>
    </w:rPr>
  </w:style>
  <w:style w:type="paragraph" w:customStyle="1" w:styleId="MeetingNumber">
    <w:name w:val="MeetingNumber"/>
    <w:basedOn w:val="H1"/>
    <w:next w:val="a"/>
    <w:qFormat/>
    <w:rsid w:val="00472B7F"/>
    <w:pPr>
      <w:spacing w:line="240" w:lineRule="exact"/>
      <w:ind w:right="5040"/>
      <w:outlineLvl w:val="1"/>
    </w:pPr>
    <w:rPr>
      <w:spacing w:val="2"/>
      <w:sz w:val="20"/>
    </w:rPr>
  </w:style>
  <w:style w:type="paragraph" w:customStyle="1" w:styleId="HCh0">
    <w:name w:val="_ H _Ch"/>
    <w:basedOn w:val="H1"/>
    <w:next w:val="SingleTxt"/>
    <w:rsid w:val="00F639A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rFonts w:eastAsiaTheme="minorHAnsi"/>
      <w:spacing w:val="-2"/>
      <w:sz w:val="28"/>
      <w:szCs w:val="20"/>
      <w:lang w:val="en-GB"/>
    </w:rPr>
  </w:style>
  <w:style w:type="character" w:styleId="af3">
    <w:name w:val="Hyperlink"/>
    <w:basedOn w:val="a0"/>
    <w:rsid w:val="00F639A5"/>
    <w:rPr>
      <w:color w:val="0000FF" w:themeColor="hyperlink"/>
      <w:u w:val="none"/>
    </w:rPr>
  </w:style>
  <w:style w:type="table" w:styleId="af4">
    <w:name w:val="Table Grid"/>
    <w:basedOn w:val="a1"/>
    <w:rsid w:val="00D33BD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A21512"/>
    <w:rPr>
      <w:sz w:val="16"/>
      <w:szCs w:val="16"/>
    </w:rPr>
  </w:style>
  <w:style w:type="paragraph" w:styleId="af6">
    <w:name w:val="annotation text"/>
    <w:basedOn w:val="a"/>
    <w:link w:val="af7"/>
    <w:uiPriority w:val="99"/>
    <w:semiHidden/>
    <w:unhideWhenUsed/>
    <w:rsid w:val="00A21512"/>
    <w:pPr>
      <w:spacing w:line="240" w:lineRule="auto"/>
    </w:pPr>
  </w:style>
  <w:style w:type="character" w:customStyle="1" w:styleId="af7">
    <w:name w:val="コメント文字列 (文字)"/>
    <w:basedOn w:val="a0"/>
    <w:link w:val="af6"/>
    <w:uiPriority w:val="99"/>
    <w:semiHidden/>
    <w:rsid w:val="00A21512"/>
    <w:rPr>
      <w:rFonts w:ascii="Times New Roman" w:eastAsiaTheme="minorHAnsi" w:hAnsi="Times New Roman" w:cs="Times New Roman"/>
      <w:spacing w:val="4"/>
      <w:w w:val="103"/>
      <w:kern w:val="14"/>
      <w:sz w:val="20"/>
      <w:szCs w:val="20"/>
      <w:lang w:eastAsia="en-US"/>
    </w:rPr>
  </w:style>
  <w:style w:type="paragraph" w:styleId="af8">
    <w:name w:val="annotation subject"/>
    <w:basedOn w:val="af6"/>
    <w:next w:val="af6"/>
    <w:link w:val="af9"/>
    <w:uiPriority w:val="99"/>
    <w:semiHidden/>
    <w:unhideWhenUsed/>
    <w:rsid w:val="00A21512"/>
    <w:rPr>
      <w:b/>
      <w:bCs/>
    </w:rPr>
  </w:style>
  <w:style w:type="character" w:customStyle="1" w:styleId="af9">
    <w:name w:val="コメント内容 (文字)"/>
    <w:basedOn w:val="af7"/>
    <w:link w:val="af8"/>
    <w:uiPriority w:val="99"/>
    <w:semiHidden/>
    <w:rsid w:val="00A21512"/>
    <w:rPr>
      <w:rFonts w:ascii="Times New Roman" w:eastAsiaTheme="minorHAnsi" w:hAnsi="Times New Roman" w:cs="Times New Roman"/>
      <w:b/>
      <w:bCs/>
      <w:spacing w:val="4"/>
      <w:w w:val="103"/>
      <w:kern w:val="14"/>
      <w:sz w:val="20"/>
      <w:szCs w:val="20"/>
      <w:lang w:eastAsia="en-US"/>
    </w:rPr>
  </w:style>
  <w:style w:type="paragraph" w:styleId="afa">
    <w:name w:val="Revision"/>
    <w:hidden/>
    <w:uiPriority w:val="99"/>
    <w:semiHidden/>
    <w:rsid w:val="00865D9D"/>
    <w:pPr>
      <w:spacing w:after="0" w:line="240" w:lineRule="auto"/>
    </w:pPr>
    <w:rPr>
      <w:rFonts w:ascii="Times New Roman" w:eastAsiaTheme="minorHAnsi" w:hAnsi="Times New Roman" w:cs="Times New Roman"/>
      <w:spacing w:val="4"/>
      <w:w w:val="103"/>
      <w:kern w:val="14"/>
      <w:sz w:val="20"/>
      <w:szCs w:val="20"/>
      <w:lang w:eastAsia="en-US"/>
    </w:rPr>
  </w:style>
  <w:style w:type="character" w:customStyle="1" w:styleId="UnresolvedMention">
    <w:name w:val="Unresolved Mention"/>
    <w:basedOn w:val="a0"/>
    <w:uiPriority w:val="99"/>
    <w:semiHidden/>
    <w:unhideWhenUsed/>
    <w:rsid w:val="00813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itral.un.org/fr/working_groups/4/electronic_commer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docs.org/fr/A/CN.9/WG.IV/WP.1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ncitral@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2333</Words>
  <Characters>13303</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Rogliano</dc:creator>
  <cp:keywords/>
  <dc:description/>
  <cp:lastModifiedBy>EiKO</cp:lastModifiedBy>
  <cp:revision>2</cp:revision>
  <cp:lastPrinted>2020-05-26T08:25:00Z</cp:lastPrinted>
  <dcterms:created xsi:type="dcterms:W3CDTF">2020-05-28T13:10:00Z</dcterms:created>
  <dcterms:modified xsi:type="dcterms:W3CDTF">2020-05-28T13:10:00Z</dcterms:modified>
</cp:coreProperties>
</file>